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jpeg" ContentType="image/jpeg"/>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360" w:lineRule="auto"/>
        <w:jc w:val="center"/>
        <w:rPr>
          <w:rFonts w:hint="default" w:eastAsia="宋体"/>
          <w:b/>
          <w:sz w:val="30"/>
          <w:lang w:val="en-US" w:eastAsia="zh-CN"/>
        </w:rPr>
      </w:pPr>
      <w:r>
        <w:rPr>
          <w:rFonts w:hint="eastAsia"/>
          <w:b/>
          <w:sz w:val="30"/>
          <w:lang w:val="en-US" w:eastAsia="zh-CN"/>
        </w:rPr>
        <w:t xml:space="preserve">                               </w:t>
      </w:r>
    </w:p>
    <w:p>
      <w:pPr>
        <w:snapToGrid w:val="0"/>
        <w:spacing w:line="360" w:lineRule="auto"/>
        <w:jc w:val="center"/>
        <w:rPr>
          <w:b/>
          <w:sz w:val="30"/>
        </w:rPr>
      </w:pPr>
    </w:p>
    <w:p>
      <w:pPr>
        <w:snapToGrid w:val="0"/>
        <w:spacing w:line="360" w:lineRule="auto"/>
        <w:jc w:val="center"/>
        <w:rPr>
          <w:b/>
          <w:sz w:val="30"/>
        </w:rPr>
      </w:pPr>
    </w:p>
    <w:p>
      <w:pPr>
        <w:snapToGrid w:val="0"/>
        <w:spacing w:line="360" w:lineRule="auto"/>
        <w:jc w:val="center"/>
        <w:rPr>
          <w:b/>
          <w:sz w:val="30"/>
        </w:rPr>
      </w:pPr>
    </w:p>
    <w:p>
      <w:pPr>
        <w:snapToGrid w:val="0"/>
        <w:spacing w:line="360" w:lineRule="auto"/>
        <w:jc w:val="center"/>
        <w:rPr>
          <w:rFonts w:eastAsia="黑体"/>
          <w:sz w:val="72"/>
        </w:rPr>
      </w:pPr>
      <w:r>
        <w:rPr>
          <w:rFonts w:eastAsia="黑体"/>
          <w:sz w:val="72"/>
        </w:rPr>
        <w:t>建设项目环境影响报告表</w:t>
      </w:r>
    </w:p>
    <w:p>
      <w:pPr>
        <w:snapToGrid w:val="0"/>
        <w:spacing w:line="360" w:lineRule="auto"/>
        <w:jc w:val="center"/>
        <w:rPr>
          <w:rFonts w:hint="default" w:eastAsia="黑体"/>
          <w:sz w:val="36"/>
          <w:lang w:val="en-US" w:eastAsia="zh-CN"/>
        </w:rPr>
      </w:pPr>
      <w:r>
        <w:rPr>
          <w:rFonts w:hint="eastAsia" w:eastAsia="黑体"/>
          <w:sz w:val="36"/>
          <w:lang w:val="en-US" w:eastAsia="zh-CN"/>
        </w:rPr>
        <w:t xml:space="preserve">                                                                                                                                                                                                                                                                                                                                                                                                                                                               </w:t>
      </w:r>
    </w:p>
    <w:p>
      <w:pPr>
        <w:snapToGrid w:val="0"/>
        <w:spacing w:line="360" w:lineRule="auto"/>
        <w:jc w:val="center"/>
        <w:rPr>
          <w:rFonts w:eastAsia="黑体"/>
          <w:b/>
          <w:sz w:val="30"/>
        </w:rPr>
      </w:pPr>
    </w:p>
    <w:p>
      <w:pPr>
        <w:snapToGrid w:val="0"/>
        <w:spacing w:line="360" w:lineRule="auto"/>
        <w:jc w:val="center"/>
        <w:rPr>
          <w:rFonts w:eastAsia="黑体"/>
          <w:b/>
          <w:sz w:val="30"/>
        </w:rPr>
      </w:pPr>
    </w:p>
    <w:p>
      <w:pPr>
        <w:snapToGrid w:val="0"/>
        <w:spacing w:line="360" w:lineRule="auto"/>
        <w:jc w:val="center"/>
        <w:rPr>
          <w:rFonts w:eastAsia="黑体"/>
          <w:b/>
          <w:sz w:val="30"/>
        </w:rPr>
      </w:pPr>
    </w:p>
    <w:p>
      <w:pPr>
        <w:snapToGrid w:val="0"/>
        <w:spacing w:line="360" w:lineRule="auto"/>
        <w:jc w:val="center"/>
        <w:rPr>
          <w:rFonts w:eastAsia="黑体"/>
          <w:b/>
          <w:sz w:val="30"/>
        </w:rPr>
      </w:pPr>
    </w:p>
    <w:p>
      <w:pPr>
        <w:snapToGrid w:val="0"/>
        <w:spacing w:line="360" w:lineRule="auto"/>
        <w:rPr>
          <w:rFonts w:eastAsia="黑体"/>
          <w:sz w:val="36"/>
          <w:u w:val="single"/>
        </w:rPr>
      </w:pPr>
      <w:r>
        <w:rPr>
          <w:rFonts w:eastAsia="黑体"/>
          <w:spacing w:val="-20"/>
          <w:sz w:val="36"/>
        </w:rPr>
        <w:t>项 目 名 称：</w:t>
      </w:r>
      <w:r>
        <w:rPr>
          <w:rFonts w:eastAsia="黑体"/>
          <w:spacing w:val="-20"/>
          <w:sz w:val="36"/>
          <w:u w:val="single"/>
        </w:rPr>
        <w:t xml:space="preserve">  </w:t>
      </w:r>
      <w:r>
        <w:rPr>
          <w:rFonts w:hint="eastAsia" w:eastAsia="黑体"/>
          <w:spacing w:val="-20"/>
          <w:sz w:val="36"/>
          <w:u w:val="single"/>
        </w:rPr>
        <w:t xml:space="preserve">        新建根管医疗耗材项目       </w:t>
      </w:r>
    </w:p>
    <w:p>
      <w:pPr>
        <w:snapToGrid w:val="0"/>
        <w:spacing w:line="360" w:lineRule="auto"/>
        <w:rPr>
          <w:rFonts w:eastAsia="黑体"/>
          <w:sz w:val="28"/>
          <w:u w:val="single"/>
        </w:rPr>
      </w:pPr>
      <w:r>
        <w:rPr>
          <w:rFonts w:eastAsia="黑体"/>
          <w:spacing w:val="-30"/>
          <w:sz w:val="36"/>
        </w:rPr>
        <w:t>建设单位(盖章)：</w:t>
      </w:r>
      <w:r>
        <w:rPr>
          <w:rFonts w:eastAsia="黑体"/>
          <w:spacing w:val="-30"/>
          <w:sz w:val="36"/>
          <w:u w:val="single"/>
        </w:rPr>
        <w:t xml:space="preserve">  </w:t>
      </w:r>
      <w:r>
        <w:rPr>
          <w:rFonts w:hint="eastAsia" w:eastAsia="黑体"/>
          <w:spacing w:val="-30"/>
          <w:sz w:val="36"/>
          <w:u w:val="single"/>
        </w:rPr>
        <w:t xml:space="preserve">    </w:t>
      </w:r>
      <w:r>
        <w:rPr>
          <w:rFonts w:hint="eastAsia" w:eastAsia="黑体"/>
          <w:spacing w:val="-30"/>
          <w:sz w:val="36"/>
          <w:u w:val="single"/>
          <w:lang w:eastAsia="zh-CN"/>
        </w:rPr>
        <w:t>江苏华益壹品医疗科技有限公司</w:t>
      </w:r>
      <w:r>
        <w:rPr>
          <w:rFonts w:hint="eastAsia" w:eastAsia="黑体"/>
          <w:spacing w:val="-30"/>
          <w:sz w:val="36"/>
          <w:u w:val="single"/>
        </w:rPr>
        <w:t xml:space="preserve">  </w:t>
      </w:r>
      <w:r>
        <w:rPr>
          <w:rFonts w:eastAsia="黑体"/>
          <w:spacing w:val="-20"/>
          <w:sz w:val="36"/>
          <w:u w:val="single"/>
        </w:rPr>
        <w:t xml:space="preserve"> </w:t>
      </w:r>
      <w:r>
        <w:rPr>
          <w:rFonts w:hint="eastAsia" w:eastAsia="黑体"/>
          <w:spacing w:val="-20"/>
          <w:sz w:val="36"/>
          <w:u w:val="single"/>
        </w:rPr>
        <w:t xml:space="preserve">    </w:t>
      </w:r>
    </w:p>
    <w:p>
      <w:pPr>
        <w:snapToGrid w:val="0"/>
        <w:spacing w:line="360" w:lineRule="auto"/>
        <w:jc w:val="center"/>
        <w:rPr>
          <w:rFonts w:eastAsia="黑体"/>
          <w:b/>
          <w:sz w:val="30"/>
        </w:rPr>
      </w:pPr>
    </w:p>
    <w:p>
      <w:pPr>
        <w:snapToGrid w:val="0"/>
        <w:spacing w:line="360" w:lineRule="auto"/>
        <w:jc w:val="center"/>
        <w:rPr>
          <w:rFonts w:eastAsia="黑体"/>
          <w:b/>
          <w:sz w:val="30"/>
        </w:rPr>
      </w:pPr>
    </w:p>
    <w:p>
      <w:pPr>
        <w:snapToGrid w:val="0"/>
        <w:spacing w:line="360" w:lineRule="auto"/>
        <w:jc w:val="center"/>
        <w:rPr>
          <w:rFonts w:eastAsia="黑体"/>
          <w:b/>
          <w:sz w:val="30"/>
        </w:rPr>
      </w:pPr>
    </w:p>
    <w:p>
      <w:pPr>
        <w:snapToGrid w:val="0"/>
        <w:spacing w:line="360" w:lineRule="auto"/>
        <w:jc w:val="center"/>
        <w:rPr>
          <w:rFonts w:eastAsia="黑体"/>
          <w:b/>
          <w:sz w:val="30"/>
        </w:rPr>
      </w:pPr>
    </w:p>
    <w:p>
      <w:pPr>
        <w:snapToGrid w:val="0"/>
        <w:spacing w:line="360" w:lineRule="auto"/>
        <w:jc w:val="center"/>
        <w:rPr>
          <w:rFonts w:eastAsia="黑体"/>
          <w:b/>
          <w:sz w:val="30"/>
        </w:rPr>
      </w:pPr>
    </w:p>
    <w:p>
      <w:pPr>
        <w:snapToGrid w:val="0"/>
        <w:spacing w:line="360" w:lineRule="auto"/>
        <w:jc w:val="center"/>
        <w:rPr>
          <w:rFonts w:eastAsia="黑体"/>
          <w:b/>
          <w:sz w:val="30"/>
        </w:rPr>
      </w:pPr>
    </w:p>
    <w:p>
      <w:pPr>
        <w:snapToGrid w:val="0"/>
        <w:spacing w:line="360" w:lineRule="auto"/>
        <w:jc w:val="center"/>
        <w:rPr>
          <w:rFonts w:eastAsia="黑体"/>
          <w:sz w:val="32"/>
        </w:rPr>
      </w:pPr>
      <w:r>
        <w:rPr>
          <w:rFonts w:eastAsia="黑体"/>
          <w:sz w:val="32"/>
        </w:rPr>
        <w:t>编制日期：20</w:t>
      </w:r>
      <w:r>
        <w:rPr>
          <w:rFonts w:hint="eastAsia" w:eastAsia="黑体"/>
          <w:sz w:val="32"/>
        </w:rPr>
        <w:t>20</w:t>
      </w:r>
      <w:r>
        <w:rPr>
          <w:rFonts w:eastAsia="黑体"/>
          <w:sz w:val="32"/>
        </w:rPr>
        <w:t>年</w:t>
      </w:r>
      <w:r>
        <w:rPr>
          <w:rFonts w:hint="eastAsia" w:eastAsia="黑体"/>
          <w:sz w:val="32"/>
          <w:lang w:val="en-US" w:eastAsia="zh-CN"/>
        </w:rPr>
        <w:t>11</w:t>
      </w:r>
      <w:r>
        <w:rPr>
          <w:rFonts w:eastAsia="黑体"/>
          <w:sz w:val="32"/>
        </w:rPr>
        <w:t>月</w:t>
      </w:r>
    </w:p>
    <w:p>
      <w:pPr>
        <w:snapToGrid w:val="0"/>
        <w:spacing w:line="360" w:lineRule="auto"/>
        <w:jc w:val="center"/>
        <w:rPr>
          <w:rFonts w:eastAsia="黑体"/>
          <w:b/>
          <w:sz w:val="30"/>
        </w:rPr>
      </w:pPr>
    </w:p>
    <w:p>
      <w:pPr>
        <w:snapToGrid w:val="0"/>
        <w:spacing w:line="360" w:lineRule="auto"/>
        <w:jc w:val="center"/>
        <w:rPr>
          <w:rFonts w:eastAsia="黑体"/>
          <w:b/>
          <w:sz w:val="30"/>
        </w:rPr>
      </w:pPr>
    </w:p>
    <w:p>
      <w:pPr>
        <w:snapToGrid w:val="0"/>
        <w:spacing w:line="360" w:lineRule="auto"/>
        <w:jc w:val="center"/>
        <w:rPr>
          <w:rFonts w:eastAsia="黑体"/>
          <w:b/>
          <w:sz w:val="30"/>
        </w:rPr>
      </w:pPr>
    </w:p>
    <w:p>
      <w:pPr>
        <w:spacing w:line="360" w:lineRule="auto"/>
        <w:jc w:val="center"/>
        <w:rPr>
          <w:sz w:val="28"/>
        </w:rPr>
      </w:pPr>
    </w:p>
    <w:p>
      <w:pPr>
        <w:spacing w:line="360" w:lineRule="auto"/>
        <w:jc w:val="center"/>
        <w:rPr>
          <w:sz w:val="28"/>
        </w:rPr>
      </w:pPr>
    </w:p>
    <w:p>
      <w:pPr>
        <w:spacing w:line="360" w:lineRule="auto"/>
        <w:jc w:val="center"/>
        <w:rPr>
          <w:sz w:val="28"/>
        </w:rPr>
      </w:pPr>
    </w:p>
    <w:p>
      <w:pPr>
        <w:spacing w:line="360" w:lineRule="auto"/>
        <w:jc w:val="center"/>
        <w:rPr>
          <w:sz w:val="28"/>
        </w:rPr>
      </w:pPr>
    </w:p>
    <w:p>
      <w:pPr>
        <w:spacing w:line="360" w:lineRule="auto"/>
        <w:jc w:val="center"/>
        <w:rPr>
          <w:sz w:val="28"/>
        </w:rPr>
      </w:pPr>
    </w:p>
    <w:p>
      <w:pPr>
        <w:spacing w:line="360" w:lineRule="auto"/>
        <w:jc w:val="center"/>
        <w:rPr>
          <w:sz w:val="28"/>
        </w:rPr>
      </w:pPr>
    </w:p>
    <w:p>
      <w:pPr>
        <w:spacing w:line="360" w:lineRule="auto"/>
        <w:jc w:val="center"/>
        <w:rPr>
          <w:sz w:val="28"/>
        </w:rPr>
      </w:pPr>
    </w:p>
    <w:p>
      <w:pPr>
        <w:spacing w:line="360" w:lineRule="auto"/>
        <w:jc w:val="center"/>
        <w:rPr>
          <w:sz w:val="28"/>
        </w:rPr>
      </w:pPr>
    </w:p>
    <w:p>
      <w:pPr>
        <w:spacing w:line="360" w:lineRule="auto"/>
        <w:jc w:val="center"/>
        <w:rPr>
          <w:sz w:val="28"/>
        </w:rPr>
      </w:pPr>
    </w:p>
    <w:p>
      <w:pPr>
        <w:spacing w:line="360" w:lineRule="auto"/>
        <w:jc w:val="center"/>
        <w:rPr>
          <w:sz w:val="28"/>
        </w:rPr>
      </w:pPr>
    </w:p>
    <w:p>
      <w:pPr>
        <w:spacing w:line="360" w:lineRule="auto"/>
        <w:jc w:val="center"/>
        <w:rPr>
          <w:sz w:val="28"/>
        </w:rPr>
      </w:pPr>
    </w:p>
    <w:p>
      <w:pPr>
        <w:spacing w:line="360" w:lineRule="auto"/>
        <w:jc w:val="center"/>
        <w:rPr>
          <w:sz w:val="28"/>
        </w:rPr>
      </w:pPr>
    </w:p>
    <w:p>
      <w:pPr>
        <w:spacing w:line="360" w:lineRule="auto"/>
        <w:jc w:val="center"/>
        <w:rPr>
          <w:sz w:val="28"/>
        </w:rPr>
      </w:pPr>
    </w:p>
    <w:p>
      <w:pPr>
        <w:spacing w:line="360" w:lineRule="auto"/>
        <w:jc w:val="center"/>
        <w:rPr>
          <w:sz w:val="28"/>
        </w:rPr>
      </w:pPr>
    </w:p>
    <w:p>
      <w:pPr>
        <w:spacing w:line="360" w:lineRule="auto"/>
        <w:jc w:val="center"/>
        <w:rPr>
          <w:sz w:val="28"/>
        </w:rPr>
      </w:pPr>
    </w:p>
    <w:p>
      <w:pPr>
        <w:spacing w:line="360" w:lineRule="auto"/>
        <w:jc w:val="center"/>
        <w:rPr>
          <w:sz w:val="28"/>
        </w:rPr>
      </w:pPr>
    </w:p>
    <w:p>
      <w:pPr>
        <w:spacing w:line="360" w:lineRule="auto"/>
        <w:jc w:val="center"/>
        <w:rPr>
          <w:sz w:val="28"/>
        </w:rPr>
      </w:pPr>
    </w:p>
    <w:p>
      <w:pPr>
        <w:spacing w:line="360" w:lineRule="auto"/>
        <w:jc w:val="center"/>
        <w:rPr>
          <w:sz w:val="28"/>
        </w:rPr>
      </w:pPr>
    </w:p>
    <w:p>
      <w:pPr>
        <w:spacing w:line="360" w:lineRule="auto"/>
        <w:jc w:val="center"/>
        <w:rPr>
          <w:sz w:val="28"/>
        </w:rPr>
      </w:pPr>
    </w:p>
    <w:p>
      <w:pPr>
        <w:spacing w:line="360" w:lineRule="auto"/>
        <w:jc w:val="center"/>
        <w:rPr>
          <w:sz w:val="28"/>
        </w:rPr>
      </w:pPr>
    </w:p>
    <w:p>
      <w:pPr>
        <w:spacing w:line="360" w:lineRule="auto"/>
        <w:jc w:val="center"/>
        <w:rPr>
          <w:sz w:val="28"/>
        </w:rPr>
      </w:pPr>
    </w:p>
    <w:p>
      <w:pPr>
        <w:spacing w:line="360" w:lineRule="auto"/>
        <w:jc w:val="center"/>
        <w:rPr>
          <w:sz w:val="28"/>
        </w:rPr>
      </w:pPr>
    </w:p>
    <w:p>
      <w:pPr>
        <w:spacing w:line="360" w:lineRule="auto"/>
        <w:jc w:val="center"/>
        <w:rPr>
          <w:sz w:val="28"/>
        </w:rPr>
      </w:pPr>
    </w:p>
    <w:p>
      <w:pPr>
        <w:spacing w:line="360" w:lineRule="auto"/>
        <w:jc w:val="center"/>
        <w:rPr>
          <w:sz w:val="28"/>
        </w:rPr>
      </w:pPr>
    </w:p>
    <w:p>
      <w:pPr>
        <w:spacing w:line="360" w:lineRule="auto"/>
        <w:jc w:val="center"/>
        <w:rPr>
          <w:sz w:val="28"/>
        </w:rPr>
      </w:pPr>
      <w:r>
        <w:rPr>
          <w:sz w:val="28"/>
        </w:rPr>
        <w:t>《建设项目环境影响报告表》编制说明</w:t>
      </w:r>
    </w:p>
    <w:p>
      <w:pPr>
        <w:spacing w:line="360" w:lineRule="auto"/>
        <w:rPr>
          <w:sz w:val="28"/>
        </w:rPr>
      </w:pPr>
    </w:p>
    <w:p>
      <w:pPr>
        <w:spacing w:line="360" w:lineRule="auto"/>
        <w:ind w:firstLine="480" w:firstLineChars="200"/>
        <w:rPr>
          <w:sz w:val="24"/>
        </w:rPr>
      </w:pPr>
      <w:r>
        <w:rPr>
          <w:sz w:val="24"/>
        </w:rPr>
        <w:t>《建设项目环境影响报告表》由具有从事环境影响评价工作资质的单位编制。</w:t>
      </w:r>
    </w:p>
    <w:p>
      <w:pPr>
        <w:spacing w:line="360" w:lineRule="auto"/>
        <w:ind w:firstLine="480" w:firstLineChars="200"/>
        <w:rPr>
          <w:sz w:val="24"/>
        </w:rPr>
      </w:pPr>
      <w:r>
        <w:rPr>
          <w:sz w:val="24"/>
        </w:rPr>
        <w:t>1．项目名称——指项目立项批复时的名称，应不超过30个字（两个英文字段作一个汉字）。</w:t>
      </w:r>
    </w:p>
    <w:p>
      <w:pPr>
        <w:spacing w:line="360" w:lineRule="auto"/>
        <w:ind w:firstLine="480" w:firstLineChars="200"/>
        <w:rPr>
          <w:sz w:val="24"/>
        </w:rPr>
      </w:pPr>
      <w:r>
        <w:rPr>
          <w:sz w:val="24"/>
        </w:rPr>
        <w:t>2．建设地点——指项目所在地详细地址，公路、铁路应填写起止地点。</w:t>
      </w:r>
    </w:p>
    <w:p>
      <w:pPr>
        <w:spacing w:line="360" w:lineRule="auto"/>
        <w:ind w:firstLine="480" w:firstLineChars="200"/>
        <w:rPr>
          <w:sz w:val="24"/>
        </w:rPr>
      </w:pPr>
      <w:r>
        <w:rPr>
          <w:sz w:val="24"/>
        </w:rPr>
        <w:t>3．行业类别——按国标填写。</w:t>
      </w:r>
    </w:p>
    <w:p>
      <w:pPr>
        <w:spacing w:line="360" w:lineRule="auto"/>
        <w:ind w:firstLine="480" w:firstLineChars="200"/>
        <w:rPr>
          <w:sz w:val="24"/>
        </w:rPr>
      </w:pPr>
      <w:r>
        <w:rPr>
          <w:sz w:val="24"/>
        </w:rPr>
        <w:t xml:space="preserve">4．总投资——指项目投资总额。 </w:t>
      </w:r>
    </w:p>
    <w:p>
      <w:pPr>
        <w:spacing w:line="360" w:lineRule="auto"/>
        <w:ind w:firstLine="480" w:firstLineChars="200"/>
        <w:rPr>
          <w:sz w:val="24"/>
        </w:rPr>
      </w:pPr>
      <w:r>
        <w:rPr>
          <w:sz w:val="24"/>
        </w:rPr>
        <w:t>5．主要环境保护目标 —— 指项目区周围一定范围内集中居民住宅区、学校、医院、保护文物、风景名胜区、水源地和生态敏感点等，应尽可能给出保护目标、性质、规模和距厂界距离等。</w:t>
      </w:r>
    </w:p>
    <w:p>
      <w:pPr>
        <w:spacing w:line="360" w:lineRule="auto"/>
        <w:ind w:firstLine="480" w:firstLineChars="200"/>
        <w:rPr>
          <w:sz w:val="24"/>
        </w:rPr>
      </w:pPr>
      <w:r>
        <w:rPr>
          <w:sz w:val="24"/>
        </w:rPr>
        <w:t>6．结论与建议 —— 给出本项目清洁生产、达标排放和总量控制的分析结论，确定污染防治措施的有效性，说明本项目对环境造成的影响，给出建设项目环境可行性的明确结论。同时提出减少环境影响的其它建议。</w:t>
      </w:r>
    </w:p>
    <w:p>
      <w:pPr>
        <w:spacing w:line="360" w:lineRule="auto"/>
        <w:ind w:firstLine="480" w:firstLineChars="200"/>
        <w:rPr>
          <w:sz w:val="24"/>
        </w:rPr>
      </w:pPr>
      <w:r>
        <w:rPr>
          <w:sz w:val="24"/>
        </w:rPr>
        <w:t>7．预审意见——由行业主管部门填写答复意见，无主管部门项目，可不填。</w:t>
      </w:r>
    </w:p>
    <w:p>
      <w:pPr>
        <w:spacing w:line="360" w:lineRule="auto"/>
        <w:ind w:firstLine="480" w:firstLineChars="200"/>
        <w:rPr>
          <w:sz w:val="24"/>
        </w:rPr>
      </w:pPr>
      <w:r>
        <w:rPr>
          <w:sz w:val="24"/>
        </w:rPr>
        <w:t>8．审批意见——由负责审批该项目的环境保护行政主管部门批复。</w:t>
      </w:r>
    </w:p>
    <w:p>
      <w:pPr>
        <w:spacing w:line="360" w:lineRule="auto"/>
        <w:ind w:firstLine="480" w:firstLineChars="200"/>
        <w:rPr>
          <w:sz w:val="24"/>
        </w:rPr>
        <w:sectPr>
          <w:headerReference r:id="rId4" w:type="first"/>
          <w:footerReference r:id="rId7" w:type="first"/>
          <w:headerReference r:id="rId3" w:type="default"/>
          <w:footerReference r:id="rId5" w:type="default"/>
          <w:footerReference r:id="rId6" w:type="even"/>
          <w:pgSz w:w="11906" w:h="16838"/>
          <w:pgMar w:top="1440" w:right="1800" w:bottom="1440" w:left="1800" w:header="851" w:footer="992" w:gutter="0"/>
          <w:pgBorders>
            <w:top w:val="none" w:sz="0" w:space="0"/>
            <w:left w:val="none" w:sz="0" w:space="0"/>
            <w:bottom w:val="none" w:sz="0" w:space="0"/>
            <w:right w:val="none" w:sz="0" w:space="0"/>
          </w:pgBorders>
          <w:pgNumType w:start="0"/>
          <w:cols w:space="720" w:num="1"/>
          <w:titlePg/>
          <w:docGrid w:type="lines" w:linePitch="312" w:charSpace="0"/>
        </w:sectPr>
      </w:pPr>
    </w:p>
    <w:p>
      <w:pPr>
        <w:pStyle w:val="21"/>
        <w:sectPr>
          <w:pgSz w:w="11906" w:h="16838"/>
          <w:pgMar w:top="1440" w:right="1800" w:bottom="1440" w:left="1800" w:header="851" w:footer="992" w:gutter="0"/>
          <w:pgBorders>
            <w:top w:val="none" w:sz="0" w:space="0"/>
            <w:left w:val="none" w:sz="0" w:space="0"/>
            <w:bottom w:val="none" w:sz="0" w:space="0"/>
            <w:right w:val="none" w:sz="0" w:space="0"/>
          </w:pgBorders>
          <w:pgNumType w:start="0"/>
          <w:cols w:space="720" w:num="1"/>
          <w:titlePg/>
          <w:docGrid w:type="lines" w:linePitch="312" w:charSpace="0"/>
        </w:sectPr>
      </w:pPr>
    </w:p>
    <w:p>
      <w:pPr>
        <w:pStyle w:val="312"/>
        <w:jc w:val="left"/>
        <w:rPr>
          <w:rFonts w:ascii="Times New Roman" w:hAnsi="Times New Roman"/>
        </w:rPr>
      </w:pPr>
      <w:r>
        <w:rPr>
          <w:rFonts w:ascii="Times New Roman" w:hAnsi="Times New Roman"/>
        </w:rPr>
        <w:t>建设项目基本情况</w:t>
      </w:r>
    </w:p>
    <w:tbl>
      <w:tblPr>
        <w:tblStyle w:val="56"/>
        <w:tblW w:w="854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09"/>
        <w:gridCol w:w="1276"/>
        <w:gridCol w:w="473"/>
        <w:gridCol w:w="213"/>
        <w:gridCol w:w="896"/>
        <w:gridCol w:w="1511"/>
        <w:gridCol w:w="963"/>
        <w:gridCol w:w="496"/>
        <w:gridCol w:w="14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9" w:hRule="atLeast"/>
          <w:jc w:val="center"/>
        </w:trPr>
        <w:tc>
          <w:tcPr>
            <w:tcW w:w="1309" w:type="dxa"/>
            <w:tcBorders>
              <w:top w:val="single" w:color="auto" w:sz="12" w:space="0"/>
              <w:left w:val="single" w:color="auto" w:sz="12" w:space="0"/>
            </w:tcBorders>
            <w:vAlign w:val="center"/>
          </w:tcPr>
          <w:p>
            <w:pPr>
              <w:jc w:val="center"/>
              <w:rPr>
                <w:sz w:val="24"/>
                <w:szCs w:val="24"/>
              </w:rPr>
            </w:pPr>
            <w:r>
              <w:rPr>
                <w:sz w:val="24"/>
                <w:szCs w:val="24"/>
              </w:rPr>
              <w:t>项目名称</w:t>
            </w:r>
          </w:p>
        </w:tc>
        <w:tc>
          <w:tcPr>
            <w:tcW w:w="7233" w:type="dxa"/>
            <w:gridSpan w:val="8"/>
            <w:tcBorders>
              <w:top w:val="single" w:color="auto" w:sz="12" w:space="0"/>
              <w:right w:val="single" w:color="auto" w:sz="12" w:space="0"/>
            </w:tcBorders>
            <w:vAlign w:val="center"/>
          </w:tcPr>
          <w:p>
            <w:pPr>
              <w:jc w:val="center"/>
              <w:rPr>
                <w:rFonts w:hint="eastAsia" w:eastAsia="宋体"/>
                <w:sz w:val="24"/>
                <w:szCs w:val="24"/>
                <w:lang w:eastAsia="zh-CN"/>
              </w:rPr>
            </w:pPr>
            <w:r>
              <w:rPr>
                <w:rFonts w:hint="eastAsia"/>
                <w:sz w:val="24"/>
                <w:szCs w:val="24"/>
                <w:lang w:eastAsia="zh-CN"/>
              </w:rPr>
              <w:t>新建根管医疗耗材项目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309" w:type="dxa"/>
            <w:tcBorders>
              <w:left w:val="single" w:color="auto" w:sz="12" w:space="0"/>
            </w:tcBorders>
            <w:vAlign w:val="center"/>
          </w:tcPr>
          <w:p>
            <w:pPr>
              <w:jc w:val="center"/>
              <w:rPr>
                <w:sz w:val="24"/>
                <w:szCs w:val="24"/>
              </w:rPr>
            </w:pPr>
            <w:r>
              <w:rPr>
                <w:sz w:val="24"/>
                <w:szCs w:val="24"/>
              </w:rPr>
              <w:t>建设单位</w:t>
            </w:r>
          </w:p>
        </w:tc>
        <w:tc>
          <w:tcPr>
            <w:tcW w:w="7233" w:type="dxa"/>
            <w:gridSpan w:val="8"/>
            <w:tcBorders>
              <w:right w:val="single" w:color="auto" w:sz="12" w:space="0"/>
            </w:tcBorders>
            <w:vAlign w:val="center"/>
          </w:tcPr>
          <w:p>
            <w:pPr>
              <w:jc w:val="center"/>
              <w:rPr>
                <w:rFonts w:hint="eastAsia" w:eastAsia="宋体"/>
                <w:sz w:val="24"/>
                <w:szCs w:val="24"/>
                <w:lang w:eastAsia="zh-CN"/>
              </w:rPr>
            </w:pPr>
            <w:r>
              <w:rPr>
                <w:rFonts w:hint="eastAsia"/>
                <w:sz w:val="24"/>
                <w:szCs w:val="24"/>
                <w:lang w:eastAsia="zh-CN"/>
              </w:rPr>
              <w:t>江苏华益壹品医疗科技有限公司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309" w:type="dxa"/>
            <w:tcBorders>
              <w:left w:val="single" w:color="auto" w:sz="12" w:space="0"/>
            </w:tcBorders>
            <w:vAlign w:val="center"/>
          </w:tcPr>
          <w:p>
            <w:pPr>
              <w:jc w:val="center"/>
              <w:rPr>
                <w:sz w:val="24"/>
                <w:szCs w:val="24"/>
              </w:rPr>
            </w:pPr>
            <w:r>
              <w:rPr>
                <w:sz w:val="24"/>
                <w:szCs w:val="24"/>
              </w:rPr>
              <w:t>法人代表</w:t>
            </w:r>
          </w:p>
        </w:tc>
        <w:tc>
          <w:tcPr>
            <w:tcW w:w="2858" w:type="dxa"/>
            <w:gridSpan w:val="4"/>
            <w:vAlign w:val="center"/>
          </w:tcPr>
          <w:p>
            <w:pPr>
              <w:jc w:val="center"/>
              <w:rPr>
                <w:rFonts w:hint="eastAsia" w:eastAsia="宋体"/>
                <w:sz w:val="24"/>
                <w:szCs w:val="24"/>
                <w:lang w:eastAsia="zh-CN"/>
              </w:rPr>
            </w:pPr>
          </w:p>
        </w:tc>
        <w:tc>
          <w:tcPr>
            <w:tcW w:w="1511" w:type="dxa"/>
            <w:vAlign w:val="center"/>
          </w:tcPr>
          <w:p>
            <w:pPr>
              <w:jc w:val="center"/>
              <w:rPr>
                <w:sz w:val="24"/>
                <w:szCs w:val="24"/>
              </w:rPr>
            </w:pPr>
            <w:r>
              <w:rPr>
                <w:rFonts w:hint="eastAsia"/>
                <w:sz w:val="24"/>
                <w:szCs w:val="24"/>
              </w:rPr>
              <w:t>联系人</w:t>
            </w:r>
          </w:p>
        </w:tc>
        <w:tc>
          <w:tcPr>
            <w:tcW w:w="2864" w:type="dxa"/>
            <w:gridSpan w:val="3"/>
            <w:tcBorders>
              <w:right w:val="single" w:color="auto" w:sz="12" w:space="0"/>
            </w:tcBorders>
            <w:vAlign w:val="center"/>
          </w:tcPr>
          <w:p>
            <w:pPr>
              <w:jc w:val="center"/>
              <w:rPr>
                <w:sz w:val="24"/>
                <w:szCs w:val="24"/>
              </w:rPr>
            </w:pPr>
            <w:r>
              <w:rPr>
                <w:rFonts w:hint="eastAsia"/>
                <w:sz w:val="24"/>
                <w:szCs w:val="24"/>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309" w:type="dxa"/>
            <w:tcBorders>
              <w:left w:val="single" w:color="auto" w:sz="12" w:space="0"/>
            </w:tcBorders>
            <w:vAlign w:val="center"/>
          </w:tcPr>
          <w:p>
            <w:pPr>
              <w:jc w:val="center"/>
              <w:rPr>
                <w:sz w:val="24"/>
                <w:szCs w:val="24"/>
              </w:rPr>
            </w:pPr>
            <w:r>
              <w:rPr>
                <w:sz w:val="24"/>
                <w:szCs w:val="24"/>
              </w:rPr>
              <w:t>通讯地址</w:t>
            </w:r>
          </w:p>
        </w:tc>
        <w:tc>
          <w:tcPr>
            <w:tcW w:w="7233" w:type="dxa"/>
            <w:gridSpan w:val="8"/>
            <w:tcBorders>
              <w:right w:val="single" w:color="auto" w:sz="12" w:space="0"/>
            </w:tcBorders>
            <w:vAlign w:val="center"/>
          </w:tcPr>
          <w:p>
            <w:pPr>
              <w:jc w:val="center"/>
              <w:rPr>
                <w:sz w:val="24"/>
                <w:szCs w:val="24"/>
              </w:rPr>
            </w:pPr>
            <w:r>
              <w:rPr>
                <w:rFonts w:hint="eastAsia"/>
                <w:sz w:val="24"/>
                <w:szCs w:val="24"/>
              </w:rPr>
              <w:t>常州市金坛区华城路1668号3号楼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309" w:type="dxa"/>
            <w:tcBorders>
              <w:left w:val="single" w:color="auto" w:sz="12" w:space="0"/>
            </w:tcBorders>
            <w:vAlign w:val="center"/>
          </w:tcPr>
          <w:p>
            <w:pPr>
              <w:jc w:val="center"/>
              <w:rPr>
                <w:sz w:val="24"/>
                <w:szCs w:val="24"/>
              </w:rPr>
            </w:pPr>
            <w:r>
              <w:rPr>
                <w:sz w:val="24"/>
                <w:szCs w:val="24"/>
              </w:rPr>
              <w:t>联系电话</w:t>
            </w:r>
          </w:p>
        </w:tc>
        <w:tc>
          <w:tcPr>
            <w:tcW w:w="1962" w:type="dxa"/>
            <w:gridSpan w:val="3"/>
            <w:vAlign w:val="center"/>
          </w:tcPr>
          <w:p>
            <w:pPr>
              <w:jc w:val="center"/>
              <w:rPr>
                <w:sz w:val="24"/>
                <w:szCs w:val="24"/>
              </w:rPr>
            </w:pPr>
            <w:bookmarkStart w:id="8" w:name="_GoBack"/>
            <w:bookmarkEnd w:id="8"/>
          </w:p>
        </w:tc>
        <w:tc>
          <w:tcPr>
            <w:tcW w:w="896" w:type="dxa"/>
            <w:vAlign w:val="center"/>
          </w:tcPr>
          <w:p>
            <w:pPr>
              <w:jc w:val="center"/>
              <w:rPr>
                <w:sz w:val="24"/>
                <w:szCs w:val="24"/>
              </w:rPr>
            </w:pPr>
            <w:r>
              <w:rPr>
                <w:rFonts w:hint="eastAsia"/>
                <w:sz w:val="24"/>
                <w:szCs w:val="24"/>
              </w:rPr>
              <w:t>传真</w:t>
            </w:r>
          </w:p>
        </w:tc>
        <w:tc>
          <w:tcPr>
            <w:tcW w:w="1511" w:type="dxa"/>
            <w:vAlign w:val="center"/>
          </w:tcPr>
          <w:p>
            <w:pPr>
              <w:jc w:val="center"/>
              <w:rPr>
                <w:sz w:val="24"/>
                <w:szCs w:val="24"/>
              </w:rPr>
            </w:pPr>
            <w:r>
              <w:rPr>
                <w:sz w:val="24"/>
                <w:szCs w:val="24"/>
              </w:rPr>
              <w:t>/</w:t>
            </w:r>
          </w:p>
        </w:tc>
        <w:tc>
          <w:tcPr>
            <w:tcW w:w="1459" w:type="dxa"/>
            <w:gridSpan w:val="2"/>
            <w:tcBorders>
              <w:right w:val="single" w:color="auto" w:sz="2" w:space="0"/>
            </w:tcBorders>
            <w:vAlign w:val="center"/>
          </w:tcPr>
          <w:p>
            <w:pPr>
              <w:jc w:val="center"/>
              <w:rPr>
                <w:sz w:val="24"/>
                <w:szCs w:val="24"/>
              </w:rPr>
            </w:pPr>
            <w:r>
              <w:rPr>
                <w:rFonts w:hint="eastAsia"/>
                <w:sz w:val="24"/>
                <w:szCs w:val="24"/>
              </w:rPr>
              <w:t>邮政编码</w:t>
            </w:r>
          </w:p>
        </w:tc>
        <w:tc>
          <w:tcPr>
            <w:tcW w:w="1405" w:type="dxa"/>
            <w:tcBorders>
              <w:left w:val="single" w:color="auto" w:sz="2" w:space="0"/>
              <w:right w:val="single" w:color="auto" w:sz="12" w:space="0"/>
            </w:tcBorders>
            <w:vAlign w:val="center"/>
          </w:tcPr>
          <w:p>
            <w:pPr>
              <w:jc w:val="center"/>
              <w:rPr>
                <w:sz w:val="24"/>
                <w:szCs w:val="24"/>
              </w:rPr>
            </w:pPr>
            <w:r>
              <w:rPr>
                <w:rFonts w:hint="eastAsia"/>
                <w:sz w:val="24"/>
                <w:szCs w:val="24"/>
              </w:rPr>
              <w:t>213200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309" w:type="dxa"/>
            <w:tcBorders>
              <w:left w:val="single" w:color="auto" w:sz="12" w:space="0"/>
            </w:tcBorders>
            <w:vAlign w:val="center"/>
          </w:tcPr>
          <w:p>
            <w:pPr>
              <w:jc w:val="center"/>
              <w:rPr>
                <w:sz w:val="24"/>
                <w:szCs w:val="24"/>
              </w:rPr>
            </w:pPr>
            <w:r>
              <w:rPr>
                <w:sz w:val="24"/>
                <w:szCs w:val="24"/>
              </w:rPr>
              <w:t>建设地点</w:t>
            </w:r>
          </w:p>
        </w:tc>
        <w:tc>
          <w:tcPr>
            <w:tcW w:w="7233" w:type="dxa"/>
            <w:gridSpan w:val="8"/>
            <w:tcBorders>
              <w:right w:val="single" w:color="auto" w:sz="12" w:space="0"/>
            </w:tcBorders>
            <w:vAlign w:val="center"/>
          </w:tcPr>
          <w:p>
            <w:pPr>
              <w:jc w:val="center"/>
              <w:rPr>
                <w:sz w:val="24"/>
                <w:szCs w:val="24"/>
              </w:rPr>
            </w:pPr>
            <w:r>
              <w:rPr>
                <w:rFonts w:hint="eastAsia"/>
                <w:sz w:val="24"/>
                <w:szCs w:val="24"/>
              </w:rPr>
              <w:t>金坛经济开发区复兴路</w:t>
            </w:r>
            <w:r>
              <w:rPr>
                <w:rFonts w:hint="eastAsia"/>
                <w:sz w:val="24"/>
                <w:szCs w:val="24"/>
                <w:lang w:eastAsia="zh-CN"/>
              </w:rPr>
              <w:t>智谷科技园</w:t>
            </w:r>
            <w:r>
              <w:rPr>
                <w:rFonts w:hint="eastAsia"/>
                <w:sz w:val="24"/>
                <w:szCs w:val="24"/>
                <w:lang w:val="en-US" w:eastAsia="zh-CN"/>
              </w:rPr>
              <w:t xml:space="preserve"> </w:t>
            </w:r>
            <w:r>
              <w:rPr>
                <w:rFonts w:hint="eastAsia"/>
                <w:sz w:val="24"/>
                <w:szCs w:val="24"/>
              </w:rPr>
              <w:t>4号楼2楼西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309" w:type="dxa"/>
            <w:tcBorders>
              <w:left w:val="single" w:color="auto" w:sz="12" w:space="0"/>
            </w:tcBorders>
            <w:vAlign w:val="center"/>
          </w:tcPr>
          <w:p>
            <w:pPr>
              <w:jc w:val="center"/>
              <w:rPr>
                <w:sz w:val="24"/>
                <w:szCs w:val="24"/>
              </w:rPr>
            </w:pPr>
            <w:r>
              <w:rPr>
                <w:sz w:val="24"/>
                <w:szCs w:val="24"/>
              </w:rPr>
              <w:t>立项审批部门</w:t>
            </w:r>
          </w:p>
        </w:tc>
        <w:tc>
          <w:tcPr>
            <w:tcW w:w="2858" w:type="dxa"/>
            <w:gridSpan w:val="4"/>
            <w:vAlign w:val="center"/>
          </w:tcPr>
          <w:p>
            <w:pPr>
              <w:jc w:val="center"/>
              <w:rPr>
                <w:rFonts w:hint="eastAsia" w:eastAsia="宋体"/>
                <w:sz w:val="24"/>
                <w:szCs w:val="24"/>
                <w:lang w:eastAsia="zh-CN"/>
              </w:rPr>
            </w:pPr>
            <w:r>
              <w:rPr>
                <w:rFonts w:hint="eastAsia"/>
                <w:sz w:val="24"/>
                <w:szCs w:val="24"/>
                <w:lang w:eastAsia="zh-CN"/>
              </w:rPr>
              <w:t>江苏省金坛经济开发区科技经贸局</w:t>
            </w:r>
          </w:p>
        </w:tc>
        <w:tc>
          <w:tcPr>
            <w:tcW w:w="1511" w:type="dxa"/>
            <w:vAlign w:val="center"/>
          </w:tcPr>
          <w:p>
            <w:pPr>
              <w:jc w:val="center"/>
              <w:rPr>
                <w:sz w:val="24"/>
                <w:szCs w:val="24"/>
              </w:rPr>
            </w:pPr>
            <w:r>
              <w:rPr>
                <w:sz w:val="24"/>
                <w:szCs w:val="24"/>
              </w:rPr>
              <w:t>批准文号</w:t>
            </w:r>
          </w:p>
        </w:tc>
        <w:tc>
          <w:tcPr>
            <w:tcW w:w="2864" w:type="dxa"/>
            <w:gridSpan w:val="3"/>
            <w:tcBorders>
              <w:right w:val="single" w:color="auto" w:sz="12" w:space="0"/>
            </w:tcBorders>
            <w:vAlign w:val="center"/>
          </w:tcPr>
          <w:p>
            <w:pPr>
              <w:snapToGrid w:val="0"/>
              <w:rPr>
                <w:sz w:val="24"/>
              </w:rPr>
            </w:pPr>
            <w:r>
              <w:rPr>
                <w:rFonts w:hint="eastAsia"/>
                <w:sz w:val="24"/>
              </w:rPr>
              <w:t>坛</w:t>
            </w:r>
            <w:r>
              <w:rPr>
                <w:rFonts w:hint="eastAsia"/>
                <w:sz w:val="24"/>
                <w:lang w:eastAsia="zh-CN"/>
              </w:rPr>
              <w:t>开科经备字</w:t>
            </w:r>
            <w:r>
              <w:rPr>
                <w:rFonts w:hint="eastAsia"/>
                <w:sz w:val="24"/>
              </w:rPr>
              <w:t>[2020]2</w:t>
            </w:r>
            <w:r>
              <w:rPr>
                <w:rFonts w:hint="eastAsia"/>
                <w:sz w:val="24"/>
                <w:lang w:val="en-US" w:eastAsia="zh-CN"/>
              </w:rPr>
              <w:t>41</w:t>
            </w:r>
            <w:r>
              <w:rPr>
                <w:rFonts w:hint="eastAsia"/>
                <w:sz w:val="24"/>
              </w:rPr>
              <w:t>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309" w:type="dxa"/>
            <w:tcBorders>
              <w:left w:val="single" w:color="auto" w:sz="12" w:space="0"/>
            </w:tcBorders>
            <w:vAlign w:val="center"/>
          </w:tcPr>
          <w:p>
            <w:pPr>
              <w:jc w:val="center"/>
              <w:rPr>
                <w:sz w:val="24"/>
                <w:szCs w:val="24"/>
              </w:rPr>
            </w:pPr>
            <w:r>
              <w:rPr>
                <w:sz w:val="24"/>
                <w:szCs w:val="24"/>
              </w:rPr>
              <w:t>建设性质</w:t>
            </w:r>
          </w:p>
        </w:tc>
        <w:tc>
          <w:tcPr>
            <w:tcW w:w="2858" w:type="dxa"/>
            <w:gridSpan w:val="4"/>
            <w:vAlign w:val="center"/>
          </w:tcPr>
          <w:p>
            <w:pPr>
              <w:jc w:val="center"/>
              <w:rPr>
                <w:sz w:val="24"/>
                <w:szCs w:val="24"/>
              </w:rPr>
            </w:pPr>
            <w:r>
              <w:rPr>
                <w:sz w:val="24"/>
                <w:szCs w:val="24"/>
              </w:rPr>
              <w:t>新建</w:t>
            </w:r>
            <w:r>
              <w:rPr>
                <w:rFonts w:hint="eastAsia" w:ascii="宋体" w:hAnsi="宋体"/>
                <w:sz w:val="24"/>
                <w:szCs w:val="24"/>
              </w:rPr>
              <w:sym w:font="Wingdings 2" w:char="0052"/>
            </w:r>
            <w:r>
              <w:rPr>
                <w:sz w:val="24"/>
                <w:szCs w:val="24"/>
              </w:rPr>
              <w:t>改扩建</w:t>
            </w:r>
            <w:bookmarkStart w:id="0" w:name="OLE_LINK3"/>
            <w:bookmarkStart w:id="1" w:name="OLE_LINK2"/>
            <w:r>
              <w:rPr>
                <w:rFonts w:hint="eastAsia" w:ascii="宋体" w:hAnsi="宋体"/>
                <w:sz w:val="24"/>
                <w:szCs w:val="24"/>
              </w:rPr>
              <w:sym w:font="Wingdings 2" w:char="00A3"/>
            </w:r>
            <w:r>
              <w:rPr>
                <w:sz w:val="24"/>
                <w:szCs w:val="24"/>
              </w:rPr>
              <w:t>技改</w:t>
            </w:r>
            <w:bookmarkEnd w:id="0"/>
            <w:bookmarkEnd w:id="1"/>
            <w:r>
              <w:rPr>
                <w:rFonts w:hint="eastAsia" w:ascii="宋体" w:hAnsi="宋体"/>
                <w:sz w:val="24"/>
                <w:szCs w:val="24"/>
              </w:rPr>
              <w:sym w:font="Wingdings 2" w:char="00A3"/>
            </w:r>
          </w:p>
        </w:tc>
        <w:tc>
          <w:tcPr>
            <w:tcW w:w="1511" w:type="dxa"/>
            <w:vAlign w:val="center"/>
          </w:tcPr>
          <w:p>
            <w:pPr>
              <w:jc w:val="center"/>
              <w:rPr>
                <w:sz w:val="24"/>
                <w:szCs w:val="24"/>
              </w:rPr>
            </w:pPr>
            <w:r>
              <w:rPr>
                <w:sz w:val="24"/>
                <w:szCs w:val="24"/>
              </w:rPr>
              <w:t>行业类别</w:t>
            </w:r>
          </w:p>
          <w:p>
            <w:pPr>
              <w:jc w:val="center"/>
              <w:rPr>
                <w:sz w:val="24"/>
                <w:szCs w:val="24"/>
              </w:rPr>
            </w:pPr>
            <w:r>
              <w:rPr>
                <w:sz w:val="24"/>
                <w:szCs w:val="24"/>
              </w:rPr>
              <w:t>及代码</w:t>
            </w:r>
          </w:p>
        </w:tc>
        <w:tc>
          <w:tcPr>
            <w:tcW w:w="2864" w:type="dxa"/>
            <w:gridSpan w:val="3"/>
            <w:tcBorders>
              <w:bottom w:val="single" w:color="auto" w:sz="4" w:space="0"/>
              <w:right w:val="single" w:color="auto" w:sz="12" w:space="0"/>
            </w:tcBorders>
            <w:vAlign w:val="center"/>
          </w:tcPr>
          <w:p>
            <w:pPr>
              <w:snapToGrid w:val="0"/>
              <w:jc w:val="center"/>
              <w:rPr>
                <w:rFonts w:hint="default" w:eastAsia="宋体"/>
                <w:sz w:val="24"/>
                <w:szCs w:val="24"/>
                <w:highlight w:val="yellow"/>
                <w:lang w:val="en-US" w:eastAsia="zh-CN"/>
              </w:rPr>
            </w:pPr>
            <w:r>
              <w:rPr>
                <w:rFonts w:hint="eastAsia"/>
                <w:sz w:val="24"/>
                <w:szCs w:val="24"/>
                <w:lang w:val="en-US" w:eastAsia="zh-CN"/>
              </w:rPr>
              <w:t>C2770卫生材料及医药用品制造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309" w:type="dxa"/>
            <w:tcBorders>
              <w:left w:val="single" w:color="auto" w:sz="12" w:space="0"/>
            </w:tcBorders>
            <w:vAlign w:val="center"/>
          </w:tcPr>
          <w:p>
            <w:pPr>
              <w:jc w:val="center"/>
              <w:rPr>
                <w:sz w:val="24"/>
                <w:szCs w:val="24"/>
              </w:rPr>
            </w:pPr>
            <w:r>
              <w:rPr>
                <w:sz w:val="24"/>
                <w:szCs w:val="24"/>
              </w:rPr>
              <w:t>占地面积（平方米）</w:t>
            </w:r>
          </w:p>
        </w:tc>
        <w:tc>
          <w:tcPr>
            <w:tcW w:w="2858" w:type="dxa"/>
            <w:gridSpan w:val="4"/>
            <w:vAlign w:val="center"/>
          </w:tcPr>
          <w:p>
            <w:pPr>
              <w:jc w:val="center"/>
              <w:rPr>
                <w:rFonts w:hint="default" w:eastAsia="宋体"/>
                <w:sz w:val="24"/>
                <w:szCs w:val="24"/>
                <w:lang w:val="en-US" w:eastAsia="zh-CN"/>
              </w:rPr>
            </w:pPr>
            <w:r>
              <w:rPr>
                <w:rFonts w:hint="eastAsia"/>
                <w:sz w:val="24"/>
                <w:szCs w:val="24"/>
                <w:lang w:val="en-US" w:eastAsia="zh-CN"/>
              </w:rPr>
              <w:t>4428</w:t>
            </w:r>
          </w:p>
        </w:tc>
        <w:tc>
          <w:tcPr>
            <w:tcW w:w="1511" w:type="dxa"/>
            <w:vAlign w:val="center"/>
          </w:tcPr>
          <w:p>
            <w:pPr>
              <w:jc w:val="center"/>
              <w:rPr>
                <w:sz w:val="24"/>
                <w:szCs w:val="24"/>
              </w:rPr>
            </w:pPr>
            <w:r>
              <w:rPr>
                <w:sz w:val="24"/>
                <w:szCs w:val="24"/>
              </w:rPr>
              <w:t>绿化面积</w:t>
            </w:r>
          </w:p>
          <w:p>
            <w:pPr>
              <w:jc w:val="center"/>
              <w:rPr>
                <w:sz w:val="24"/>
                <w:szCs w:val="24"/>
              </w:rPr>
            </w:pPr>
            <w:r>
              <w:rPr>
                <w:sz w:val="24"/>
                <w:szCs w:val="24"/>
              </w:rPr>
              <w:t>（平方米）</w:t>
            </w:r>
          </w:p>
        </w:tc>
        <w:tc>
          <w:tcPr>
            <w:tcW w:w="2864" w:type="dxa"/>
            <w:gridSpan w:val="3"/>
            <w:tcBorders>
              <w:bottom w:val="single" w:color="auto" w:sz="4" w:space="0"/>
              <w:right w:val="single" w:color="auto" w:sz="12" w:space="0"/>
            </w:tcBorders>
            <w:vAlign w:val="center"/>
          </w:tcPr>
          <w:p>
            <w:pPr>
              <w:jc w:val="center"/>
              <w:rPr>
                <w:sz w:val="24"/>
              </w:rPr>
            </w:pPr>
            <w:r>
              <w:rPr>
                <w:sz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309" w:type="dxa"/>
            <w:tcBorders>
              <w:left w:val="single" w:color="auto" w:sz="12" w:space="0"/>
            </w:tcBorders>
            <w:shd w:val="clear" w:color="auto" w:fill="auto"/>
            <w:vAlign w:val="center"/>
          </w:tcPr>
          <w:p>
            <w:pPr>
              <w:jc w:val="center"/>
              <w:rPr>
                <w:sz w:val="24"/>
              </w:rPr>
            </w:pPr>
            <w:r>
              <w:rPr>
                <w:sz w:val="24"/>
              </w:rPr>
              <w:t>总投资</w:t>
            </w:r>
          </w:p>
          <w:p>
            <w:pPr>
              <w:jc w:val="center"/>
              <w:rPr>
                <w:sz w:val="24"/>
              </w:rPr>
            </w:pPr>
            <w:r>
              <w:rPr>
                <w:sz w:val="24"/>
              </w:rPr>
              <w:t>（万元）</w:t>
            </w:r>
          </w:p>
        </w:tc>
        <w:tc>
          <w:tcPr>
            <w:tcW w:w="1749" w:type="dxa"/>
            <w:gridSpan w:val="2"/>
            <w:shd w:val="clear" w:color="auto" w:fill="auto"/>
            <w:vAlign w:val="center"/>
          </w:tcPr>
          <w:p>
            <w:pPr>
              <w:jc w:val="center"/>
              <w:rPr>
                <w:rFonts w:hint="default" w:eastAsia="宋体"/>
                <w:sz w:val="24"/>
                <w:lang w:val="en-US" w:eastAsia="zh-CN"/>
              </w:rPr>
            </w:pPr>
            <w:r>
              <w:rPr>
                <w:rFonts w:hint="eastAsia"/>
                <w:sz w:val="24"/>
                <w:lang w:val="en-US" w:eastAsia="zh-CN"/>
              </w:rPr>
              <w:t>3000</w:t>
            </w:r>
          </w:p>
        </w:tc>
        <w:tc>
          <w:tcPr>
            <w:tcW w:w="1109" w:type="dxa"/>
            <w:gridSpan w:val="2"/>
            <w:shd w:val="clear" w:color="auto" w:fill="auto"/>
            <w:vAlign w:val="center"/>
          </w:tcPr>
          <w:p>
            <w:pPr>
              <w:jc w:val="center"/>
              <w:rPr>
                <w:sz w:val="24"/>
              </w:rPr>
            </w:pPr>
            <w:r>
              <w:rPr>
                <w:sz w:val="24"/>
              </w:rPr>
              <w:t>其中：环保投资（万元）</w:t>
            </w:r>
          </w:p>
        </w:tc>
        <w:tc>
          <w:tcPr>
            <w:tcW w:w="1511" w:type="dxa"/>
            <w:shd w:val="clear" w:color="auto" w:fill="FFFFFF"/>
            <w:vAlign w:val="center"/>
          </w:tcPr>
          <w:p>
            <w:pPr>
              <w:jc w:val="center"/>
              <w:rPr>
                <w:rFonts w:hint="default" w:eastAsia="宋体"/>
                <w:sz w:val="24"/>
                <w:lang w:val="en-US" w:eastAsia="zh-CN"/>
              </w:rPr>
            </w:pPr>
            <w:r>
              <w:rPr>
                <w:rFonts w:hint="eastAsia"/>
                <w:sz w:val="24"/>
                <w:lang w:val="en-US" w:eastAsia="zh-CN"/>
              </w:rPr>
              <w:t>19.4</w:t>
            </w:r>
          </w:p>
        </w:tc>
        <w:tc>
          <w:tcPr>
            <w:tcW w:w="1459" w:type="dxa"/>
            <w:gridSpan w:val="2"/>
            <w:shd w:val="clear" w:color="auto" w:fill="FFFFFF"/>
            <w:vAlign w:val="center"/>
          </w:tcPr>
          <w:p>
            <w:pPr>
              <w:jc w:val="center"/>
              <w:rPr>
                <w:sz w:val="24"/>
              </w:rPr>
            </w:pPr>
            <w:r>
              <w:rPr>
                <w:sz w:val="24"/>
              </w:rPr>
              <w:t>环保投资占总投资比例</w:t>
            </w:r>
          </w:p>
        </w:tc>
        <w:tc>
          <w:tcPr>
            <w:tcW w:w="1405" w:type="dxa"/>
            <w:tcBorders>
              <w:bottom w:val="single" w:color="auto" w:sz="4" w:space="0"/>
              <w:right w:val="single" w:color="auto" w:sz="12" w:space="0"/>
            </w:tcBorders>
            <w:shd w:val="clear" w:color="auto" w:fill="FFFFFF"/>
            <w:vAlign w:val="center"/>
          </w:tcPr>
          <w:p>
            <w:pPr>
              <w:jc w:val="center"/>
              <w:rPr>
                <w:sz w:val="24"/>
              </w:rPr>
            </w:pPr>
            <w:r>
              <w:rPr>
                <w:rFonts w:hint="eastAsia"/>
                <w:sz w:val="24"/>
                <w:lang w:val="en-US" w:eastAsia="zh-CN"/>
              </w:rPr>
              <w:t>0.65</w:t>
            </w:r>
            <w:r>
              <w:rPr>
                <w:sz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309" w:type="dxa"/>
            <w:tcBorders>
              <w:left w:val="single" w:color="auto" w:sz="12" w:space="0"/>
              <w:bottom w:val="nil"/>
            </w:tcBorders>
            <w:vAlign w:val="center"/>
          </w:tcPr>
          <w:p>
            <w:pPr>
              <w:jc w:val="center"/>
              <w:rPr>
                <w:sz w:val="24"/>
              </w:rPr>
            </w:pPr>
            <w:r>
              <w:rPr>
                <w:sz w:val="24"/>
              </w:rPr>
              <w:t>评价经费</w:t>
            </w:r>
          </w:p>
          <w:p>
            <w:pPr>
              <w:jc w:val="center"/>
              <w:rPr>
                <w:sz w:val="24"/>
              </w:rPr>
            </w:pPr>
            <w:r>
              <w:rPr>
                <w:sz w:val="24"/>
              </w:rPr>
              <w:t>（万元）</w:t>
            </w:r>
          </w:p>
        </w:tc>
        <w:tc>
          <w:tcPr>
            <w:tcW w:w="1749" w:type="dxa"/>
            <w:gridSpan w:val="2"/>
            <w:tcBorders>
              <w:bottom w:val="nil"/>
            </w:tcBorders>
            <w:vAlign w:val="center"/>
          </w:tcPr>
          <w:p>
            <w:pPr>
              <w:jc w:val="center"/>
              <w:rPr>
                <w:sz w:val="24"/>
              </w:rPr>
            </w:pPr>
            <w:r>
              <w:rPr>
                <w:sz w:val="24"/>
              </w:rPr>
              <w:t>/</w:t>
            </w:r>
          </w:p>
        </w:tc>
        <w:tc>
          <w:tcPr>
            <w:tcW w:w="1109" w:type="dxa"/>
            <w:gridSpan w:val="2"/>
            <w:tcBorders>
              <w:bottom w:val="nil"/>
            </w:tcBorders>
            <w:vAlign w:val="center"/>
          </w:tcPr>
          <w:p>
            <w:pPr>
              <w:jc w:val="center"/>
              <w:rPr>
                <w:sz w:val="24"/>
              </w:rPr>
            </w:pPr>
            <w:r>
              <w:rPr>
                <w:sz w:val="24"/>
              </w:rPr>
              <w:t>预期投</w:t>
            </w:r>
          </w:p>
          <w:p>
            <w:pPr>
              <w:jc w:val="center"/>
              <w:rPr>
                <w:sz w:val="24"/>
              </w:rPr>
            </w:pPr>
            <w:r>
              <w:rPr>
                <w:sz w:val="24"/>
              </w:rPr>
              <w:t>产日期</w:t>
            </w:r>
          </w:p>
        </w:tc>
        <w:tc>
          <w:tcPr>
            <w:tcW w:w="4375" w:type="dxa"/>
            <w:gridSpan w:val="4"/>
            <w:tcBorders>
              <w:bottom w:val="nil"/>
              <w:right w:val="single" w:color="auto" w:sz="12" w:space="0"/>
            </w:tcBorders>
            <w:vAlign w:val="center"/>
          </w:tcPr>
          <w:p>
            <w:pPr>
              <w:jc w:val="center"/>
              <w:rPr>
                <w:sz w:val="24"/>
              </w:rPr>
            </w:pPr>
            <w:r>
              <w:rPr>
                <w:sz w:val="24"/>
              </w:rPr>
              <w:t>2</w:t>
            </w:r>
            <w:r>
              <w:rPr>
                <w:rFonts w:hint="eastAsia"/>
                <w:sz w:val="24"/>
              </w:rPr>
              <w:t>021</w:t>
            </w:r>
            <w:r>
              <w:rPr>
                <w:sz w:val="24"/>
              </w:rPr>
              <w:t>年</w:t>
            </w:r>
            <w:r>
              <w:rPr>
                <w:rFonts w:hint="eastAsia"/>
                <w:sz w:val="24"/>
              </w:rPr>
              <w:t>3月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2" w:hRule="atLeast"/>
          <w:jc w:val="center"/>
        </w:trPr>
        <w:tc>
          <w:tcPr>
            <w:tcW w:w="8542" w:type="dxa"/>
            <w:gridSpan w:val="9"/>
            <w:tcBorders>
              <w:top w:val="single" w:color="000000" w:sz="4" w:space="0"/>
              <w:left w:val="single" w:color="auto" w:sz="12" w:space="0"/>
              <w:bottom w:val="single" w:color="000000" w:sz="4" w:space="0"/>
              <w:right w:val="single" w:color="auto" w:sz="12" w:space="0"/>
            </w:tcBorders>
          </w:tcPr>
          <w:p>
            <w:pPr>
              <w:rPr>
                <w:b/>
                <w:bCs/>
                <w:sz w:val="24"/>
              </w:rPr>
            </w:pPr>
            <w:r>
              <w:rPr>
                <w:b/>
                <w:bCs/>
                <w:sz w:val="24"/>
              </w:rPr>
              <w:t>原辅材料（包括名称、用量）及主要设施规格、数量（包括锅炉、发电机等）：</w:t>
            </w:r>
          </w:p>
          <w:p>
            <w:pPr>
              <w:spacing w:line="360" w:lineRule="auto"/>
              <w:ind w:firstLine="480" w:firstLineChars="200"/>
              <w:rPr>
                <w:sz w:val="24"/>
                <w:szCs w:val="24"/>
              </w:rPr>
            </w:pPr>
            <w:r>
              <w:rPr>
                <w:sz w:val="24"/>
                <w:szCs w:val="24"/>
              </w:rPr>
              <w:t>原辅材料消耗详见表1-1，主要设备详见表1-2。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exact"/>
          <w:jc w:val="center"/>
        </w:trPr>
        <w:tc>
          <w:tcPr>
            <w:tcW w:w="8542" w:type="dxa"/>
            <w:gridSpan w:val="9"/>
            <w:tcBorders>
              <w:top w:val="nil"/>
              <w:left w:val="single" w:color="auto" w:sz="12" w:space="0"/>
              <w:right w:val="single" w:color="auto" w:sz="12" w:space="0"/>
            </w:tcBorders>
            <w:vAlign w:val="center"/>
          </w:tcPr>
          <w:p>
            <w:pPr>
              <w:rPr>
                <w:b/>
                <w:bCs/>
                <w:sz w:val="24"/>
              </w:rPr>
            </w:pPr>
            <w:r>
              <w:rPr>
                <w:b/>
                <w:bCs/>
                <w:sz w:val="24"/>
              </w:rPr>
              <w:t>水及能源消耗量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exact"/>
          <w:jc w:val="center"/>
        </w:trPr>
        <w:tc>
          <w:tcPr>
            <w:tcW w:w="2585" w:type="dxa"/>
            <w:gridSpan w:val="2"/>
            <w:tcBorders>
              <w:left w:val="single" w:color="auto" w:sz="12" w:space="0"/>
            </w:tcBorders>
            <w:vAlign w:val="center"/>
          </w:tcPr>
          <w:p>
            <w:pPr>
              <w:jc w:val="center"/>
              <w:rPr>
                <w:b/>
                <w:sz w:val="24"/>
              </w:rPr>
            </w:pPr>
            <w:r>
              <w:rPr>
                <w:b/>
                <w:sz w:val="24"/>
              </w:rPr>
              <w:t>名称</w:t>
            </w:r>
          </w:p>
        </w:tc>
        <w:tc>
          <w:tcPr>
            <w:tcW w:w="1582" w:type="dxa"/>
            <w:gridSpan w:val="3"/>
            <w:vAlign w:val="center"/>
          </w:tcPr>
          <w:p>
            <w:pPr>
              <w:jc w:val="center"/>
              <w:rPr>
                <w:b/>
                <w:sz w:val="24"/>
              </w:rPr>
            </w:pPr>
            <w:r>
              <w:rPr>
                <w:b/>
                <w:sz w:val="24"/>
              </w:rPr>
              <w:t>消耗量</w:t>
            </w:r>
          </w:p>
        </w:tc>
        <w:tc>
          <w:tcPr>
            <w:tcW w:w="2474" w:type="dxa"/>
            <w:gridSpan w:val="2"/>
            <w:vAlign w:val="center"/>
          </w:tcPr>
          <w:p>
            <w:pPr>
              <w:jc w:val="center"/>
              <w:rPr>
                <w:b/>
                <w:sz w:val="24"/>
              </w:rPr>
            </w:pPr>
            <w:r>
              <w:rPr>
                <w:b/>
                <w:sz w:val="24"/>
              </w:rPr>
              <w:t>名称</w:t>
            </w:r>
          </w:p>
        </w:tc>
        <w:tc>
          <w:tcPr>
            <w:tcW w:w="1901" w:type="dxa"/>
            <w:gridSpan w:val="2"/>
            <w:tcBorders>
              <w:right w:val="single" w:color="auto" w:sz="12" w:space="0"/>
            </w:tcBorders>
            <w:vAlign w:val="center"/>
          </w:tcPr>
          <w:p>
            <w:pPr>
              <w:jc w:val="center"/>
              <w:rPr>
                <w:b/>
                <w:sz w:val="24"/>
              </w:rPr>
            </w:pPr>
            <w:r>
              <w:rPr>
                <w:b/>
                <w:sz w:val="24"/>
              </w:rPr>
              <w:t>消耗量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5" w:hRule="exact"/>
          <w:jc w:val="center"/>
        </w:trPr>
        <w:tc>
          <w:tcPr>
            <w:tcW w:w="2585" w:type="dxa"/>
            <w:gridSpan w:val="2"/>
            <w:tcBorders>
              <w:left w:val="single" w:color="auto" w:sz="12" w:space="0"/>
            </w:tcBorders>
            <w:vAlign w:val="center"/>
          </w:tcPr>
          <w:p>
            <w:pPr>
              <w:jc w:val="center"/>
              <w:rPr>
                <w:sz w:val="24"/>
                <w:highlight w:val="yellow"/>
              </w:rPr>
            </w:pPr>
            <w:r>
              <w:rPr>
                <w:sz w:val="24"/>
              </w:rPr>
              <w:t>水（吨/年）</w:t>
            </w:r>
          </w:p>
        </w:tc>
        <w:tc>
          <w:tcPr>
            <w:tcW w:w="1582" w:type="dxa"/>
            <w:gridSpan w:val="3"/>
            <w:vAlign w:val="center"/>
          </w:tcPr>
          <w:p>
            <w:pPr>
              <w:jc w:val="center"/>
              <w:rPr>
                <w:rFonts w:hint="default" w:eastAsia="宋体"/>
                <w:sz w:val="24"/>
                <w:lang w:val="en-US" w:eastAsia="zh-CN"/>
              </w:rPr>
            </w:pPr>
            <w:r>
              <w:rPr>
                <w:rFonts w:hint="eastAsia"/>
                <w:sz w:val="24"/>
                <w:lang w:val="en-US" w:eastAsia="zh-CN"/>
              </w:rPr>
              <w:t>464</w:t>
            </w:r>
          </w:p>
        </w:tc>
        <w:tc>
          <w:tcPr>
            <w:tcW w:w="2474" w:type="dxa"/>
            <w:gridSpan w:val="2"/>
            <w:vAlign w:val="center"/>
          </w:tcPr>
          <w:p>
            <w:pPr>
              <w:jc w:val="center"/>
              <w:rPr>
                <w:sz w:val="24"/>
              </w:rPr>
            </w:pPr>
            <w:r>
              <w:rPr>
                <w:sz w:val="24"/>
              </w:rPr>
              <w:t>蒸汽（吨/年）</w:t>
            </w:r>
          </w:p>
        </w:tc>
        <w:tc>
          <w:tcPr>
            <w:tcW w:w="1901" w:type="dxa"/>
            <w:gridSpan w:val="2"/>
            <w:tcBorders>
              <w:right w:val="single" w:color="auto" w:sz="12" w:space="0"/>
            </w:tcBorders>
            <w:vAlign w:val="center"/>
          </w:tcPr>
          <w:p>
            <w:pPr>
              <w:jc w:val="center"/>
              <w:rPr>
                <w:sz w:val="24"/>
              </w:rPr>
            </w:pPr>
            <w:r>
              <w:rPr>
                <w:sz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5" w:hRule="exact"/>
          <w:jc w:val="center"/>
        </w:trPr>
        <w:tc>
          <w:tcPr>
            <w:tcW w:w="2585" w:type="dxa"/>
            <w:gridSpan w:val="2"/>
            <w:tcBorders>
              <w:left w:val="single" w:color="auto" w:sz="12" w:space="0"/>
            </w:tcBorders>
            <w:vAlign w:val="center"/>
          </w:tcPr>
          <w:p>
            <w:pPr>
              <w:jc w:val="center"/>
              <w:rPr>
                <w:sz w:val="24"/>
                <w:highlight w:val="yellow"/>
              </w:rPr>
            </w:pPr>
            <w:r>
              <w:rPr>
                <w:sz w:val="24"/>
              </w:rPr>
              <w:t>电（千瓦时/年）</w:t>
            </w:r>
          </w:p>
        </w:tc>
        <w:tc>
          <w:tcPr>
            <w:tcW w:w="1582" w:type="dxa"/>
            <w:gridSpan w:val="3"/>
            <w:vAlign w:val="center"/>
          </w:tcPr>
          <w:p>
            <w:pPr>
              <w:jc w:val="center"/>
              <w:rPr>
                <w:sz w:val="24"/>
              </w:rPr>
            </w:pPr>
            <w:r>
              <w:rPr>
                <w:rFonts w:hint="eastAsia"/>
                <w:sz w:val="24"/>
                <w:lang w:val="en-US" w:eastAsia="zh-CN"/>
              </w:rPr>
              <w:t>20</w:t>
            </w:r>
            <w:r>
              <w:rPr>
                <w:sz w:val="24"/>
              </w:rPr>
              <w:t>万</w:t>
            </w:r>
          </w:p>
        </w:tc>
        <w:tc>
          <w:tcPr>
            <w:tcW w:w="2474" w:type="dxa"/>
            <w:gridSpan w:val="2"/>
            <w:vAlign w:val="center"/>
          </w:tcPr>
          <w:p>
            <w:pPr>
              <w:jc w:val="center"/>
              <w:rPr>
                <w:sz w:val="24"/>
              </w:rPr>
            </w:pPr>
            <w:r>
              <w:rPr>
                <w:sz w:val="24"/>
              </w:rPr>
              <w:t>燃气（标立方米/年）</w:t>
            </w:r>
          </w:p>
        </w:tc>
        <w:tc>
          <w:tcPr>
            <w:tcW w:w="1901" w:type="dxa"/>
            <w:gridSpan w:val="2"/>
            <w:tcBorders>
              <w:right w:val="single" w:color="auto" w:sz="12" w:space="0"/>
            </w:tcBorders>
            <w:vAlign w:val="center"/>
          </w:tcPr>
          <w:p>
            <w:pPr>
              <w:jc w:val="center"/>
              <w:rPr>
                <w:sz w:val="24"/>
              </w:rPr>
            </w:pPr>
            <w:r>
              <w:rPr>
                <w:sz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5" w:hRule="exact"/>
          <w:jc w:val="center"/>
        </w:trPr>
        <w:tc>
          <w:tcPr>
            <w:tcW w:w="2585" w:type="dxa"/>
            <w:gridSpan w:val="2"/>
            <w:tcBorders>
              <w:left w:val="single" w:color="auto" w:sz="12" w:space="0"/>
            </w:tcBorders>
            <w:vAlign w:val="center"/>
          </w:tcPr>
          <w:p>
            <w:pPr>
              <w:jc w:val="center"/>
              <w:rPr>
                <w:sz w:val="24"/>
              </w:rPr>
            </w:pPr>
            <w:r>
              <w:rPr>
                <w:sz w:val="24"/>
              </w:rPr>
              <w:t>燃煤（吨/年）</w:t>
            </w:r>
          </w:p>
        </w:tc>
        <w:tc>
          <w:tcPr>
            <w:tcW w:w="1582" w:type="dxa"/>
            <w:gridSpan w:val="3"/>
            <w:vAlign w:val="center"/>
          </w:tcPr>
          <w:p>
            <w:pPr>
              <w:jc w:val="center"/>
              <w:rPr>
                <w:sz w:val="24"/>
              </w:rPr>
            </w:pPr>
            <w:r>
              <w:rPr>
                <w:sz w:val="24"/>
              </w:rPr>
              <w:t>——</w:t>
            </w:r>
          </w:p>
        </w:tc>
        <w:tc>
          <w:tcPr>
            <w:tcW w:w="2474" w:type="dxa"/>
            <w:gridSpan w:val="2"/>
            <w:vAlign w:val="center"/>
          </w:tcPr>
          <w:p>
            <w:pPr>
              <w:jc w:val="center"/>
              <w:rPr>
                <w:sz w:val="24"/>
              </w:rPr>
            </w:pPr>
            <w:r>
              <w:rPr>
                <w:sz w:val="24"/>
              </w:rPr>
              <w:t>生物质燃料（吨/年）</w:t>
            </w:r>
          </w:p>
        </w:tc>
        <w:tc>
          <w:tcPr>
            <w:tcW w:w="1901" w:type="dxa"/>
            <w:gridSpan w:val="2"/>
            <w:tcBorders>
              <w:right w:val="single" w:color="auto" w:sz="12" w:space="0"/>
            </w:tcBorders>
            <w:vAlign w:val="center"/>
          </w:tcPr>
          <w:p>
            <w:pPr>
              <w:jc w:val="center"/>
              <w:rPr>
                <w:sz w:val="24"/>
              </w:rPr>
            </w:pPr>
            <w:r>
              <w:rPr>
                <w:sz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542" w:type="dxa"/>
            <w:gridSpan w:val="9"/>
            <w:tcBorders>
              <w:left w:val="single" w:color="auto" w:sz="12" w:space="0"/>
              <w:bottom w:val="single" w:color="auto" w:sz="4" w:space="0"/>
              <w:right w:val="single" w:color="auto" w:sz="12" w:space="0"/>
            </w:tcBorders>
          </w:tcPr>
          <w:p>
            <w:pPr>
              <w:spacing w:line="360" w:lineRule="auto"/>
              <w:rPr>
                <w:b/>
                <w:bCs/>
                <w:sz w:val="24"/>
              </w:rPr>
            </w:pPr>
            <w:r>
              <w:rPr>
                <w:b/>
                <w:bCs/>
                <w:sz w:val="24"/>
              </w:rPr>
              <w:t>废水（工业废水</w:t>
            </w:r>
            <w:r>
              <w:rPr>
                <w:szCs w:val="21"/>
              </w:rPr>
              <w:t>□</w:t>
            </w:r>
            <w:r>
              <w:rPr>
                <w:b/>
                <w:bCs/>
                <w:sz w:val="24"/>
              </w:rPr>
              <w:t>、生活污水</w:t>
            </w:r>
            <w:r>
              <w:rPr/>
              <w:sym w:font="Wingdings 2" w:char="F052"/>
            </w:r>
            <w:r>
              <w:rPr>
                <w:b/>
                <w:bCs/>
                <w:sz w:val="24"/>
              </w:rPr>
              <w:t>）排水量及排放去向：</w:t>
            </w:r>
          </w:p>
          <w:p>
            <w:pPr>
              <w:spacing w:line="360" w:lineRule="auto"/>
              <w:ind w:firstLine="480" w:firstLineChars="200"/>
              <w:rPr>
                <w:sz w:val="24"/>
              </w:rPr>
            </w:pPr>
            <w:r>
              <w:rPr>
                <w:sz w:val="24"/>
              </w:rPr>
              <w:t>建设项目厂区实行“雨污分流”制，依托</w:t>
            </w:r>
            <w:r>
              <w:rPr>
                <w:rFonts w:hint="eastAsia"/>
                <w:sz w:val="24"/>
                <w:lang w:eastAsia="zh-CN"/>
              </w:rPr>
              <w:t>智谷科技园</w:t>
            </w:r>
            <w:r>
              <w:rPr>
                <w:sz w:val="24"/>
              </w:rPr>
              <w:t>厂区现有雨污管网等。雨水经雨水管网收集后就近排入附近河流</w:t>
            </w:r>
            <w:r>
              <w:rPr>
                <w:rFonts w:hint="eastAsia"/>
                <w:sz w:val="24"/>
              </w:rPr>
              <w:t>城</w:t>
            </w:r>
            <w:r>
              <w:rPr>
                <w:rFonts w:hint="eastAsia"/>
                <w:sz w:val="24"/>
                <w:lang w:eastAsia="zh-CN"/>
              </w:rPr>
              <w:t>尧塘河</w:t>
            </w:r>
            <w:r>
              <w:rPr>
                <w:sz w:val="24"/>
              </w:rPr>
              <w:t>。项目排水</w:t>
            </w:r>
            <w:r>
              <w:rPr>
                <w:rFonts w:hint="eastAsia"/>
                <w:sz w:val="24"/>
              </w:rPr>
              <w:t>为</w:t>
            </w:r>
            <w:r>
              <w:rPr>
                <w:sz w:val="24"/>
              </w:rPr>
              <w:t>生活污水</w:t>
            </w:r>
            <w:r>
              <w:rPr>
                <w:rFonts w:hint="eastAsia"/>
                <w:sz w:val="24"/>
              </w:rPr>
              <w:t>。</w:t>
            </w:r>
            <w:r>
              <w:rPr>
                <w:sz w:val="24"/>
              </w:rPr>
              <w:t>生活污水经收集预处理</w:t>
            </w:r>
            <w:r>
              <w:rPr>
                <w:rFonts w:hint="eastAsia"/>
                <w:sz w:val="24"/>
              </w:rPr>
              <w:t>，</w:t>
            </w:r>
            <w:r>
              <w:rPr>
                <w:sz w:val="24"/>
              </w:rPr>
              <w:t>通过</w:t>
            </w:r>
            <w:r>
              <w:rPr>
                <w:rFonts w:hint="eastAsia"/>
                <w:sz w:val="24"/>
                <w:szCs w:val="24"/>
                <w:lang w:eastAsia="zh-CN"/>
              </w:rPr>
              <w:t>智谷科技园</w:t>
            </w:r>
            <w:r>
              <w:rPr>
                <w:sz w:val="24"/>
              </w:rPr>
              <w:t>厂区</w:t>
            </w:r>
            <w:r>
              <w:rPr>
                <w:rFonts w:hint="eastAsia"/>
                <w:sz w:val="24"/>
              </w:rPr>
              <w:t>污水</w:t>
            </w:r>
            <w:r>
              <w:rPr>
                <w:sz w:val="24"/>
              </w:rPr>
              <w:t>总排口排入金坛区第二污水处理厂深度处理，达标后排入尧塘河。</w:t>
            </w:r>
            <w:r>
              <w:rPr>
                <w:rFonts w:hint="eastAsia"/>
                <w:sz w:val="24"/>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9" w:hRule="atLeast"/>
          <w:jc w:val="center"/>
        </w:trPr>
        <w:tc>
          <w:tcPr>
            <w:tcW w:w="8542" w:type="dxa"/>
            <w:gridSpan w:val="9"/>
            <w:tcBorders>
              <w:left w:val="single" w:color="auto" w:sz="12" w:space="0"/>
              <w:bottom w:val="single" w:color="auto" w:sz="12" w:space="0"/>
              <w:right w:val="single" w:color="auto" w:sz="12" w:space="0"/>
            </w:tcBorders>
          </w:tcPr>
          <w:p>
            <w:pPr>
              <w:spacing w:line="360" w:lineRule="auto"/>
              <w:rPr>
                <w:b/>
                <w:bCs/>
                <w:sz w:val="24"/>
              </w:rPr>
            </w:pPr>
            <w:r>
              <w:rPr>
                <w:b/>
                <w:bCs/>
                <w:sz w:val="24"/>
              </w:rPr>
              <w:t>放射性同位素和伴有电磁辐射的设施的使用情况：</w:t>
            </w:r>
          </w:p>
          <w:p>
            <w:pPr>
              <w:spacing w:line="360" w:lineRule="auto"/>
              <w:ind w:firstLine="480" w:firstLineChars="200"/>
              <w:rPr>
                <w:rFonts w:hint="eastAsia" w:eastAsia="宋体"/>
                <w:sz w:val="24"/>
                <w:lang w:eastAsia="zh-CN"/>
              </w:rPr>
            </w:pPr>
            <w:r>
              <w:rPr>
                <w:sz w:val="24"/>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739" w:hRule="atLeast"/>
          <w:jc w:val="center"/>
        </w:trPr>
        <w:tc>
          <w:tcPr>
            <w:tcW w:w="8542" w:type="dxa"/>
            <w:gridSpan w:val="9"/>
            <w:tcBorders>
              <w:top w:val="single" w:color="auto" w:sz="12" w:space="0"/>
              <w:left w:val="single" w:color="auto" w:sz="12" w:space="0"/>
              <w:bottom w:val="single" w:color="auto" w:sz="12" w:space="0"/>
              <w:right w:val="single" w:color="auto" w:sz="12" w:space="0"/>
            </w:tcBorders>
          </w:tcPr>
          <w:p>
            <w:pPr>
              <w:spacing w:line="360" w:lineRule="auto"/>
              <w:rPr>
                <w:b/>
                <w:color w:val="000000" w:themeColor="text1"/>
                <w:sz w:val="24"/>
                <w14:textFill>
                  <w14:solidFill>
                    <w14:schemeClr w14:val="tx1"/>
                  </w14:solidFill>
                </w14:textFill>
              </w:rPr>
            </w:pPr>
            <w:r>
              <w:rPr>
                <w:b/>
                <w:color w:val="000000" w:themeColor="text1"/>
                <w:sz w:val="24"/>
                <w14:textFill>
                  <w14:solidFill>
                    <w14:schemeClr w14:val="tx1"/>
                  </w14:solidFill>
                </w14:textFill>
              </w:rPr>
              <w:t>原辅材料及主要设备：</w:t>
            </w:r>
          </w:p>
          <w:p>
            <w:pPr>
              <w:spacing w:line="360" w:lineRule="auto"/>
              <w:ind w:firstLine="480" w:firstLineChars="200"/>
              <w:rPr>
                <w:b/>
                <w:color w:val="000000" w:themeColor="text1"/>
                <w:sz w:val="24"/>
                <w14:textFill>
                  <w14:solidFill>
                    <w14:schemeClr w14:val="tx1"/>
                  </w14:solidFill>
                </w14:textFill>
              </w:rPr>
            </w:pPr>
            <w:r>
              <w:rPr>
                <w:b/>
                <w:color w:val="000000" w:themeColor="text1"/>
                <w:sz w:val="24"/>
                <w14:textFill>
                  <w14:solidFill>
                    <w14:schemeClr w14:val="tx1"/>
                  </w14:solidFill>
                </w14:textFill>
              </w:rPr>
              <w:t>1、原辅材料</w:t>
            </w:r>
          </w:p>
          <w:p>
            <w:pPr>
              <w:ind w:firstLine="480" w:firstLineChars="200"/>
              <w:rPr>
                <w:color w:val="000000" w:themeColor="text1"/>
                <w:sz w:val="24"/>
                <w14:textFill>
                  <w14:solidFill>
                    <w14:schemeClr w14:val="tx1"/>
                  </w14:solidFill>
                </w14:textFill>
              </w:rPr>
            </w:pPr>
            <w:r>
              <w:rPr>
                <w:color w:val="000000" w:themeColor="text1"/>
                <w:sz w:val="24"/>
                <w14:textFill>
                  <w14:solidFill>
                    <w14:schemeClr w14:val="tx1"/>
                  </w14:solidFill>
                </w14:textFill>
              </w:rPr>
              <w:t>建设项目主要原辅材料见表1-1。</w:t>
            </w:r>
          </w:p>
          <w:p>
            <w:pPr>
              <w:pStyle w:val="15"/>
              <w:keepNext/>
              <w:jc w:val="center"/>
              <w:rPr>
                <w:rFonts w:ascii="Times New Roman" w:hAnsi="Times New Roman"/>
                <w:color w:val="000000" w:themeColor="text1"/>
                <w:kern w:val="2"/>
                <w:sz w:val="21"/>
                <w:szCs w:val="21"/>
                <w14:textFill>
                  <w14:solidFill>
                    <w14:schemeClr w14:val="tx1"/>
                  </w14:solidFill>
                </w14:textFill>
              </w:rPr>
            </w:pPr>
            <w:bookmarkStart w:id="2" w:name="_Ref435018892"/>
            <w:r>
              <w:rPr>
                <w:rFonts w:ascii="Times New Roman" w:hAnsi="Times New Roman"/>
                <w:color w:val="000000" w:themeColor="text1"/>
                <w:kern w:val="2"/>
                <w:sz w:val="21"/>
                <w:szCs w:val="21"/>
                <w14:textFill>
                  <w14:solidFill>
                    <w14:schemeClr w14:val="tx1"/>
                  </w14:solidFill>
                </w14:textFill>
              </w:rPr>
              <w:t>表</w:t>
            </w:r>
            <w:bookmarkEnd w:id="2"/>
            <w:r>
              <w:rPr>
                <w:rFonts w:ascii="Times New Roman" w:hAnsi="Times New Roman"/>
                <w:color w:val="000000" w:themeColor="text1"/>
                <w:kern w:val="2"/>
                <w:sz w:val="21"/>
                <w:szCs w:val="21"/>
                <w14:textFill>
                  <w14:solidFill>
                    <w14:schemeClr w14:val="tx1"/>
                  </w14:solidFill>
                </w14:textFill>
              </w:rPr>
              <w:t>1-1  主要原辅材料表</w:t>
            </w:r>
          </w:p>
          <w:tbl>
            <w:tblPr>
              <w:tblStyle w:val="56"/>
              <w:tblW w:w="4998" w:type="pct"/>
              <w:jc w:val="center"/>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Layout w:type="fixed"/>
              <w:tblCellMar>
                <w:top w:w="0" w:type="dxa"/>
                <w:left w:w="108" w:type="dxa"/>
                <w:bottom w:w="0" w:type="dxa"/>
                <w:right w:w="108" w:type="dxa"/>
              </w:tblCellMar>
            </w:tblPr>
            <w:tblGrid>
              <w:gridCol w:w="424"/>
              <w:gridCol w:w="1561"/>
              <w:gridCol w:w="870"/>
              <w:gridCol w:w="1148"/>
              <w:gridCol w:w="1621"/>
              <w:gridCol w:w="1376"/>
              <w:gridCol w:w="1323"/>
            </w:tblGrid>
            <w:tr>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108" w:type="dxa"/>
                  <w:bottom w:w="0" w:type="dxa"/>
                  <w:right w:w="108" w:type="dxa"/>
                </w:tblCellMar>
              </w:tblPrEx>
              <w:trPr>
                <w:trHeight w:val="90" w:hRule="atLeast"/>
                <w:jc w:val="center"/>
              </w:trPr>
              <w:tc>
                <w:tcPr>
                  <w:tcW w:w="255" w:type="pct"/>
                  <w:vAlign w:val="center"/>
                </w:tcPr>
                <w:p>
                  <w:pPr>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序号</w:t>
                  </w:r>
                </w:p>
              </w:tc>
              <w:tc>
                <w:tcPr>
                  <w:tcW w:w="937" w:type="pct"/>
                  <w:vAlign w:val="center"/>
                </w:tcPr>
                <w:p>
                  <w:pPr>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原辅料名称</w:t>
                  </w:r>
                </w:p>
              </w:tc>
              <w:tc>
                <w:tcPr>
                  <w:tcW w:w="522" w:type="pct"/>
                  <w:vAlign w:val="center"/>
                </w:tcPr>
                <w:p>
                  <w:pPr>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年用量</w:t>
                  </w:r>
                </w:p>
              </w:tc>
              <w:tc>
                <w:tcPr>
                  <w:tcW w:w="689" w:type="pct"/>
                  <w:vAlign w:val="center"/>
                </w:tcPr>
                <w:p>
                  <w:pPr>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物料形态</w:t>
                  </w:r>
                </w:p>
              </w:tc>
              <w:tc>
                <w:tcPr>
                  <w:tcW w:w="973" w:type="pct"/>
                  <w:vAlign w:val="center"/>
                </w:tcPr>
                <w:p>
                  <w:pPr>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主要组分</w:t>
                  </w:r>
                </w:p>
              </w:tc>
              <w:tc>
                <w:tcPr>
                  <w:tcW w:w="826" w:type="pct"/>
                  <w:vAlign w:val="center"/>
                </w:tcPr>
                <w:p>
                  <w:pPr>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规格</w:t>
                  </w:r>
                </w:p>
              </w:tc>
              <w:tc>
                <w:tcPr>
                  <w:tcW w:w="794" w:type="pct"/>
                  <w:vAlign w:val="center"/>
                </w:tcPr>
                <w:p>
                  <w:pPr>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备注</w:t>
                  </w:r>
                </w:p>
              </w:tc>
            </w:tr>
            <w:tr>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108" w:type="dxa"/>
                  <w:bottom w:w="0" w:type="dxa"/>
                  <w:right w:w="108" w:type="dxa"/>
                </w:tblCellMar>
              </w:tblPrEx>
              <w:trPr>
                <w:trHeight w:val="441" w:hRule="atLeast"/>
                <w:jc w:val="center"/>
              </w:trPr>
              <w:tc>
                <w:tcPr>
                  <w:tcW w:w="255" w:type="pct"/>
                  <w:vAlign w:val="center"/>
                </w:tcPr>
                <w:p>
                  <w:pPr>
                    <w:jc w:val="center"/>
                    <w:rPr>
                      <w:rFonts w:hint="eastAsia" w:eastAsia="宋体"/>
                      <w:color w:val="000000" w:themeColor="text1"/>
                      <w:szCs w:val="21"/>
                      <w:lang w:val="en-US" w:eastAsia="zh-CN"/>
                      <w14:textFill>
                        <w14:solidFill>
                          <w14:schemeClr w14:val="tx1"/>
                        </w14:solidFill>
                      </w14:textFill>
                    </w:rPr>
                  </w:pPr>
                  <w:r>
                    <w:rPr>
                      <w:rFonts w:hint="eastAsia"/>
                      <w:color w:val="000000" w:themeColor="text1"/>
                      <w:szCs w:val="21"/>
                      <w:lang w:val="en-US" w:eastAsia="zh-CN"/>
                      <w14:textFill>
                        <w14:solidFill>
                          <w14:schemeClr w14:val="tx1"/>
                        </w14:solidFill>
                      </w14:textFill>
                    </w:rPr>
                    <w:t>1</w:t>
                  </w:r>
                </w:p>
              </w:tc>
              <w:tc>
                <w:tcPr>
                  <w:tcW w:w="937" w:type="pct"/>
                  <w:vAlign w:val="center"/>
                </w:tcPr>
                <w:p>
                  <w:pPr>
                    <w:jc w:val="center"/>
                    <w:rPr>
                      <w:rFonts w:hint="eastAsia" w:eastAsia="宋体"/>
                      <w:color w:val="000000" w:themeColor="text1"/>
                      <w:szCs w:val="21"/>
                      <w:lang w:eastAsia="zh-CN"/>
                      <w14:textFill>
                        <w14:solidFill>
                          <w14:schemeClr w14:val="tx1"/>
                        </w14:solidFill>
                      </w14:textFill>
                    </w:rPr>
                  </w:pPr>
                  <w:r>
                    <w:rPr>
                      <w:rFonts w:hint="eastAsia"/>
                      <w:color w:val="000000" w:themeColor="text1"/>
                      <w:szCs w:val="21"/>
                      <w:lang w:eastAsia="zh-CN"/>
                      <w14:textFill>
                        <w14:solidFill>
                          <w14:schemeClr w14:val="tx1"/>
                        </w14:solidFill>
                      </w14:textFill>
                    </w:rPr>
                    <w:t>镍钛丝</w:t>
                  </w:r>
                </w:p>
              </w:tc>
              <w:tc>
                <w:tcPr>
                  <w:tcW w:w="522" w:type="pct"/>
                  <w:vAlign w:val="center"/>
                </w:tcPr>
                <w:p>
                  <w:pPr>
                    <w:widowControl/>
                    <w:jc w:val="center"/>
                    <w:textAlignment w:val="center"/>
                    <w:rPr>
                      <w:rFonts w:hint="default" w:eastAsia="宋体"/>
                      <w:color w:val="000000" w:themeColor="text1"/>
                      <w:szCs w:val="21"/>
                      <w:lang w:val="en-US" w:eastAsia="zh-CN"/>
                      <w14:textFill>
                        <w14:solidFill>
                          <w14:schemeClr w14:val="tx1"/>
                        </w14:solidFill>
                      </w14:textFill>
                    </w:rPr>
                  </w:pPr>
                  <w:r>
                    <w:rPr>
                      <w:rFonts w:hint="eastAsia"/>
                      <w:color w:val="000000" w:themeColor="text1"/>
                      <w:szCs w:val="21"/>
                      <w:lang w:val="en-US" w:eastAsia="zh-CN"/>
                      <w14:textFill>
                        <w14:solidFill>
                          <w14:schemeClr w14:val="tx1"/>
                        </w14:solidFill>
                      </w14:textFill>
                    </w:rPr>
                    <w:t>3t/a</w:t>
                  </w:r>
                </w:p>
              </w:tc>
              <w:tc>
                <w:tcPr>
                  <w:tcW w:w="689" w:type="pct"/>
                  <w:vAlign w:val="center"/>
                </w:tcPr>
                <w:p>
                  <w:pPr>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固态</w:t>
                  </w:r>
                </w:p>
              </w:tc>
              <w:tc>
                <w:tcPr>
                  <w:tcW w:w="973" w:type="pct"/>
                  <w:vAlign w:val="center"/>
                </w:tcPr>
                <w:p>
                  <w:pPr>
                    <w:jc w:val="center"/>
                    <w:rPr>
                      <w:color w:val="000000" w:themeColor="text1"/>
                      <w:szCs w:val="21"/>
                      <w14:textFill>
                        <w14:solidFill>
                          <w14:schemeClr w14:val="tx1"/>
                        </w14:solidFill>
                      </w14:textFill>
                    </w:rPr>
                  </w:pPr>
                  <w:r>
                    <w:rPr>
                      <w:rFonts w:hint="eastAsia"/>
                      <w:color w:val="000000" w:themeColor="text1"/>
                      <w:szCs w:val="21"/>
                      <w:lang w:eastAsia="zh-CN"/>
                      <w14:textFill>
                        <w14:solidFill>
                          <w14:schemeClr w14:val="tx1"/>
                        </w14:solidFill>
                      </w14:textFill>
                    </w:rPr>
                    <w:t>镍钛丝</w:t>
                  </w:r>
                </w:p>
              </w:tc>
              <w:tc>
                <w:tcPr>
                  <w:tcW w:w="826" w:type="pct"/>
                  <w:vAlign w:val="center"/>
                </w:tcPr>
                <w:p>
                  <w:pPr>
                    <w:jc w:val="center"/>
                    <w:rPr>
                      <w:rFonts w:hint="eastAsia" w:eastAsia="宋体"/>
                      <w:color w:val="000000" w:themeColor="text1"/>
                      <w:szCs w:val="21"/>
                      <w:lang w:val="en-US" w:eastAsia="zh-CN"/>
                      <w14:textFill>
                        <w14:solidFill>
                          <w14:schemeClr w14:val="tx1"/>
                        </w14:solidFill>
                      </w14:textFill>
                    </w:rPr>
                  </w:pPr>
                  <w:r>
                    <w:rPr>
                      <w:rFonts w:hint="eastAsia"/>
                      <w:color w:val="000000" w:themeColor="text1"/>
                      <w:szCs w:val="21"/>
                      <w:lang w:val="en-US" w:eastAsia="zh-CN"/>
                      <w14:textFill>
                        <w14:solidFill>
                          <w14:schemeClr w14:val="tx1"/>
                        </w14:solidFill>
                      </w14:textFill>
                    </w:rPr>
                    <w:t>/</w:t>
                  </w:r>
                </w:p>
              </w:tc>
              <w:tc>
                <w:tcPr>
                  <w:tcW w:w="794" w:type="pct"/>
                  <w:vAlign w:val="center"/>
                </w:tcPr>
                <w:p>
                  <w:pPr>
                    <w:jc w:val="center"/>
                    <w:rPr>
                      <w:rFonts w:hint="eastAsia" w:eastAsia="宋体"/>
                      <w:color w:val="000000" w:themeColor="text1"/>
                      <w:szCs w:val="21"/>
                      <w:lang w:eastAsia="zh-CN"/>
                      <w14:textFill>
                        <w14:solidFill>
                          <w14:schemeClr w14:val="tx1"/>
                        </w14:solidFill>
                      </w14:textFill>
                    </w:rPr>
                  </w:pPr>
                  <w:r>
                    <w:rPr>
                      <w:rFonts w:hint="eastAsia"/>
                      <w:color w:val="000000" w:themeColor="text1"/>
                      <w:szCs w:val="21"/>
                      <w:lang w:eastAsia="zh-CN"/>
                      <w14:textFill>
                        <w14:solidFill>
                          <w14:schemeClr w14:val="tx1"/>
                        </w14:solidFill>
                      </w14:textFill>
                    </w:rPr>
                    <w:t>国内汽运</w:t>
                  </w:r>
                </w:p>
              </w:tc>
            </w:tr>
            <w:tr>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108" w:type="dxa"/>
                  <w:bottom w:w="0" w:type="dxa"/>
                  <w:right w:w="108" w:type="dxa"/>
                </w:tblCellMar>
              </w:tblPrEx>
              <w:trPr>
                <w:trHeight w:val="90" w:hRule="atLeast"/>
                <w:jc w:val="center"/>
              </w:trPr>
              <w:tc>
                <w:tcPr>
                  <w:tcW w:w="255" w:type="pct"/>
                  <w:vAlign w:val="center"/>
                </w:tcPr>
                <w:p>
                  <w:pPr>
                    <w:jc w:val="center"/>
                    <w:rPr>
                      <w:rFonts w:hint="eastAsia" w:eastAsia="宋体"/>
                      <w:color w:val="000000" w:themeColor="text1"/>
                      <w:szCs w:val="21"/>
                      <w:lang w:val="en-US" w:eastAsia="zh-CN"/>
                      <w14:textFill>
                        <w14:solidFill>
                          <w14:schemeClr w14:val="tx1"/>
                        </w14:solidFill>
                      </w14:textFill>
                    </w:rPr>
                  </w:pPr>
                  <w:r>
                    <w:rPr>
                      <w:rFonts w:hint="eastAsia"/>
                      <w:color w:val="000000" w:themeColor="text1"/>
                      <w:szCs w:val="21"/>
                      <w:lang w:val="en-US" w:eastAsia="zh-CN"/>
                      <w14:textFill>
                        <w14:solidFill>
                          <w14:schemeClr w14:val="tx1"/>
                        </w14:solidFill>
                      </w14:textFill>
                    </w:rPr>
                    <w:t>2</w:t>
                  </w:r>
                </w:p>
              </w:tc>
              <w:tc>
                <w:tcPr>
                  <w:tcW w:w="937" w:type="pct"/>
                  <w:vAlign w:val="center"/>
                </w:tcPr>
                <w:p>
                  <w:pPr>
                    <w:jc w:val="center"/>
                    <w:rPr>
                      <w:rFonts w:hint="eastAsia" w:eastAsia="宋体"/>
                      <w:color w:val="000000" w:themeColor="text1"/>
                      <w:szCs w:val="21"/>
                      <w:lang w:eastAsia="zh-CN"/>
                      <w14:textFill>
                        <w14:solidFill>
                          <w14:schemeClr w14:val="tx1"/>
                        </w14:solidFill>
                      </w14:textFill>
                    </w:rPr>
                  </w:pPr>
                  <w:r>
                    <w:rPr>
                      <w:rFonts w:hint="eastAsia"/>
                      <w:color w:val="000000" w:themeColor="text1"/>
                      <w:szCs w:val="21"/>
                      <w:lang w:eastAsia="zh-CN"/>
                      <w14:textFill>
                        <w14:solidFill>
                          <w14:schemeClr w14:val="tx1"/>
                        </w14:solidFill>
                      </w14:textFill>
                    </w:rPr>
                    <w:t>不锈钢丝</w:t>
                  </w:r>
                </w:p>
              </w:tc>
              <w:tc>
                <w:tcPr>
                  <w:tcW w:w="522" w:type="pct"/>
                  <w:vAlign w:val="center"/>
                </w:tcPr>
                <w:p>
                  <w:pPr>
                    <w:widowControl/>
                    <w:jc w:val="center"/>
                    <w:textAlignment w:val="center"/>
                    <w:rPr>
                      <w:rFonts w:hint="default" w:eastAsia="宋体"/>
                      <w:color w:val="000000" w:themeColor="text1"/>
                      <w:szCs w:val="21"/>
                      <w:lang w:val="en-US" w:eastAsia="zh-CN"/>
                      <w14:textFill>
                        <w14:solidFill>
                          <w14:schemeClr w14:val="tx1"/>
                        </w14:solidFill>
                      </w14:textFill>
                    </w:rPr>
                  </w:pPr>
                  <w:r>
                    <w:rPr>
                      <w:rFonts w:hint="eastAsia"/>
                      <w:color w:val="000000" w:themeColor="text1"/>
                      <w:szCs w:val="21"/>
                      <w:lang w:val="en-US" w:eastAsia="zh-CN"/>
                      <w14:textFill>
                        <w14:solidFill>
                          <w14:schemeClr w14:val="tx1"/>
                        </w14:solidFill>
                      </w14:textFill>
                    </w:rPr>
                    <w:t>2.5t/a</w:t>
                  </w:r>
                </w:p>
              </w:tc>
              <w:tc>
                <w:tcPr>
                  <w:tcW w:w="689" w:type="pct"/>
                  <w:vAlign w:val="center"/>
                </w:tcPr>
                <w:p>
                  <w:pPr>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固态</w:t>
                  </w:r>
                </w:p>
              </w:tc>
              <w:tc>
                <w:tcPr>
                  <w:tcW w:w="973" w:type="pct"/>
                  <w:vAlign w:val="center"/>
                </w:tcPr>
                <w:p>
                  <w:pPr>
                    <w:jc w:val="center"/>
                    <w:rPr>
                      <w:color w:val="000000" w:themeColor="text1"/>
                      <w:szCs w:val="21"/>
                      <w14:textFill>
                        <w14:solidFill>
                          <w14:schemeClr w14:val="tx1"/>
                        </w14:solidFill>
                      </w14:textFill>
                    </w:rPr>
                  </w:pPr>
                  <w:r>
                    <w:rPr>
                      <w:rFonts w:hint="eastAsia"/>
                      <w:color w:val="000000" w:themeColor="text1"/>
                      <w:szCs w:val="21"/>
                      <w:lang w:eastAsia="zh-CN"/>
                      <w14:textFill>
                        <w14:solidFill>
                          <w14:schemeClr w14:val="tx1"/>
                        </w14:solidFill>
                      </w14:textFill>
                    </w:rPr>
                    <w:t>不锈钢丝</w:t>
                  </w:r>
                </w:p>
              </w:tc>
              <w:tc>
                <w:tcPr>
                  <w:tcW w:w="826" w:type="pct"/>
                  <w:vAlign w:val="center"/>
                </w:tcPr>
                <w:p>
                  <w:pPr>
                    <w:jc w:val="center"/>
                    <w:rPr>
                      <w:rFonts w:hint="eastAsia" w:eastAsia="宋体"/>
                      <w:color w:val="000000" w:themeColor="text1"/>
                      <w:szCs w:val="21"/>
                      <w:lang w:val="en-US" w:eastAsia="zh-CN"/>
                      <w14:textFill>
                        <w14:solidFill>
                          <w14:schemeClr w14:val="tx1"/>
                        </w14:solidFill>
                      </w14:textFill>
                    </w:rPr>
                  </w:pPr>
                  <w:r>
                    <w:rPr>
                      <w:rFonts w:hint="eastAsia"/>
                      <w:color w:val="000000" w:themeColor="text1"/>
                      <w:szCs w:val="21"/>
                      <w:lang w:val="en-US" w:eastAsia="zh-CN"/>
                      <w14:textFill>
                        <w14:solidFill>
                          <w14:schemeClr w14:val="tx1"/>
                        </w14:solidFill>
                      </w14:textFill>
                    </w:rPr>
                    <w:t>/</w:t>
                  </w:r>
                </w:p>
              </w:tc>
              <w:tc>
                <w:tcPr>
                  <w:tcW w:w="794" w:type="pct"/>
                  <w:vAlign w:val="center"/>
                </w:tcPr>
                <w:p>
                  <w:pPr>
                    <w:jc w:val="center"/>
                    <w:rPr>
                      <w:color w:val="000000" w:themeColor="text1"/>
                      <w:szCs w:val="21"/>
                      <w14:textFill>
                        <w14:solidFill>
                          <w14:schemeClr w14:val="tx1"/>
                        </w14:solidFill>
                      </w14:textFill>
                    </w:rPr>
                  </w:pPr>
                  <w:r>
                    <w:rPr>
                      <w:rFonts w:hint="eastAsia"/>
                      <w:color w:val="000000" w:themeColor="text1"/>
                      <w:szCs w:val="21"/>
                      <w:lang w:eastAsia="zh-CN"/>
                      <w14:textFill>
                        <w14:solidFill>
                          <w14:schemeClr w14:val="tx1"/>
                        </w14:solidFill>
                      </w14:textFill>
                    </w:rPr>
                    <w:t>国内汽运</w:t>
                  </w:r>
                </w:p>
              </w:tc>
            </w:tr>
            <w:tr>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108" w:type="dxa"/>
                  <w:bottom w:w="0" w:type="dxa"/>
                  <w:right w:w="108" w:type="dxa"/>
                </w:tblCellMar>
              </w:tblPrEx>
              <w:trPr>
                <w:trHeight w:val="426" w:hRule="atLeast"/>
                <w:jc w:val="center"/>
              </w:trPr>
              <w:tc>
                <w:tcPr>
                  <w:tcW w:w="255" w:type="pct"/>
                  <w:vAlign w:val="center"/>
                </w:tcPr>
                <w:p>
                  <w:pPr>
                    <w:jc w:val="center"/>
                    <w:rPr>
                      <w:rFonts w:hint="default" w:eastAsia="宋体"/>
                      <w:color w:val="000000" w:themeColor="text1"/>
                      <w:szCs w:val="21"/>
                      <w:lang w:val="en-US" w:eastAsia="zh-CN"/>
                      <w14:textFill>
                        <w14:solidFill>
                          <w14:schemeClr w14:val="tx1"/>
                        </w14:solidFill>
                      </w14:textFill>
                    </w:rPr>
                  </w:pPr>
                  <w:r>
                    <w:rPr>
                      <w:rFonts w:hint="eastAsia"/>
                      <w:color w:val="000000" w:themeColor="text1"/>
                      <w:szCs w:val="21"/>
                      <w:lang w:val="en-US" w:eastAsia="zh-CN"/>
                      <w14:textFill>
                        <w14:solidFill>
                          <w14:schemeClr w14:val="tx1"/>
                        </w14:solidFill>
                      </w14:textFill>
                    </w:rPr>
                    <w:t>3</w:t>
                  </w:r>
                </w:p>
              </w:tc>
              <w:tc>
                <w:tcPr>
                  <w:tcW w:w="937" w:type="pct"/>
                  <w:vAlign w:val="center"/>
                </w:tcPr>
                <w:p>
                  <w:pPr>
                    <w:jc w:val="center"/>
                    <w:rPr>
                      <w:rFonts w:hint="default" w:eastAsia="宋体"/>
                      <w:color w:val="000000" w:themeColor="text1"/>
                      <w:szCs w:val="21"/>
                      <w:lang w:val="en-US" w:eastAsia="zh-CN"/>
                      <w14:textFill>
                        <w14:solidFill>
                          <w14:schemeClr w14:val="tx1"/>
                        </w14:solidFill>
                      </w14:textFill>
                    </w:rPr>
                  </w:pPr>
                  <w:r>
                    <w:rPr>
                      <w:rFonts w:hint="eastAsia"/>
                      <w:color w:val="000000" w:themeColor="text1"/>
                      <w:szCs w:val="21"/>
                      <w:lang w:val="en-US" w:eastAsia="zh-CN"/>
                      <w14:textFill>
                        <w14:solidFill>
                          <w14:schemeClr w14:val="tx1"/>
                        </w14:solidFill>
                      </w14:textFill>
                    </w:rPr>
                    <w:t>热塑性弹体（TPVC）</w:t>
                  </w:r>
                </w:p>
              </w:tc>
              <w:tc>
                <w:tcPr>
                  <w:tcW w:w="522" w:type="pct"/>
                  <w:vAlign w:val="center"/>
                </w:tcPr>
                <w:p>
                  <w:pPr>
                    <w:widowControl/>
                    <w:jc w:val="center"/>
                    <w:textAlignment w:val="center"/>
                    <w:rPr>
                      <w:rFonts w:hint="default" w:eastAsia="宋体"/>
                      <w:color w:val="000000" w:themeColor="text1"/>
                      <w:szCs w:val="21"/>
                      <w:lang w:val="en-US" w:eastAsia="zh-CN"/>
                      <w14:textFill>
                        <w14:solidFill>
                          <w14:schemeClr w14:val="tx1"/>
                        </w14:solidFill>
                      </w14:textFill>
                    </w:rPr>
                  </w:pPr>
                  <w:r>
                    <w:rPr>
                      <w:rFonts w:hint="eastAsia"/>
                      <w:color w:val="000000" w:themeColor="text1"/>
                      <w:szCs w:val="21"/>
                      <w:lang w:val="en-US" w:eastAsia="zh-CN"/>
                      <w14:textFill>
                        <w14:solidFill>
                          <w14:schemeClr w14:val="tx1"/>
                        </w14:solidFill>
                      </w14:textFill>
                    </w:rPr>
                    <w:t>0.3t/a</w:t>
                  </w:r>
                </w:p>
              </w:tc>
              <w:tc>
                <w:tcPr>
                  <w:tcW w:w="689" w:type="pct"/>
                  <w:vAlign w:val="center"/>
                </w:tcPr>
                <w:p>
                  <w:pPr>
                    <w:jc w:val="center"/>
                    <w:rPr>
                      <w:rFonts w:hint="eastAsia" w:eastAsia="宋体"/>
                      <w:color w:val="000000" w:themeColor="text1"/>
                      <w:szCs w:val="21"/>
                      <w:lang w:eastAsia="zh-CN"/>
                      <w14:textFill>
                        <w14:solidFill>
                          <w14:schemeClr w14:val="tx1"/>
                        </w14:solidFill>
                      </w14:textFill>
                    </w:rPr>
                  </w:pPr>
                  <w:r>
                    <w:rPr>
                      <w:rFonts w:hint="eastAsia"/>
                      <w:color w:val="000000" w:themeColor="text1"/>
                      <w:szCs w:val="21"/>
                      <w:lang w:eastAsia="zh-CN"/>
                      <w14:textFill>
                        <w14:solidFill>
                          <w14:schemeClr w14:val="tx1"/>
                        </w14:solidFill>
                      </w14:textFill>
                    </w:rPr>
                    <w:t>固态颗粒物</w:t>
                  </w:r>
                </w:p>
              </w:tc>
              <w:tc>
                <w:tcPr>
                  <w:tcW w:w="973" w:type="pct"/>
                  <w:vAlign w:val="center"/>
                </w:tcPr>
                <w:p>
                  <w:pPr>
                    <w:jc w:val="center"/>
                    <w:rPr>
                      <w:rFonts w:hint="eastAsia" w:eastAsia="宋体"/>
                      <w:color w:val="000000" w:themeColor="text1"/>
                      <w:szCs w:val="21"/>
                      <w:lang w:eastAsia="zh-CN"/>
                      <w14:textFill>
                        <w14:solidFill>
                          <w14:schemeClr w14:val="tx1"/>
                        </w14:solidFill>
                      </w14:textFill>
                    </w:rPr>
                  </w:pPr>
                  <w:r>
                    <w:rPr>
                      <w:rFonts w:hint="eastAsia"/>
                      <w:color w:val="000000" w:themeColor="text1"/>
                      <w:szCs w:val="21"/>
                      <w:lang w:eastAsia="zh-CN"/>
                      <w14:textFill>
                        <w14:solidFill>
                          <w14:schemeClr w14:val="tx1"/>
                        </w14:solidFill>
                      </w14:textFill>
                    </w:rPr>
                    <w:t>聚氯乙烯聚合物</w:t>
                  </w:r>
                </w:p>
              </w:tc>
              <w:tc>
                <w:tcPr>
                  <w:tcW w:w="826" w:type="pct"/>
                  <w:vAlign w:val="center"/>
                </w:tcPr>
                <w:p>
                  <w:pPr>
                    <w:jc w:val="center"/>
                    <w:rPr>
                      <w:color w:val="000000" w:themeColor="text1"/>
                      <w:szCs w:val="21"/>
                      <w14:textFill>
                        <w14:solidFill>
                          <w14:schemeClr w14:val="tx1"/>
                        </w14:solidFill>
                      </w14:textFill>
                    </w:rPr>
                  </w:pPr>
                  <w:r>
                    <w:rPr>
                      <w:rFonts w:hint="eastAsia"/>
                      <w:color w:val="000000" w:themeColor="text1"/>
                      <w:lang w:val="en-US" w:eastAsia="zh-CN"/>
                      <w14:textFill>
                        <w14:solidFill>
                          <w14:schemeClr w14:val="tx1"/>
                        </w14:solidFill>
                      </w14:textFill>
                    </w:rPr>
                    <w:t>25kg/袋</w:t>
                  </w:r>
                </w:p>
              </w:tc>
              <w:tc>
                <w:tcPr>
                  <w:tcW w:w="794" w:type="pct"/>
                  <w:vAlign w:val="center"/>
                </w:tcPr>
                <w:p>
                  <w:pPr>
                    <w:jc w:val="center"/>
                    <w:rPr>
                      <w:rFonts w:hint="default" w:eastAsia="宋体"/>
                      <w:color w:val="000000" w:themeColor="text1"/>
                      <w:szCs w:val="21"/>
                      <w:lang w:val="en-US" w:eastAsia="zh-CN"/>
                      <w14:textFill>
                        <w14:solidFill>
                          <w14:schemeClr w14:val="tx1"/>
                        </w14:solidFill>
                      </w14:textFill>
                    </w:rPr>
                  </w:pPr>
                  <w:r>
                    <w:rPr>
                      <w:rFonts w:hint="eastAsia"/>
                      <w:color w:val="000000" w:themeColor="text1"/>
                      <w:szCs w:val="21"/>
                      <w:lang w:eastAsia="zh-CN"/>
                      <w14:textFill>
                        <w14:solidFill>
                          <w14:schemeClr w14:val="tx1"/>
                        </w14:solidFill>
                      </w14:textFill>
                    </w:rPr>
                    <w:t>国内汽运，最大贮存量</w:t>
                  </w:r>
                  <w:r>
                    <w:rPr>
                      <w:rFonts w:hint="eastAsia"/>
                      <w:color w:val="000000" w:themeColor="text1"/>
                      <w:szCs w:val="21"/>
                      <w:lang w:val="en-US" w:eastAsia="zh-CN"/>
                      <w14:textFill>
                        <w14:solidFill>
                          <w14:schemeClr w14:val="tx1"/>
                        </w14:solidFill>
                      </w14:textFill>
                    </w:rPr>
                    <w:t>0.1t</w:t>
                  </w:r>
                </w:p>
              </w:tc>
            </w:tr>
            <w:tr>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108" w:type="dxa"/>
                  <w:bottom w:w="0" w:type="dxa"/>
                  <w:right w:w="108" w:type="dxa"/>
                </w:tblCellMar>
              </w:tblPrEx>
              <w:trPr>
                <w:trHeight w:val="90" w:hRule="atLeast"/>
                <w:jc w:val="center"/>
              </w:trPr>
              <w:tc>
                <w:tcPr>
                  <w:tcW w:w="255" w:type="pct"/>
                  <w:vAlign w:val="center"/>
                </w:tcPr>
                <w:p>
                  <w:pPr>
                    <w:jc w:val="center"/>
                    <w:rPr>
                      <w:rFonts w:hint="eastAsia" w:eastAsia="宋体"/>
                      <w:color w:val="000000" w:themeColor="text1"/>
                      <w:szCs w:val="21"/>
                      <w:lang w:val="en-US" w:eastAsia="zh-CN"/>
                      <w14:textFill>
                        <w14:solidFill>
                          <w14:schemeClr w14:val="tx1"/>
                        </w14:solidFill>
                      </w14:textFill>
                    </w:rPr>
                  </w:pPr>
                  <w:r>
                    <w:rPr>
                      <w:rFonts w:hint="eastAsia"/>
                      <w:color w:val="000000" w:themeColor="text1"/>
                      <w:szCs w:val="21"/>
                      <w:lang w:val="en-US" w:eastAsia="zh-CN"/>
                      <w14:textFill>
                        <w14:solidFill>
                          <w14:schemeClr w14:val="tx1"/>
                        </w14:solidFill>
                      </w14:textFill>
                    </w:rPr>
                    <w:t>4</w:t>
                  </w:r>
                </w:p>
              </w:tc>
              <w:tc>
                <w:tcPr>
                  <w:tcW w:w="937" w:type="pct"/>
                  <w:vAlign w:val="center"/>
                </w:tcPr>
                <w:p>
                  <w:pPr>
                    <w:jc w:val="center"/>
                    <w:rPr>
                      <w:rFonts w:hint="default" w:eastAsia="宋体"/>
                      <w:color w:val="000000" w:themeColor="text1"/>
                      <w:szCs w:val="21"/>
                      <w:lang w:val="en-US" w:eastAsia="zh-CN"/>
                      <w14:textFill>
                        <w14:solidFill>
                          <w14:schemeClr w14:val="tx1"/>
                        </w14:solidFill>
                      </w14:textFill>
                    </w:rPr>
                  </w:pPr>
                  <w:r>
                    <w:rPr>
                      <w:rFonts w:hint="eastAsia"/>
                      <w:color w:val="000000" w:themeColor="text1"/>
                      <w:szCs w:val="21"/>
                      <w:lang w:val="en-US" w:eastAsia="zh-CN"/>
                      <w14:textFill>
                        <w14:solidFill>
                          <w14:schemeClr w14:val="tx1"/>
                        </w14:solidFill>
                      </w14:textFill>
                    </w:rPr>
                    <w:t>聚氯乙烯塑料粒子（PVC）</w:t>
                  </w:r>
                </w:p>
              </w:tc>
              <w:tc>
                <w:tcPr>
                  <w:tcW w:w="522" w:type="pct"/>
                  <w:vAlign w:val="center"/>
                </w:tcPr>
                <w:p>
                  <w:pPr>
                    <w:widowControl/>
                    <w:jc w:val="center"/>
                    <w:textAlignment w:val="center"/>
                    <w:rPr>
                      <w:rFonts w:hint="default" w:eastAsia="宋体"/>
                      <w:color w:val="000000" w:themeColor="text1"/>
                      <w:szCs w:val="21"/>
                      <w:lang w:val="en-US" w:eastAsia="zh-CN"/>
                      <w14:textFill>
                        <w14:solidFill>
                          <w14:schemeClr w14:val="tx1"/>
                        </w14:solidFill>
                      </w14:textFill>
                    </w:rPr>
                  </w:pPr>
                  <w:r>
                    <w:rPr>
                      <w:rFonts w:hint="eastAsia"/>
                      <w:color w:val="000000" w:themeColor="text1"/>
                      <w:szCs w:val="21"/>
                      <w:lang w:val="en-US" w:eastAsia="zh-CN"/>
                      <w14:textFill>
                        <w14:solidFill>
                          <w14:schemeClr w14:val="tx1"/>
                        </w14:solidFill>
                      </w14:textFill>
                    </w:rPr>
                    <w:t>0.7t/a</w:t>
                  </w:r>
                </w:p>
              </w:tc>
              <w:tc>
                <w:tcPr>
                  <w:tcW w:w="689" w:type="pct"/>
                  <w:vAlign w:val="center"/>
                </w:tcPr>
                <w:p>
                  <w:pPr>
                    <w:jc w:val="center"/>
                    <w:rPr>
                      <w:color w:val="000000" w:themeColor="text1"/>
                      <w:szCs w:val="21"/>
                      <w14:textFill>
                        <w14:solidFill>
                          <w14:schemeClr w14:val="tx1"/>
                        </w14:solidFill>
                      </w14:textFill>
                    </w:rPr>
                  </w:pPr>
                  <w:r>
                    <w:rPr>
                      <w:rFonts w:hint="eastAsia"/>
                      <w:color w:val="000000" w:themeColor="text1"/>
                      <w:szCs w:val="21"/>
                      <w:lang w:eastAsia="zh-CN"/>
                      <w14:textFill>
                        <w14:solidFill>
                          <w14:schemeClr w14:val="tx1"/>
                        </w14:solidFill>
                      </w14:textFill>
                    </w:rPr>
                    <w:t>固态颗粒物</w:t>
                  </w:r>
                </w:p>
              </w:tc>
              <w:tc>
                <w:tcPr>
                  <w:tcW w:w="973" w:type="pct"/>
                  <w:vAlign w:val="center"/>
                </w:tcPr>
                <w:p>
                  <w:pPr>
                    <w:jc w:val="center"/>
                    <w:rPr>
                      <w:color w:val="000000" w:themeColor="text1"/>
                      <w:szCs w:val="21"/>
                      <w14:textFill>
                        <w14:solidFill>
                          <w14:schemeClr w14:val="tx1"/>
                        </w14:solidFill>
                      </w14:textFill>
                    </w:rPr>
                  </w:pPr>
                  <w:r>
                    <w:rPr>
                      <w:rFonts w:hint="eastAsia"/>
                      <w:color w:val="000000" w:themeColor="text1"/>
                      <w:szCs w:val="21"/>
                      <w:lang w:eastAsia="zh-CN"/>
                      <w14:textFill>
                        <w14:solidFill>
                          <w14:schemeClr w14:val="tx1"/>
                        </w14:solidFill>
                      </w14:textFill>
                    </w:rPr>
                    <w:t>氯乙烯聚合物</w:t>
                  </w:r>
                </w:p>
              </w:tc>
              <w:tc>
                <w:tcPr>
                  <w:tcW w:w="826" w:type="pct"/>
                  <w:vAlign w:val="center"/>
                </w:tcPr>
                <w:p>
                  <w:pPr>
                    <w:jc w:val="center"/>
                    <w:rPr>
                      <w:rFonts w:hint="default"/>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25kg/袋</w:t>
                  </w:r>
                </w:p>
              </w:tc>
              <w:tc>
                <w:tcPr>
                  <w:tcW w:w="794" w:type="pct"/>
                  <w:vAlign w:val="center"/>
                </w:tcPr>
                <w:p>
                  <w:pPr>
                    <w:jc w:val="center"/>
                    <w:rPr>
                      <w:color w:val="000000" w:themeColor="text1"/>
                      <w:szCs w:val="21"/>
                      <w14:textFill>
                        <w14:solidFill>
                          <w14:schemeClr w14:val="tx1"/>
                        </w14:solidFill>
                      </w14:textFill>
                    </w:rPr>
                  </w:pPr>
                  <w:r>
                    <w:rPr>
                      <w:rFonts w:hint="eastAsia"/>
                      <w:color w:val="000000" w:themeColor="text1"/>
                      <w:szCs w:val="21"/>
                      <w:lang w:eastAsia="zh-CN"/>
                      <w14:textFill>
                        <w14:solidFill>
                          <w14:schemeClr w14:val="tx1"/>
                        </w14:solidFill>
                      </w14:textFill>
                    </w:rPr>
                    <w:t>国内汽运，最大贮存量</w:t>
                  </w:r>
                  <w:r>
                    <w:rPr>
                      <w:rFonts w:hint="eastAsia"/>
                      <w:color w:val="000000" w:themeColor="text1"/>
                      <w:szCs w:val="21"/>
                      <w:lang w:val="en-US" w:eastAsia="zh-CN"/>
                      <w14:textFill>
                        <w14:solidFill>
                          <w14:schemeClr w14:val="tx1"/>
                        </w14:solidFill>
                      </w14:textFill>
                    </w:rPr>
                    <w:t>0.1t</w:t>
                  </w:r>
                </w:p>
              </w:tc>
            </w:tr>
            <w:tr>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108" w:type="dxa"/>
                  <w:bottom w:w="0" w:type="dxa"/>
                  <w:right w:w="108" w:type="dxa"/>
                </w:tblCellMar>
              </w:tblPrEx>
              <w:trPr>
                <w:trHeight w:val="501" w:hRule="atLeast"/>
                <w:jc w:val="center"/>
              </w:trPr>
              <w:tc>
                <w:tcPr>
                  <w:tcW w:w="255" w:type="pct"/>
                  <w:vAlign w:val="center"/>
                </w:tcPr>
                <w:p>
                  <w:pPr>
                    <w:jc w:val="center"/>
                    <w:rPr>
                      <w:rFonts w:hint="eastAsia" w:eastAsia="宋体"/>
                      <w:color w:val="000000" w:themeColor="text1"/>
                      <w:szCs w:val="21"/>
                      <w:lang w:val="en-US" w:eastAsia="zh-CN"/>
                      <w14:textFill>
                        <w14:solidFill>
                          <w14:schemeClr w14:val="tx1"/>
                        </w14:solidFill>
                      </w14:textFill>
                    </w:rPr>
                  </w:pPr>
                  <w:r>
                    <w:rPr>
                      <w:rFonts w:hint="eastAsia"/>
                      <w:color w:val="000000" w:themeColor="text1"/>
                      <w:szCs w:val="21"/>
                      <w:lang w:val="en-US" w:eastAsia="zh-CN"/>
                      <w14:textFill>
                        <w14:solidFill>
                          <w14:schemeClr w14:val="tx1"/>
                        </w14:solidFill>
                      </w14:textFill>
                    </w:rPr>
                    <w:t>5</w:t>
                  </w:r>
                </w:p>
              </w:tc>
              <w:tc>
                <w:tcPr>
                  <w:tcW w:w="937" w:type="pct"/>
                  <w:vAlign w:val="center"/>
                </w:tcPr>
                <w:p>
                  <w:pPr>
                    <w:jc w:val="center"/>
                    <w:rPr>
                      <w:rFonts w:hint="eastAsia" w:eastAsia="宋体"/>
                      <w:color w:val="000000" w:themeColor="text1"/>
                      <w:szCs w:val="21"/>
                      <w:lang w:eastAsia="zh-CN"/>
                      <w14:textFill>
                        <w14:solidFill>
                          <w14:schemeClr w14:val="tx1"/>
                        </w14:solidFill>
                      </w14:textFill>
                    </w:rPr>
                  </w:pPr>
                  <w:r>
                    <w:rPr>
                      <w:rFonts w:hint="eastAsia"/>
                      <w:color w:val="000000" w:themeColor="text1"/>
                      <w:szCs w:val="21"/>
                      <w:lang w:eastAsia="zh-CN"/>
                      <w14:textFill>
                        <w14:solidFill>
                          <w14:schemeClr w14:val="tx1"/>
                        </w14:solidFill>
                      </w14:textFill>
                    </w:rPr>
                    <w:t>色母粒</w:t>
                  </w:r>
                </w:p>
              </w:tc>
              <w:tc>
                <w:tcPr>
                  <w:tcW w:w="522" w:type="pct"/>
                  <w:vAlign w:val="center"/>
                </w:tcPr>
                <w:p>
                  <w:pPr>
                    <w:widowControl/>
                    <w:jc w:val="center"/>
                    <w:textAlignment w:val="center"/>
                    <w:rPr>
                      <w:rFonts w:hint="default" w:eastAsia="宋体"/>
                      <w:color w:val="000000" w:themeColor="text1"/>
                      <w:szCs w:val="21"/>
                      <w:lang w:val="en-US" w:eastAsia="zh-CN"/>
                      <w14:textFill>
                        <w14:solidFill>
                          <w14:schemeClr w14:val="tx1"/>
                        </w14:solidFill>
                      </w14:textFill>
                    </w:rPr>
                  </w:pPr>
                  <w:r>
                    <w:rPr>
                      <w:rFonts w:hint="eastAsia"/>
                      <w:color w:val="000000" w:themeColor="text1"/>
                      <w:szCs w:val="21"/>
                      <w:lang w:val="en-US" w:eastAsia="zh-CN"/>
                      <w14:textFill>
                        <w14:solidFill>
                          <w14:schemeClr w14:val="tx1"/>
                        </w14:solidFill>
                      </w14:textFill>
                    </w:rPr>
                    <w:t>0.05t/a</w:t>
                  </w:r>
                </w:p>
              </w:tc>
              <w:tc>
                <w:tcPr>
                  <w:tcW w:w="689" w:type="pct"/>
                  <w:vAlign w:val="center"/>
                </w:tcPr>
                <w:p>
                  <w:pPr>
                    <w:jc w:val="center"/>
                    <w:rPr>
                      <w:color w:val="000000" w:themeColor="text1"/>
                      <w:szCs w:val="21"/>
                      <w14:textFill>
                        <w14:solidFill>
                          <w14:schemeClr w14:val="tx1"/>
                        </w14:solidFill>
                      </w14:textFill>
                    </w:rPr>
                  </w:pPr>
                  <w:r>
                    <w:rPr>
                      <w:rFonts w:hint="eastAsia"/>
                      <w:color w:val="000000" w:themeColor="text1"/>
                      <w:szCs w:val="21"/>
                      <w:lang w:eastAsia="zh-CN"/>
                      <w14:textFill>
                        <w14:solidFill>
                          <w14:schemeClr w14:val="tx1"/>
                        </w14:solidFill>
                      </w14:textFill>
                    </w:rPr>
                    <w:t>固态颗粒物</w:t>
                  </w:r>
                </w:p>
              </w:tc>
              <w:tc>
                <w:tcPr>
                  <w:tcW w:w="973" w:type="pct"/>
                  <w:vAlign w:val="center"/>
                </w:tcPr>
                <w:p>
                  <w:pPr>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聚乙烯、颜料</w:t>
                  </w:r>
                </w:p>
              </w:tc>
              <w:tc>
                <w:tcPr>
                  <w:tcW w:w="826" w:type="pct"/>
                  <w:vAlign w:val="center"/>
                </w:tcPr>
                <w:p>
                  <w:pPr>
                    <w:jc w:val="center"/>
                    <w:rPr>
                      <w:color w:val="000000" w:themeColor="text1"/>
                      <w:szCs w:val="21"/>
                      <w14:textFill>
                        <w14:solidFill>
                          <w14:schemeClr w14:val="tx1"/>
                        </w14:solidFill>
                      </w14:textFill>
                    </w:rPr>
                  </w:pPr>
                  <w:r>
                    <w:rPr>
                      <w:rFonts w:hint="eastAsia"/>
                      <w:color w:val="000000" w:themeColor="text1"/>
                      <w:lang w:val="en-US" w:eastAsia="zh-CN"/>
                      <w14:textFill>
                        <w14:solidFill>
                          <w14:schemeClr w14:val="tx1"/>
                        </w14:solidFill>
                      </w14:textFill>
                    </w:rPr>
                    <w:t>25kg/袋</w:t>
                  </w:r>
                </w:p>
              </w:tc>
              <w:tc>
                <w:tcPr>
                  <w:tcW w:w="794" w:type="pct"/>
                  <w:vAlign w:val="center"/>
                </w:tcPr>
                <w:p>
                  <w:pPr>
                    <w:jc w:val="center"/>
                    <w:rPr>
                      <w:color w:val="000000" w:themeColor="text1"/>
                      <w:szCs w:val="21"/>
                      <w14:textFill>
                        <w14:solidFill>
                          <w14:schemeClr w14:val="tx1"/>
                        </w14:solidFill>
                      </w14:textFill>
                    </w:rPr>
                  </w:pPr>
                  <w:r>
                    <w:rPr>
                      <w:rFonts w:hint="eastAsia"/>
                      <w:color w:val="000000" w:themeColor="text1"/>
                      <w:szCs w:val="21"/>
                      <w:lang w:eastAsia="zh-CN"/>
                      <w14:textFill>
                        <w14:solidFill>
                          <w14:schemeClr w14:val="tx1"/>
                        </w14:solidFill>
                      </w14:textFill>
                    </w:rPr>
                    <w:t>国内汽运，最大贮存量</w:t>
                  </w:r>
                  <w:r>
                    <w:rPr>
                      <w:rFonts w:hint="eastAsia"/>
                      <w:color w:val="000000" w:themeColor="text1"/>
                      <w:szCs w:val="21"/>
                      <w:lang w:val="en-US" w:eastAsia="zh-CN"/>
                      <w14:textFill>
                        <w14:solidFill>
                          <w14:schemeClr w14:val="tx1"/>
                        </w14:solidFill>
                      </w14:textFill>
                    </w:rPr>
                    <w:t>0.05t</w:t>
                  </w:r>
                </w:p>
              </w:tc>
            </w:tr>
            <w:tr>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108" w:type="dxa"/>
                  <w:bottom w:w="0" w:type="dxa"/>
                  <w:right w:w="108" w:type="dxa"/>
                </w:tblCellMar>
              </w:tblPrEx>
              <w:trPr>
                <w:trHeight w:val="426" w:hRule="atLeast"/>
                <w:jc w:val="center"/>
              </w:trPr>
              <w:tc>
                <w:tcPr>
                  <w:tcW w:w="255" w:type="pct"/>
                  <w:vAlign w:val="center"/>
                </w:tcPr>
                <w:p>
                  <w:pPr>
                    <w:jc w:val="center"/>
                    <w:rPr>
                      <w:rFonts w:hint="eastAsia" w:eastAsia="宋体"/>
                      <w:color w:val="000000" w:themeColor="text1"/>
                      <w:szCs w:val="21"/>
                      <w:lang w:val="en-US" w:eastAsia="zh-CN"/>
                      <w14:textFill>
                        <w14:solidFill>
                          <w14:schemeClr w14:val="tx1"/>
                        </w14:solidFill>
                      </w14:textFill>
                    </w:rPr>
                  </w:pPr>
                  <w:r>
                    <w:rPr>
                      <w:rFonts w:hint="eastAsia"/>
                      <w:color w:val="000000" w:themeColor="text1"/>
                      <w:szCs w:val="21"/>
                      <w:lang w:val="en-US" w:eastAsia="zh-CN"/>
                      <w14:textFill>
                        <w14:solidFill>
                          <w14:schemeClr w14:val="tx1"/>
                        </w14:solidFill>
                      </w14:textFill>
                    </w:rPr>
                    <w:t>6</w:t>
                  </w:r>
                </w:p>
              </w:tc>
              <w:tc>
                <w:tcPr>
                  <w:tcW w:w="937" w:type="pct"/>
                  <w:vAlign w:val="center"/>
                </w:tcPr>
                <w:p>
                  <w:pPr>
                    <w:jc w:val="center"/>
                    <w:rPr>
                      <w:rFonts w:hint="eastAsia" w:eastAsia="宋体"/>
                      <w:color w:val="000000" w:themeColor="text1"/>
                      <w:szCs w:val="21"/>
                      <w:lang w:eastAsia="zh-CN"/>
                      <w14:textFill>
                        <w14:solidFill>
                          <w14:schemeClr w14:val="tx1"/>
                        </w14:solidFill>
                      </w14:textFill>
                    </w:rPr>
                  </w:pPr>
                  <w:r>
                    <w:rPr>
                      <w:rFonts w:hint="eastAsia"/>
                      <w:color w:val="000000" w:themeColor="text1"/>
                      <w:szCs w:val="21"/>
                      <w:lang w:eastAsia="zh-CN"/>
                      <w14:textFill>
                        <w14:solidFill>
                          <w14:schemeClr w14:val="tx1"/>
                        </w14:solidFill>
                      </w14:textFill>
                    </w:rPr>
                    <w:t>切削液</w:t>
                  </w:r>
                </w:p>
              </w:tc>
              <w:tc>
                <w:tcPr>
                  <w:tcW w:w="522" w:type="pct"/>
                  <w:vAlign w:val="center"/>
                </w:tcPr>
                <w:p>
                  <w:pPr>
                    <w:jc w:val="center"/>
                    <w:rPr>
                      <w:rFonts w:hint="default" w:eastAsia="宋体"/>
                      <w:color w:val="000000" w:themeColor="text1"/>
                      <w:szCs w:val="21"/>
                      <w:lang w:val="en-US" w:eastAsia="zh-CN"/>
                      <w14:textFill>
                        <w14:solidFill>
                          <w14:schemeClr w14:val="tx1"/>
                        </w14:solidFill>
                      </w14:textFill>
                    </w:rPr>
                  </w:pPr>
                  <w:r>
                    <w:rPr>
                      <w:rFonts w:hint="eastAsia"/>
                      <w:color w:val="000000" w:themeColor="text1"/>
                      <w:szCs w:val="21"/>
                      <w:lang w:val="en-US" w:eastAsia="zh-CN"/>
                      <w14:textFill>
                        <w14:solidFill>
                          <w14:schemeClr w14:val="tx1"/>
                        </w14:solidFill>
                      </w14:textFill>
                    </w:rPr>
                    <w:t>0.4t/a</w:t>
                  </w:r>
                </w:p>
              </w:tc>
              <w:tc>
                <w:tcPr>
                  <w:tcW w:w="689" w:type="pct"/>
                  <w:vAlign w:val="center"/>
                </w:tcPr>
                <w:p>
                  <w:pPr>
                    <w:jc w:val="center"/>
                    <w:rPr>
                      <w:rFonts w:hint="eastAsia" w:eastAsia="宋体"/>
                      <w:color w:val="000000" w:themeColor="text1"/>
                      <w:szCs w:val="21"/>
                      <w:lang w:eastAsia="zh-CN"/>
                      <w14:textFill>
                        <w14:solidFill>
                          <w14:schemeClr w14:val="tx1"/>
                        </w14:solidFill>
                      </w14:textFill>
                    </w:rPr>
                  </w:pPr>
                  <w:r>
                    <w:rPr>
                      <w:rFonts w:hint="eastAsia"/>
                      <w:color w:val="000000" w:themeColor="text1"/>
                      <w:szCs w:val="21"/>
                      <w:lang w:eastAsia="zh-CN"/>
                      <w14:textFill>
                        <w14:solidFill>
                          <w14:schemeClr w14:val="tx1"/>
                        </w14:solidFill>
                      </w14:textFill>
                    </w:rPr>
                    <w:t>液态</w:t>
                  </w:r>
                </w:p>
              </w:tc>
              <w:tc>
                <w:tcPr>
                  <w:tcW w:w="973" w:type="pct"/>
                  <w:vAlign w:val="center"/>
                </w:tcPr>
                <w:p>
                  <w:pPr>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油水、烃/水混合物或乳化液</w:t>
                  </w:r>
                </w:p>
              </w:tc>
              <w:tc>
                <w:tcPr>
                  <w:tcW w:w="826" w:type="pct"/>
                  <w:vAlign w:val="center"/>
                </w:tcPr>
                <w:p>
                  <w:pPr>
                    <w:jc w:val="center"/>
                    <w:rPr>
                      <w:rFonts w:hint="default" w:eastAsia="宋体"/>
                      <w:color w:val="000000" w:themeColor="text1"/>
                      <w:szCs w:val="21"/>
                      <w:lang w:val="en-US" w:eastAsia="zh-CN"/>
                      <w14:textFill>
                        <w14:solidFill>
                          <w14:schemeClr w14:val="tx1"/>
                        </w14:solidFill>
                      </w14:textFill>
                    </w:rPr>
                  </w:pPr>
                  <w:r>
                    <w:rPr>
                      <w:rFonts w:hint="eastAsia"/>
                      <w:color w:val="000000" w:themeColor="text1"/>
                      <w:szCs w:val="21"/>
                      <w:lang w:val="en-US" w:eastAsia="zh-CN"/>
                      <w14:textFill>
                        <w14:solidFill>
                          <w14:schemeClr w14:val="tx1"/>
                        </w14:solidFill>
                      </w14:textFill>
                    </w:rPr>
                    <w:t>200kg/桶</w:t>
                  </w:r>
                </w:p>
              </w:tc>
              <w:tc>
                <w:tcPr>
                  <w:tcW w:w="794" w:type="pct"/>
                  <w:vAlign w:val="center"/>
                </w:tcPr>
                <w:p>
                  <w:pPr>
                    <w:jc w:val="center"/>
                    <w:rPr>
                      <w:color w:val="000000" w:themeColor="text1"/>
                      <w:szCs w:val="21"/>
                      <w14:textFill>
                        <w14:solidFill>
                          <w14:schemeClr w14:val="tx1"/>
                        </w14:solidFill>
                      </w14:textFill>
                    </w:rPr>
                  </w:pPr>
                  <w:r>
                    <w:rPr>
                      <w:rFonts w:hint="eastAsia"/>
                      <w:color w:val="000000" w:themeColor="text1"/>
                      <w:szCs w:val="21"/>
                      <w:lang w:eastAsia="zh-CN"/>
                      <w14:textFill>
                        <w14:solidFill>
                          <w14:schemeClr w14:val="tx1"/>
                        </w14:solidFill>
                      </w14:textFill>
                    </w:rPr>
                    <w:t>国内汽运，最大贮存量</w:t>
                  </w:r>
                  <w:r>
                    <w:rPr>
                      <w:rFonts w:hint="eastAsia"/>
                      <w:color w:val="000000" w:themeColor="text1"/>
                      <w:szCs w:val="21"/>
                      <w:lang w:val="en-US" w:eastAsia="zh-CN"/>
                      <w14:textFill>
                        <w14:solidFill>
                          <w14:schemeClr w14:val="tx1"/>
                        </w14:solidFill>
                      </w14:textFill>
                    </w:rPr>
                    <w:t>0.2t</w:t>
                  </w:r>
                </w:p>
              </w:tc>
            </w:tr>
            <w:tr>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108" w:type="dxa"/>
                  <w:bottom w:w="0" w:type="dxa"/>
                  <w:right w:w="108" w:type="dxa"/>
                </w:tblCellMar>
              </w:tblPrEx>
              <w:trPr>
                <w:trHeight w:val="624" w:hRule="atLeast"/>
                <w:jc w:val="center"/>
              </w:trPr>
              <w:tc>
                <w:tcPr>
                  <w:tcW w:w="255" w:type="pct"/>
                  <w:vAlign w:val="center"/>
                </w:tcPr>
                <w:p>
                  <w:pPr>
                    <w:jc w:val="center"/>
                    <w:rPr>
                      <w:rFonts w:hint="eastAsia" w:eastAsia="宋体"/>
                      <w:color w:val="000000" w:themeColor="text1"/>
                      <w:szCs w:val="21"/>
                      <w:lang w:val="en-US" w:eastAsia="zh-CN"/>
                      <w14:textFill>
                        <w14:solidFill>
                          <w14:schemeClr w14:val="tx1"/>
                        </w14:solidFill>
                      </w14:textFill>
                    </w:rPr>
                  </w:pPr>
                  <w:r>
                    <w:rPr>
                      <w:rFonts w:hint="eastAsia"/>
                      <w:color w:val="000000" w:themeColor="text1"/>
                      <w:szCs w:val="21"/>
                      <w:lang w:val="en-US" w:eastAsia="zh-CN"/>
                      <w14:textFill>
                        <w14:solidFill>
                          <w14:schemeClr w14:val="tx1"/>
                        </w14:solidFill>
                      </w14:textFill>
                    </w:rPr>
                    <w:t>7</w:t>
                  </w:r>
                </w:p>
              </w:tc>
              <w:tc>
                <w:tcPr>
                  <w:tcW w:w="937" w:type="pct"/>
                  <w:vAlign w:val="center"/>
                </w:tcPr>
                <w:p>
                  <w:pPr>
                    <w:widowControl/>
                    <w:jc w:val="center"/>
                    <w:textAlignment w:val="center"/>
                    <w:rPr>
                      <w:rFonts w:hint="eastAsia" w:eastAsia="宋体"/>
                      <w:color w:val="000000" w:themeColor="text1"/>
                      <w:szCs w:val="21"/>
                      <w:lang w:eastAsia="zh-CN"/>
                      <w14:textFill>
                        <w14:solidFill>
                          <w14:schemeClr w14:val="tx1"/>
                        </w14:solidFill>
                      </w14:textFill>
                    </w:rPr>
                  </w:pPr>
                  <w:r>
                    <w:rPr>
                      <w:rFonts w:hint="eastAsia"/>
                      <w:color w:val="000000" w:themeColor="text1"/>
                      <w:szCs w:val="21"/>
                      <w:lang w:eastAsia="zh-CN"/>
                      <w14:textFill>
                        <w14:solidFill>
                          <w14:schemeClr w14:val="tx1"/>
                        </w14:solidFill>
                      </w14:textFill>
                    </w:rPr>
                    <w:t>润滑油</w:t>
                  </w:r>
                </w:p>
              </w:tc>
              <w:tc>
                <w:tcPr>
                  <w:tcW w:w="522" w:type="pct"/>
                  <w:vAlign w:val="center"/>
                </w:tcPr>
                <w:p>
                  <w:pPr>
                    <w:widowControl/>
                    <w:jc w:val="center"/>
                    <w:textAlignment w:val="center"/>
                    <w:rPr>
                      <w:rFonts w:hint="eastAsia" w:eastAsia="宋体"/>
                      <w:color w:val="000000" w:themeColor="text1"/>
                      <w:szCs w:val="21"/>
                      <w:lang w:val="en-US" w:eastAsia="zh-CN"/>
                      <w14:textFill>
                        <w14:solidFill>
                          <w14:schemeClr w14:val="tx1"/>
                        </w14:solidFill>
                      </w14:textFill>
                    </w:rPr>
                  </w:pPr>
                  <w:r>
                    <w:rPr>
                      <w:rFonts w:hint="eastAsia"/>
                      <w:color w:val="000000" w:themeColor="text1"/>
                      <w:szCs w:val="21"/>
                      <w:lang w:val="en-US" w:eastAsia="zh-CN"/>
                      <w14:textFill>
                        <w14:solidFill>
                          <w14:schemeClr w14:val="tx1"/>
                        </w14:solidFill>
                      </w14:textFill>
                    </w:rPr>
                    <w:t>1t/a</w:t>
                  </w:r>
                </w:p>
              </w:tc>
              <w:tc>
                <w:tcPr>
                  <w:tcW w:w="689" w:type="pct"/>
                  <w:vAlign w:val="center"/>
                </w:tcPr>
                <w:p>
                  <w:pPr>
                    <w:jc w:val="center"/>
                    <w:rPr>
                      <w:rFonts w:ascii="Times New Roman" w:hAnsi="Times New Roman" w:eastAsia="宋体" w:cs="Times New Roman"/>
                      <w:color w:val="000000" w:themeColor="text1"/>
                      <w:kern w:val="2"/>
                      <w:sz w:val="21"/>
                      <w:szCs w:val="21"/>
                      <w:lang w:val="en-US" w:eastAsia="zh-CN" w:bidi="ar-SA"/>
                      <w14:textFill>
                        <w14:solidFill>
                          <w14:schemeClr w14:val="tx1"/>
                        </w14:solidFill>
                      </w14:textFill>
                    </w:rPr>
                  </w:pPr>
                  <w:r>
                    <w:rPr>
                      <w:color w:val="000000" w:themeColor="text1"/>
                      <w:szCs w:val="21"/>
                      <w14:textFill>
                        <w14:solidFill>
                          <w14:schemeClr w14:val="tx1"/>
                        </w14:solidFill>
                      </w14:textFill>
                    </w:rPr>
                    <w:t>液态</w:t>
                  </w:r>
                </w:p>
              </w:tc>
              <w:tc>
                <w:tcPr>
                  <w:tcW w:w="973" w:type="pct"/>
                  <w:vAlign w:val="center"/>
                </w:tcPr>
                <w:p>
                  <w:pPr>
                    <w:jc w:val="center"/>
                    <w:rPr>
                      <w:rFonts w:ascii="Times New Roman" w:hAnsi="Times New Roman" w:eastAsia="宋体" w:cs="Times New Roman"/>
                      <w:color w:val="000000" w:themeColor="text1"/>
                      <w:kern w:val="2"/>
                      <w:sz w:val="21"/>
                      <w:szCs w:val="21"/>
                      <w:lang w:val="en-US" w:eastAsia="zh-CN" w:bidi="ar-SA"/>
                      <w14:textFill>
                        <w14:solidFill>
                          <w14:schemeClr w14:val="tx1"/>
                        </w14:solidFill>
                      </w14:textFill>
                    </w:rPr>
                  </w:pPr>
                  <w:r>
                    <w:rPr>
                      <w:color w:val="000000" w:themeColor="text1"/>
                      <w:szCs w:val="21"/>
                      <w14:textFill>
                        <w14:solidFill>
                          <w14:schemeClr w14:val="tx1"/>
                        </w14:solidFill>
                      </w14:textFill>
                    </w:rPr>
                    <w:t>矿物油</w:t>
                  </w:r>
                </w:p>
              </w:tc>
              <w:tc>
                <w:tcPr>
                  <w:tcW w:w="826" w:type="pct"/>
                  <w:vAlign w:val="center"/>
                </w:tcPr>
                <w:p>
                  <w:pPr>
                    <w:jc w:val="center"/>
                    <w:rPr>
                      <w:rFonts w:ascii="Times New Roman" w:hAnsi="Times New Roman" w:eastAsia="宋体" w:cs="Times New Roman"/>
                      <w:color w:val="000000" w:themeColor="text1"/>
                      <w:kern w:val="2"/>
                      <w:sz w:val="21"/>
                      <w:szCs w:val="21"/>
                      <w:lang w:val="en-US" w:eastAsia="zh-CN" w:bidi="ar-SA"/>
                      <w14:textFill>
                        <w14:solidFill>
                          <w14:schemeClr w14:val="tx1"/>
                        </w14:solidFill>
                      </w14:textFill>
                    </w:rPr>
                  </w:pPr>
                  <w:r>
                    <w:rPr>
                      <w:color w:val="000000" w:themeColor="text1"/>
                      <w:szCs w:val="21"/>
                      <w14:textFill>
                        <w14:solidFill>
                          <w14:schemeClr w14:val="tx1"/>
                        </w14:solidFill>
                      </w14:textFill>
                    </w:rPr>
                    <w:t>20</w:t>
                  </w:r>
                  <w:r>
                    <w:rPr>
                      <w:rFonts w:hint="eastAsia"/>
                      <w:color w:val="000000" w:themeColor="text1"/>
                      <w:szCs w:val="21"/>
                      <w:lang w:val="en-US" w:eastAsia="zh-CN"/>
                      <w14:textFill>
                        <w14:solidFill>
                          <w14:schemeClr w14:val="tx1"/>
                        </w14:solidFill>
                      </w14:textFill>
                    </w:rPr>
                    <w:t>0</w:t>
                  </w:r>
                  <w:r>
                    <w:rPr>
                      <w:color w:val="000000" w:themeColor="text1"/>
                      <w:szCs w:val="21"/>
                      <w14:textFill>
                        <w14:solidFill>
                          <w14:schemeClr w14:val="tx1"/>
                        </w14:solidFill>
                      </w14:textFill>
                    </w:rPr>
                    <w:t>kg/桶</w:t>
                  </w:r>
                </w:p>
              </w:tc>
              <w:tc>
                <w:tcPr>
                  <w:tcW w:w="794" w:type="pct"/>
                  <w:vAlign w:val="center"/>
                </w:tcPr>
                <w:p>
                  <w:pPr>
                    <w:jc w:val="center"/>
                    <w:rPr>
                      <w:rFonts w:ascii="Times New Roman" w:hAnsi="Times New Roman" w:eastAsia="宋体" w:cs="Times New Roman"/>
                      <w:color w:val="000000" w:themeColor="text1"/>
                      <w:kern w:val="2"/>
                      <w:sz w:val="21"/>
                      <w:szCs w:val="21"/>
                      <w:lang w:val="en-US" w:eastAsia="zh-CN" w:bidi="ar-SA"/>
                      <w14:textFill>
                        <w14:solidFill>
                          <w14:schemeClr w14:val="tx1"/>
                        </w14:solidFill>
                      </w14:textFill>
                    </w:rPr>
                  </w:pPr>
                  <w:r>
                    <w:rPr>
                      <w:color w:val="000000" w:themeColor="text1"/>
                      <w:szCs w:val="21"/>
                      <w14:textFill>
                        <w14:solidFill>
                          <w14:schemeClr w14:val="tx1"/>
                        </w14:solidFill>
                      </w14:textFill>
                    </w:rPr>
                    <w:t>最大储存量0.</w:t>
                  </w:r>
                  <w:r>
                    <w:rPr>
                      <w:rFonts w:hint="eastAsia"/>
                      <w:color w:val="000000" w:themeColor="text1"/>
                      <w:szCs w:val="21"/>
                      <w:lang w:val="en-US" w:eastAsia="zh-CN"/>
                      <w14:textFill>
                        <w14:solidFill>
                          <w14:schemeClr w14:val="tx1"/>
                        </w14:solidFill>
                      </w14:textFill>
                    </w:rPr>
                    <w:t>2</w:t>
                  </w:r>
                  <w:r>
                    <w:rPr>
                      <w:color w:val="000000" w:themeColor="text1"/>
                      <w:szCs w:val="21"/>
                      <w14:textFill>
                        <w14:solidFill>
                          <w14:schemeClr w14:val="tx1"/>
                        </w14:solidFill>
                      </w14:textFill>
                    </w:rPr>
                    <w:t>t</w:t>
                  </w:r>
                </w:p>
              </w:tc>
            </w:tr>
            <w:tr>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108" w:type="dxa"/>
                  <w:bottom w:w="0" w:type="dxa"/>
                  <w:right w:w="108" w:type="dxa"/>
                </w:tblCellMar>
              </w:tblPrEx>
              <w:trPr>
                <w:trHeight w:val="831" w:hRule="atLeast"/>
                <w:jc w:val="center"/>
              </w:trPr>
              <w:tc>
                <w:tcPr>
                  <w:tcW w:w="255" w:type="pct"/>
                  <w:vAlign w:val="center"/>
                </w:tcPr>
                <w:p>
                  <w:pPr>
                    <w:jc w:val="center"/>
                    <w:rPr>
                      <w:rFonts w:hint="eastAsia" w:eastAsia="宋体"/>
                      <w:color w:val="000000" w:themeColor="text1"/>
                      <w:szCs w:val="21"/>
                      <w:lang w:val="en-US" w:eastAsia="zh-CN"/>
                      <w14:textFill>
                        <w14:solidFill>
                          <w14:schemeClr w14:val="tx1"/>
                        </w14:solidFill>
                      </w14:textFill>
                    </w:rPr>
                  </w:pPr>
                  <w:r>
                    <w:rPr>
                      <w:rFonts w:hint="eastAsia"/>
                      <w:color w:val="000000" w:themeColor="text1"/>
                      <w:szCs w:val="21"/>
                      <w:lang w:val="en-US" w:eastAsia="zh-CN"/>
                      <w14:textFill>
                        <w14:solidFill>
                          <w14:schemeClr w14:val="tx1"/>
                        </w14:solidFill>
                      </w14:textFill>
                    </w:rPr>
                    <w:t>8</w:t>
                  </w:r>
                </w:p>
              </w:tc>
              <w:tc>
                <w:tcPr>
                  <w:tcW w:w="937" w:type="pct"/>
                  <w:vAlign w:val="center"/>
                </w:tcPr>
                <w:p>
                  <w:pPr>
                    <w:jc w:val="center"/>
                    <w:rPr>
                      <w:rFonts w:hint="eastAsia" w:eastAsia="宋体"/>
                      <w:color w:val="000000" w:themeColor="text1"/>
                      <w:szCs w:val="21"/>
                      <w:lang w:val="en-US" w:eastAsia="zh-CN"/>
                      <w14:textFill>
                        <w14:solidFill>
                          <w14:schemeClr w14:val="tx1"/>
                        </w14:solidFill>
                      </w14:textFill>
                    </w:rPr>
                  </w:pPr>
                  <w:r>
                    <w:rPr>
                      <w:color w:val="000000" w:themeColor="text1"/>
                      <w:szCs w:val="21"/>
                      <w14:textFill>
                        <w14:solidFill>
                          <w14:schemeClr w14:val="tx1"/>
                        </w14:solidFill>
                      </w14:textFill>
                    </w:rPr>
                    <w:t>抹布、海绵、手套等</w:t>
                  </w:r>
                </w:p>
              </w:tc>
              <w:tc>
                <w:tcPr>
                  <w:tcW w:w="522" w:type="pct"/>
                  <w:vAlign w:val="center"/>
                </w:tcPr>
                <w:p>
                  <w:pPr>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0.0</w:t>
                  </w:r>
                  <w:r>
                    <w:rPr>
                      <w:rFonts w:hint="eastAsia"/>
                      <w:color w:val="000000" w:themeColor="text1"/>
                      <w:szCs w:val="21"/>
                      <w:lang w:val="en-US" w:eastAsia="zh-CN"/>
                      <w14:textFill>
                        <w14:solidFill>
                          <w14:schemeClr w14:val="tx1"/>
                        </w14:solidFill>
                      </w14:textFill>
                    </w:rPr>
                    <w:t>5</w:t>
                  </w:r>
                  <w:r>
                    <w:rPr>
                      <w:color w:val="000000" w:themeColor="text1"/>
                      <w:szCs w:val="21"/>
                      <w14:textFill>
                        <w14:solidFill>
                          <w14:schemeClr w14:val="tx1"/>
                        </w14:solidFill>
                      </w14:textFill>
                    </w:rPr>
                    <w:t>t/a</w:t>
                  </w:r>
                </w:p>
              </w:tc>
              <w:tc>
                <w:tcPr>
                  <w:tcW w:w="689" w:type="pct"/>
                  <w:vAlign w:val="center"/>
                </w:tcPr>
                <w:p>
                  <w:pPr>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固态</w:t>
                  </w:r>
                </w:p>
              </w:tc>
              <w:tc>
                <w:tcPr>
                  <w:tcW w:w="973" w:type="pct"/>
                  <w:vAlign w:val="center"/>
                </w:tcPr>
                <w:p>
                  <w:pPr>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w:t>
                  </w:r>
                </w:p>
              </w:tc>
              <w:tc>
                <w:tcPr>
                  <w:tcW w:w="826" w:type="pct"/>
                  <w:vAlign w:val="center"/>
                </w:tcPr>
                <w:p>
                  <w:pPr>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 xml:space="preserve"> /</w:t>
                  </w:r>
                </w:p>
              </w:tc>
              <w:tc>
                <w:tcPr>
                  <w:tcW w:w="794" w:type="pct"/>
                  <w:vAlign w:val="center"/>
                </w:tcPr>
                <w:p>
                  <w:pPr>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用于设备维护时擦拭</w:t>
                  </w:r>
                </w:p>
              </w:tc>
            </w:tr>
            <w:tr>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108" w:type="dxa"/>
                  <w:bottom w:w="0" w:type="dxa"/>
                  <w:right w:w="108" w:type="dxa"/>
                </w:tblCellMar>
              </w:tblPrEx>
              <w:trPr>
                <w:trHeight w:val="702" w:hRule="atLeast"/>
                <w:jc w:val="center"/>
              </w:trPr>
              <w:tc>
                <w:tcPr>
                  <w:tcW w:w="255" w:type="pct"/>
                  <w:vAlign w:val="center"/>
                </w:tcPr>
                <w:p>
                  <w:pPr>
                    <w:jc w:val="center"/>
                    <w:rPr>
                      <w:rFonts w:hint="eastAsia" w:eastAsia="宋体"/>
                      <w:color w:val="000000" w:themeColor="text1"/>
                      <w:szCs w:val="21"/>
                      <w:lang w:val="en-US" w:eastAsia="zh-CN"/>
                      <w14:textFill>
                        <w14:solidFill>
                          <w14:schemeClr w14:val="tx1"/>
                        </w14:solidFill>
                      </w14:textFill>
                    </w:rPr>
                  </w:pPr>
                  <w:r>
                    <w:rPr>
                      <w:rFonts w:hint="eastAsia"/>
                      <w:color w:val="000000" w:themeColor="text1"/>
                      <w:szCs w:val="21"/>
                      <w:lang w:val="en-US" w:eastAsia="zh-CN"/>
                      <w14:textFill>
                        <w14:solidFill>
                          <w14:schemeClr w14:val="tx1"/>
                        </w14:solidFill>
                      </w14:textFill>
                    </w:rPr>
                    <w:t>9</w:t>
                  </w:r>
                </w:p>
              </w:tc>
              <w:tc>
                <w:tcPr>
                  <w:tcW w:w="937" w:type="pct"/>
                  <w:vAlign w:val="center"/>
                </w:tcPr>
                <w:p>
                  <w:pPr>
                    <w:widowControl/>
                    <w:jc w:val="center"/>
                    <w:textAlignment w:val="center"/>
                    <w:rPr>
                      <w:rFonts w:hint="eastAsia" w:eastAsia="宋体"/>
                      <w:color w:val="000000" w:themeColor="text1"/>
                      <w:szCs w:val="21"/>
                      <w:lang w:eastAsia="zh-CN"/>
                      <w14:textFill>
                        <w14:solidFill>
                          <w14:schemeClr w14:val="tx1"/>
                        </w14:solidFill>
                      </w14:textFill>
                    </w:rPr>
                  </w:pPr>
                  <w:r>
                    <w:rPr>
                      <w:rFonts w:hint="eastAsia"/>
                      <w:color w:val="000000" w:themeColor="text1"/>
                      <w:szCs w:val="21"/>
                      <w:lang w:eastAsia="zh-CN"/>
                      <w14:textFill>
                        <w14:solidFill>
                          <w14:schemeClr w14:val="tx1"/>
                        </w14:solidFill>
                      </w14:textFill>
                    </w:rPr>
                    <w:t>包装材料</w:t>
                  </w:r>
                </w:p>
              </w:tc>
              <w:tc>
                <w:tcPr>
                  <w:tcW w:w="522" w:type="pct"/>
                  <w:vAlign w:val="center"/>
                </w:tcPr>
                <w:p>
                  <w:pPr>
                    <w:widowControl/>
                    <w:jc w:val="center"/>
                    <w:textAlignment w:val="center"/>
                    <w:rPr>
                      <w:rFonts w:hint="default" w:eastAsia="宋体"/>
                      <w:color w:val="000000" w:themeColor="text1"/>
                      <w:szCs w:val="21"/>
                      <w:lang w:val="en-US" w:eastAsia="zh-CN"/>
                      <w14:textFill>
                        <w14:solidFill>
                          <w14:schemeClr w14:val="tx1"/>
                        </w14:solidFill>
                      </w14:textFill>
                    </w:rPr>
                  </w:pPr>
                  <w:r>
                    <w:rPr>
                      <w:rFonts w:hint="eastAsia"/>
                      <w:color w:val="000000" w:themeColor="text1"/>
                      <w:szCs w:val="21"/>
                      <w:lang w:val="en-US" w:eastAsia="zh-CN"/>
                      <w14:textFill>
                        <w14:solidFill>
                          <w14:schemeClr w14:val="tx1"/>
                        </w14:solidFill>
                      </w14:textFill>
                    </w:rPr>
                    <w:t>12t/a</w:t>
                  </w:r>
                </w:p>
              </w:tc>
              <w:tc>
                <w:tcPr>
                  <w:tcW w:w="689" w:type="pct"/>
                  <w:vAlign w:val="center"/>
                </w:tcPr>
                <w:p>
                  <w:pPr>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固态</w:t>
                  </w:r>
                </w:p>
              </w:tc>
              <w:tc>
                <w:tcPr>
                  <w:tcW w:w="973" w:type="pct"/>
                  <w:vAlign w:val="center"/>
                </w:tcPr>
                <w:p>
                  <w:pPr>
                    <w:jc w:val="center"/>
                    <w:rPr>
                      <w:rFonts w:hint="eastAsia" w:eastAsia="宋体"/>
                      <w:color w:val="000000" w:themeColor="text1"/>
                      <w:szCs w:val="21"/>
                      <w:lang w:eastAsia="zh-CN"/>
                      <w14:textFill>
                        <w14:solidFill>
                          <w14:schemeClr w14:val="tx1"/>
                        </w14:solidFill>
                      </w14:textFill>
                    </w:rPr>
                  </w:pPr>
                  <w:r>
                    <w:rPr>
                      <w:rFonts w:hint="eastAsia"/>
                      <w:color w:val="000000" w:themeColor="text1"/>
                      <w:szCs w:val="21"/>
                      <w:lang w:eastAsia="zh-CN"/>
                      <w14:textFill>
                        <w14:solidFill>
                          <w14:schemeClr w14:val="tx1"/>
                        </w14:solidFill>
                      </w14:textFill>
                    </w:rPr>
                    <w:t>纸盒、纸箱、泡沫膜等</w:t>
                  </w:r>
                </w:p>
              </w:tc>
              <w:tc>
                <w:tcPr>
                  <w:tcW w:w="826" w:type="pct"/>
                  <w:vAlign w:val="center"/>
                </w:tcPr>
                <w:p>
                  <w:pPr>
                    <w:jc w:val="center"/>
                    <w:rPr>
                      <w:rFonts w:hint="eastAsia" w:eastAsia="宋体"/>
                      <w:color w:val="000000" w:themeColor="text1"/>
                      <w:szCs w:val="21"/>
                      <w:lang w:val="en-US" w:eastAsia="zh-CN"/>
                      <w14:textFill>
                        <w14:solidFill>
                          <w14:schemeClr w14:val="tx1"/>
                        </w14:solidFill>
                      </w14:textFill>
                    </w:rPr>
                  </w:pPr>
                  <w:r>
                    <w:rPr>
                      <w:rFonts w:hint="eastAsia"/>
                      <w:color w:val="000000" w:themeColor="text1"/>
                      <w:szCs w:val="21"/>
                      <w:lang w:val="en-US" w:eastAsia="zh-CN"/>
                      <w14:textFill>
                        <w14:solidFill>
                          <w14:schemeClr w14:val="tx1"/>
                        </w14:solidFill>
                      </w14:textFill>
                    </w:rPr>
                    <w:t>/</w:t>
                  </w:r>
                </w:p>
              </w:tc>
              <w:tc>
                <w:tcPr>
                  <w:tcW w:w="794" w:type="pct"/>
                  <w:vAlign w:val="center"/>
                </w:tcPr>
                <w:p>
                  <w:pPr>
                    <w:jc w:val="center"/>
                    <w:rPr>
                      <w:rFonts w:hint="eastAsia" w:eastAsia="宋体"/>
                      <w:color w:val="000000" w:themeColor="text1"/>
                      <w:szCs w:val="21"/>
                      <w:lang w:eastAsia="zh-CN"/>
                      <w14:textFill>
                        <w14:solidFill>
                          <w14:schemeClr w14:val="tx1"/>
                        </w14:solidFill>
                      </w14:textFill>
                    </w:rPr>
                  </w:pPr>
                  <w:r>
                    <w:rPr>
                      <w:rFonts w:hint="eastAsia"/>
                      <w:color w:val="000000" w:themeColor="text1"/>
                      <w:szCs w:val="21"/>
                      <w:lang w:eastAsia="zh-CN"/>
                      <w14:textFill>
                        <w14:solidFill>
                          <w14:schemeClr w14:val="tx1"/>
                        </w14:solidFill>
                      </w14:textFill>
                    </w:rPr>
                    <w:t>国内汽运</w:t>
                  </w:r>
                </w:p>
              </w:tc>
            </w:tr>
          </w:tbl>
          <w:p>
            <w:pPr>
              <w:pStyle w:val="15"/>
              <w:keepNext/>
              <w:jc w:val="left"/>
              <w:rPr>
                <w:rFonts w:hint="eastAsia" w:ascii="Times New Roman" w:hAnsi="Times New Roman"/>
                <w:color w:val="000000" w:themeColor="text1"/>
                <w:kern w:val="2"/>
                <w:sz w:val="21"/>
                <w:szCs w:val="21"/>
                <w14:textFill>
                  <w14:solidFill>
                    <w14:schemeClr w14:val="tx1"/>
                  </w14:solidFill>
                </w14:textFill>
              </w:rPr>
            </w:pPr>
            <w:r>
              <w:rPr>
                <w:rFonts w:hint="eastAsia" w:ascii="Times New Roman" w:hAnsi="Times New Roman"/>
                <w:color w:val="000000" w:themeColor="text1"/>
                <w:kern w:val="2"/>
                <w:sz w:val="21"/>
                <w:szCs w:val="21"/>
                <w14:textFill>
                  <w14:solidFill>
                    <w14:schemeClr w14:val="tx1"/>
                  </w14:solidFill>
                </w14:textFill>
              </w:rPr>
              <w:t>注：</w:t>
            </w:r>
            <w:r>
              <w:rPr>
                <w:rFonts w:hint="eastAsia" w:ascii="Times New Roman" w:hAnsi="Times New Roman"/>
                <w:b w:val="0"/>
                <w:bCs w:val="0"/>
                <w:color w:val="000000" w:themeColor="text1"/>
                <w:kern w:val="2"/>
                <w:sz w:val="21"/>
                <w:szCs w:val="21"/>
                <w14:textFill>
                  <w14:solidFill>
                    <w14:schemeClr w14:val="tx1"/>
                  </w14:solidFill>
                </w14:textFill>
              </w:rPr>
              <w:t>本项目</w:t>
            </w:r>
            <w:r>
              <w:rPr>
                <w:rFonts w:hint="eastAsia" w:ascii="Times New Roman" w:hAnsi="Times New Roman"/>
                <w:b w:val="0"/>
                <w:bCs w:val="0"/>
                <w:color w:val="000000" w:themeColor="text1"/>
                <w:kern w:val="2"/>
                <w:sz w:val="21"/>
                <w:szCs w:val="21"/>
                <w:lang w:val="en-US" w:eastAsia="zh-CN"/>
                <w14:textFill>
                  <w14:solidFill>
                    <w14:schemeClr w14:val="tx1"/>
                  </w14:solidFill>
                </w14:textFill>
              </w:rPr>
              <w:t>PVC、</w:t>
            </w:r>
            <w:r>
              <w:rPr>
                <w:rFonts w:hint="eastAsia" w:ascii="Times New Roman" w:hAnsi="Times New Roman"/>
                <w:b w:val="0"/>
                <w:bCs w:val="0"/>
                <w:color w:val="000000" w:themeColor="text1"/>
                <w:kern w:val="2"/>
                <w:sz w:val="21"/>
                <w:szCs w:val="21"/>
                <w14:textFill>
                  <w14:solidFill>
                    <w14:schemeClr w14:val="tx1"/>
                  </w14:solidFill>
                </w14:textFill>
              </w:rPr>
              <w:t>热塑性弹体</w:t>
            </w:r>
            <w:r>
              <w:rPr>
                <w:rFonts w:hint="eastAsia" w:ascii="Times New Roman" w:hAnsi="Times New Roman"/>
                <w:b w:val="0"/>
                <w:bCs w:val="0"/>
                <w:color w:val="000000" w:themeColor="text1"/>
                <w:kern w:val="2"/>
                <w:sz w:val="21"/>
                <w:szCs w:val="21"/>
                <w:lang w:eastAsia="zh-CN"/>
                <w14:textFill>
                  <w14:solidFill>
                    <w14:schemeClr w14:val="tx1"/>
                  </w14:solidFill>
                </w14:textFill>
              </w:rPr>
              <w:t>（</w:t>
            </w:r>
            <w:r>
              <w:rPr>
                <w:rFonts w:hint="eastAsia" w:ascii="Times New Roman" w:hAnsi="Times New Roman"/>
                <w:b w:val="0"/>
                <w:bCs w:val="0"/>
                <w:color w:val="000000" w:themeColor="text1"/>
                <w:kern w:val="2"/>
                <w:sz w:val="21"/>
                <w:szCs w:val="21"/>
                <w:lang w:val="en-US" w:eastAsia="zh-CN"/>
                <w14:textFill>
                  <w14:solidFill>
                    <w14:schemeClr w14:val="tx1"/>
                  </w14:solidFill>
                </w14:textFill>
              </w:rPr>
              <w:t>TPVC</w:t>
            </w:r>
            <w:r>
              <w:rPr>
                <w:rFonts w:hint="eastAsia" w:ascii="Times New Roman" w:hAnsi="Times New Roman"/>
                <w:b w:val="0"/>
                <w:bCs w:val="0"/>
                <w:color w:val="000000" w:themeColor="text1"/>
                <w:kern w:val="2"/>
                <w:sz w:val="21"/>
                <w:szCs w:val="21"/>
                <w:lang w:eastAsia="zh-CN"/>
                <w14:textFill>
                  <w14:solidFill>
                    <w14:schemeClr w14:val="tx1"/>
                  </w14:solidFill>
                </w14:textFill>
              </w:rPr>
              <w:t>）</w:t>
            </w:r>
            <w:r>
              <w:rPr>
                <w:rFonts w:hint="eastAsia" w:ascii="Times New Roman" w:hAnsi="Times New Roman"/>
                <w:b w:val="0"/>
                <w:bCs w:val="0"/>
                <w:color w:val="000000" w:themeColor="text1"/>
                <w:kern w:val="2"/>
                <w:sz w:val="21"/>
                <w:szCs w:val="21"/>
                <w14:textFill>
                  <w14:solidFill>
                    <w14:schemeClr w14:val="tx1"/>
                  </w14:solidFill>
                </w14:textFill>
              </w:rPr>
              <w:t>、色母粒为原生塑料，建设单位生产过程中不得使用再生塑料作为原材料。</w:t>
            </w:r>
          </w:p>
          <w:p>
            <w:pPr>
              <w:pStyle w:val="15"/>
              <w:keepNext/>
              <w:jc w:val="center"/>
              <w:rPr>
                <w:rFonts w:ascii="Times New Roman" w:hAnsi="Times New Roman"/>
                <w:color w:val="000000" w:themeColor="text1"/>
                <w:kern w:val="2"/>
                <w:sz w:val="21"/>
                <w:szCs w:val="21"/>
                <w14:textFill>
                  <w14:solidFill>
                    <w14:schemeClr w14:val="tx1"/>
                  </w14:solidFill>
                </w14:textFill>
              </w:rPr>
            </w:pPr>
            <w:r>
              <w:rPr>
                <w:rFonts w:hint="eastAsia" w:ascii="Times New Roman" w:hAnsi="Times New Roman"/>
                <w:color w:val="000000" w:themeColor="text1"/>
                <w:kern w:val="2"/>
                <w:sz w:val="21"/>
                <w:szCs w:val="21"/>
                <w14:textFill>
                  <w14:solidFill>
                    <w14:schemeClr w14:val="tx1"/>
                  </w14:solidFill>
                </w14:textFill>
              </w:rPr>
              <w:t>表1-2原辅料组分</w:t>
            </w:r>
            <w:r>
              <w:rPr>
                <w:rFonts w:ascii="Times New Roman" w:hAnsi="Times New Roman"/>
                <w:color w:val="000000" w:themeColor="text1"/>
                <w:kern w:val="2"/>
                <w:sz w:val="21"/>
                <w:szCs w:val="21"/>
                <w14:textFill>
                  <w14:solidFill>
                    <w14:schemeClr w14:val="tx1"/>
                  </w14:solidFill>
                </w14:textFill>
              </w:rPr>
              <w:t>理化性质一览表</w:t>
            </w:r>
          </w:p>
          <w:tbl>
            <w:tblPr>
              <w:tblStyle w:val="56"/>
              <w:tblW w:w="4998" w:type="pct"/>
              <w:jc w:val="center"/>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1064"/>
              <w:gridCol w:w="3602"/>
              <w:gridCol w:w="1124"/>
              <w:gridCol w:w="2533"/>
            </w:tblGrid>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39" w:type="pct"/>
                  <w:vAlign w:val="center"/>
                </w:tcPr>
                <w:p>
                  <w:pPr>
                    <w:jc w:val="center"/>
                    <w:rPr>
                      <w:b/>
                      <w:bCs/>
                      <w:color w:val="000000" w:themeColor="text1"/>
                      <w:szCs w:val="21"/>
                      <w14:textFill>
                        <w14:solidFill>
                          <w14:schemeClr w14:val="tx1"/>
                        </w14:solidFill>
                      </w14:textFill>
                    </w:rPr>
                  </w:pPr>
                  <w:r>
                    <w:rPr>
                      <w:rFonts w:hint="eastAsia"/>
                      <w:b/>
                      <w:bCs/>
                      <w:color w:val="000000" w:themeColor="text1"/>
                      <w:szCs w:val="21"/>
                      <w14:textFill>
                        <w14:solidFill>
                          <w14:schemeClr w14:val="tx1"/>
                        </w14:solidFill>
                      </w14:textFill>
                    </w:rPr>
                    <w:t>组分名称</w:t>
                  </w:r>
                </w:p>
              </w:tc>
              <w:tc>
                <w:tcPr>
                  <w:tcW w:w="2163" w:type="pct"/>
                  <w:vAlign w:val="center"/>
                </w:tcPr>
                <w:p>
                  <w:pPr>
                    <w:jc w:val="center"/>
                    <w:rPr>
                      <w:b/>
                      <w:bCs/>
                      <w:color w:val="000000" w:themeColor="text1"/>
                      <w:szCs w:val="21"/>
                      <w14:textFill>
                        <w14:solidFill>
                          <w14:schemeClr w14:val="tx1"/>
                        </w14:solidFill>
                      </w14:textFill>
                    </w:rPr>
                  </w:pPr>
                  <w:r>
                    <w:rPr>
                      <w:b/>
                      <w:bCs/>
                      <w:color w:val="000000" w:themeColor="text1"/>
                      <w:szCs w:val="21"/>
                      <w14:textFill>
                        <w14:solidFill>
                          <w14:schemeClr w14:val="tx1"/>
                        </w14:solidFill>
                      </w14:textFill>
                    </w:rPr>
                    <w:t>理化性质</w:t>
                  </w:r>
                </w:p>
              </w:tc>
              <w:tc>
                <w:tcPr>
                  <w:tcW w:w="675" w:type="pct"/>
                  <w:vAlign w:val="center"/>
                </w:tcPr>
                <w:p>
                  <w:pPr>
                    <w:jc w:val="center"/>
                    <w:rPr>
                      <w:b/>
                      <w:bCs/>
                      <w:color w:val="000000" w:themeColor="text1"/>
                      <w:szCs w:val="21"/>
                      <w14:textFill>
                        <w14:solidFill>
                          <w14:schemeClr w14:val="tx1"/>
                        </w14:solidFill>
                      </w14:textFill>
                    </w:rPr>
                  </w:pPr>
                  <w:r>
                    <w:rPr>
                      <w:rFonts w:hint="eastAsia"/>
                      <w:b/>
                      <w:bCs/>
                      <w:color w:val="000000" w:themeColor="text1"/>
                      <w:szCs w:val="21"/>
                      <w14:textFill>
                        <w14:solidFill>
                          <w14:schemeClr w14:val="tx1"/>
                        </w14:solidFill>
                      </w14:textFill>
                    </w:rPr>
                    <w:t>危险特性</w:t>
                  </w:r>
                </w:p>
              </w:tc>
              <w:tc>
                <w:tcPr>
                  <w:tcW w:w="1521" w:type="pct"/>
                  <w:vAlign w:val="center"/>
                </w:tcPr>
                <w:p>
                  <w:pPr>
                    <w:jc w:val="center"/>
                    <w:rPr>
                      <w:b/>
                      <w:bCs/>
                      <w:color w:val="000000" w:themeColor="text1"/>
                      <w:szCs w:val="21"/>
                      <w14:textFill>
                        <w14:solidFill>
                          <w14:schemeClr w14:val="tx1"/>
                        </w14:solidFill>
                      </w14:textFill>
                    </w:rPr>
                  </w:pPr>
                  <w:r>
                    <w:rPr>
                      <w:b/>
                      <w:bCs/>
                      <w:color w:val="000000" w:themeColor="text1"/>
                      <w:szCs w:val="21"/>
                      <w14:textFill>
                        <w14:solidFill>
                          <w14:schemeClr w14:val="tx1"/>
                        </w14:solidFill>
                      </w14:textFill>
                    </w:rPr>
                    <w:t>毒性毒理</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39" w:type="pct"/>
                  <w:vAlign w:val="center"/>
                </w:tcPr>
                <w:p>
                  <w:pPr>
                    <w:jc w:val="center"/>
                    <w:rPr>
                      <w:rFonts w:ascii="Times New Roman" w:hAnsi="Times New Roman" w:cs="Times New Roman" w:eastAsiaTheme="minorEastAsia"/>
                      <w:color w:val="000000" w:themeColor="text1"/>
                      <w:kern w:val="0"/>
                      <w:sz w:val="21"/>
                      <w:szCs w:val="21"/>
                      <w:lang w:val="en-US" w:eastAsia="zh-CN" w:bidi="ar-SA"/>
                      <w14:textFill>
                        <w14:solidFill>
                          <w14:schemeClr w14:val="tx1"/>
                        </w14:solidFill>
                      </w14:textFill>
                    </w:rPr>
                  </w:pPr>
                  <w:r>
                    <w:rPr>
                      <w:rFonts w:hint="eastAsia" w:eastAsiaTheme="minorEastAsia"/>
                      <w:color w:val="000000" w:themeColor="text1"/>
                      <w:kern w:val="0"/>
                      <w:szCs w:val="21"/>
                      <w14:textFill>
                        <w14:solidFill>
                          <w14:schemeClr w14:val="tx1"/>
                        </w14:solidFill>
                      </w14:textFill>
                    </w:rPr>
                    <w:t>热塑性弹体</w:t>
                  </w:r>
                </w:p>
              </w:tc>
              <w:tc>
                <w:tcPr>
                  <w:tcW w:w="2163" w:type="pct"/>
                  <w:vAlign w:val="center"/>
                </w:tcPr>
                <w:p>
                  <w:pPr>
                    <w:rPr>
                      <w:rFonts w:ascii="Times New Roman" w:hAnsi="Times New Roman" w:eastAsia="宋体" w:cs="Times New Roman"/>
                      <w:color w:val="000000" w:themeColor="text1"/>
                      <w:kern w:val="2"/>
                      <w:sz w:val="21"/>
                      <w:lang w:val="en-US" w:eastAsia="zh-CN" w:bidi="ar-SA"/>
                      <w14:textFill>
                        <w14:solidFill>
                          <w14:schemeClr w14:val="tx1"/>
                        </w14:solidFill>
                      </w14:textFill>
                    </w:rPr>
                  </w:pPr>
                  <w:r>
                    <w:rPr>
                      <w:rFonts w:hint="eastAsia" w:eastAsiaTheme="minorEastAsia"/>
                      <w:color w:val="000000" w:themeColor="text1"/>
                      <w:kern w:val="0"/>
                      <w:szCs w:val="21"/>
                      <w14:textFill>
                        <w14:solidFill>
                          <w14:schemeClr w14:val="tx1"/>
                        </w14:solidFill>
                      </w14:textFill>
                    </w:rPr>
                    <w:t>无色、无臭、无毒、半透明固体颗粒，相对密度小，具有优良的耐热性、耐寒性、耐候性和耐老化性。</w:t>
                  </w:r>
                </w:p>
              </w:tc>
              <w:tc>
                <w:tcPr>
                  <w:tcW w:w="675" w:type="pct"/>
                  <w:vAlign w:val="center"/>
                </w:tcPr>
                <w:p>
                  <w:pPr>
                    <w:jc w:val="center"/>
                    <w:rPr>
                      <w:rFonts w:hint="eastAsia" w:ascii="Times New Roman" w:hAnsi="Times New Roman" w:cs="Times New Roman" w:eastAsiaTheme="minorEastAsia"/>
                      <w:color w:val="000000" w:themeColor="text1"/>
                      <w:kern w:val="0"/>
                      <w:sz w:val="21"/>
                      <w:szCs w:val="21"/>
                      <w:lang w:val="en-US" w:eastAsia="zh-CN" w:bidi="ar-SA"/>
                      <w14:textFill>
                        <w14:solidFill>
                          <w14:schemeClr w14:val="tx1"/>
                        </w14:solidFill>
                      </w14:textFill>
                    </w:rPr>
                  </w:pPr>
                  <w:r>
                    <w:rPr>
                      <w:rFonts w:hint="eastAsia" w:cs="Times New Roman" w:eastAsiaTheme="minorEastAsia"/>
                      <w:color w:val="000000" w:themeColor="text1"/>
                      <w:kern w:val="0"/>
                      <w:sz w:val="21"/>
                      <w:szCs w:val="21"/>
                      <w:lang w:val="en-US" w:eastAsia="zh-CN" w:bidi="ar-SA"/>
                      <w14:textFill>
                        <w14:solidFill>
                          <w14:schemeClr w14:val="tx1"/>
                        </w14:solidFill>
                      </w14:textFill>
                    </w:rPr>
                    <w:t>难燃</w:t>
                  </w:r>
                </w:p>
              </w:tc>
              <w:tc>
                <w:tcPr>
                  <w:tcW w:w="1521" w:type="pct"/>
                  <w:vAlign w:val="center"/>
                </w:tcPr>
                <w:p>
                  <w:pPr>
                    <w:jc w:val="center"/>
                    <w:rPr>
                      <w:rFonts w:ascii="Times New Roman" w:hAnsi="Times New Roman" w:cs="Times New Roman" w:eastAsiaTheme="minorEastAsia"/>
                      <w:color w:val="000000" w:themeColor="text1"/>
                      <w:kern w:val="0"/>
                      <w:sz w:val="21"/>
                      <w:szCs w:val="21"/>
                      <w:lang w:val="en-US" w:eastAsia="zh-CN" w:bidi="ar-SA"/>
                      <w14:textFill>
                        <w14:solidFill>
                          <w14:schemeClr w14:val="tx1"/>
                        </w14:solidFill>
                      </w14:textFill>
                    </w:rPr>
                  </w:pPr>
                  <w:r>
                    <w:rPr>
                      <w:rFonts w:hint="eastAsia" w:eastAsiaTheme="minorEastAsia"/>
                      <w:color w:val="000000" w:themeColor="text1"/>
                      <w:kern w:val="0"/>
                      <w:szCs w:val="21"/>
                      <w14:textFill>
                        <w14:solidFill>
                          <w14:schemeClr w14:val="tx1"/>
                        </w14:solidFill>
                      </w14:textFill>
                    </w:rPr>
                    <w:t>无毒</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PrEx>
              <w:trPr>
                <w:trHeight w:val="90" w:hRule="atLeast"/>
                <w:jc w:val="center"/>
              </w:trPr>
              <w:tc>
                <w:tcPr>
                  <w:tcW w:w="639" w:type="pct"/>
                  <w:vAlign w:val="center"/>
                </w:tcPr>
                <w:p>
                  <w:pPr>
                    <w:jc w:val="center"/>
                    <w:rPr>
                      <w:rFonts w:hint="default"/>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PVC塑料粒子</w:t>
                  </w:r>
                </w:p>
              </w:tc>
              <w:tc>
                <w:tcPr>
                  <w:tcW w:w="2163" w:type="pct"/>
                  <w:vAlign w:val="center"/>
                </w:tcPr>
                <w:p>
                  <w:pPr>
                    <w:rPr>
                      <w:rFonts w:hint="eastAsia" w:eastAsiaTheme="minorEastAsia"/>
                      <w:color w:val="000000" w:themeColor="text1"/>
                      <w:kern w:val="0"/>
                      <w:szCs w:val="21"/>
                      <w:lang w:val="en-US" w:eastAsia="zh-CN"/>
                      <w14:textFill>
                        <w14:solidFill>
                          <w14:schemeClr w14:val="tx1"/>
                        </w14:solidFill>
                      </w14:textFill>
                    </w:rPr>
                  </w:pPr>
                  <w:r>
                    <w:rPr>
                      <w:rFonts w:hint="eastAsia" w:eastAsiaTheme="minorEastAsia"/>
                      <w:color w:val="000000" w:themeColor="text1"/>
                      <w:kern w:val="0"/>
                      <w:szCs w:val="21"/>
                      <w14:textFill>
                        <w14:solidFill>
                          <w14:schemeClr w14:val="tx1"/>
                        </w14:solidFill>
                      </w14:textFill>
                    </w:rPr>
                    <w:t>PVC为无定形结构的白色粉末，支化度较小，相对密度1.4</w:t>
                  </w:r>
                  <w:r>
                    <w:rPr>
                      <w:rFonts w:hint="eastAsia" w:eastAsiaTheme="minorEastAsia"/>
                      <w:color w:val="000000" w:themeColor="text1"/>
                      <w:kern w:val="0"/>
                      <w:szCs w:val="21"/>
                      <w:lang w:eastAsia="zh-CN"/>
                      <w14:textFill>
                        <w14:solidFill>
                          <w14:schemeClr w14:val="tx1"/>
                        </w14:solidFill>
                      </w14:textFill>
                    </w:rPr>
                    <w:t>左右</w:t>
                  </w:r>
                </w:p>
              </w:tc>
              <w:tc>
                <w:tcPr>
                  <w:tcW w:w="675" w:type="pct"/>
                  <w:vAlign w:val="center"/>
                </w:tcPr>
                <w:p>
                  <w:pPr>
                    <w:jc w:val="center"/>
                    <w:rPr>
                      <w:rFonts w:hint="eastAsia" w:eastAsiaTheme="minorEastAsia"/>
                      <w:color w:val="000000" w:themeColor="text1"/>
                      <w:kern w:val="0"/>
                      <w:szCs w:val="21"/>
                      <w:lang w:eastAsia="zh-CN"/>
                      <w14:textFill>
                        <w14:solidFill>
                          <w14:schemeClr w14:val="tx1"/>
                        </w14:solidFill>
                      </w14:textFill>
                    </w:rPr>
                  </w:pPr>
                  <w:r>
                    <w:rPr>
                      <w:rFonts w:hint="eastAsia" w:cs="Times New Roman" w:eastAsiaTheme="minorEastAsia"/>
                      <w:color w:val="000000" w:themeColor="text1"/>
                      <w:kern w:val="0"/>
                      <w:sz w:val="21"/>
                      <w:szCs w:val="21"/>
                      <w:lang w:val="en-US" w:eastAsia="zh-CN" w:bidi="ar-SA"/>
                      <w14:textFill>
                        <w14:solidFill>
                          <w14:schemeClr w14:val="tx1"/>
                        </w14:solidFill>
                      </w14:textFill>
                    </w:rPr>
                    <w:t>难燃</w:t>
                  </w:r>
                </w:p>
              </w:tc>
              <w:tc>
                <w:tcPr>
                  <w:tcW w:w="1521" w:type="pct"/>
                  <w:vAlign w:val="center"/>
                </w:tcPr>
                <w:p>
                  <w:pPr>
                    <w:jc w:val="center"/>
                    <w:rPr>
                      <w:rFonts w:hint="eastAsia" w:eastAsiaTheme="minorEastAsia"/>
                      <w:color w:val="000000" w:themeColor="text1"/>
                      <w:kern w:val="0"/>
                      <w:szCs w:val="21"/>
                      <w:lang w:eastAsia="zh-CN"/>
                      <w14:textFill>
                        <w14:solidFill>
                          <w14:schemeClr w14:val="tx1"/>
                        </w14:solidFill>
                      </w14:textFill>
                    </w:rPr>
                  </w:pPr>
                  <w:r>
                    <w:rPr>
                      <w:rFonts w:hint="eastAsia" w:eastAsiaTheme="minorEastAsia"/>
                      <w:color w:val="000000" w:themeColor="text1"/>
                      <w:kern w:val="0"/>
                      <w:szCs w:val="21"/>
                      <w:lang w:eastAsia="zh-CN"/>
                      <w14:textFill>
                        <w14:solidFill>
                          <w14:schemeClr w14:val="tx1"/>
                        </w14:solidFill>
                      </w14:textFill>
                    </w:rPr>
                    <w:t>低毒</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PrEx>
              <w:trPr>
                <w:trHeight w:val="340" w:hRule="atLeast"/>
                <w:jc w:val="center"/>
              </w:trPr>
              <w:tc>
                <w:tcPr>
                  <w:tcW w:w="639" w:type="pct"/>
                  <w:vAlign w:val="center"/>
                </w:tcPr>
                <w:p>
                  <w:pPr>
                    <w:widowControl/>
                    <w:jc w:val="center"/>
                    <w:textAlignment w:val="center"/>
                    <w:rPr>
                      <w:rFonts w:hint="eastAsia" w:ascii="Times New Roman" w:hAnsi="Times New Roman" w:eastAsia="宋体" w:cs="Times New Roman"/>
                      <w:color w:val="000000" w:themeColor="text1"/>
                      <w:kern w:val="2"/>
                      <w:sz w:val="21"/>
                      <w:lang w:val="en-US" w:eastAsia="zh-CN" w:bidi="ar-SA"/>
                      <w14:textFill>
                        <w14:solidFill>
                          <w14:schemeClr w14:val="tx1"/>
                        </w14:solidFill>
                      </w14:textFill>
                    </w:rPr>
                  </w:pPr>
                  <w:r>
                    <w:rPr>
                      <w:rFonts w:hint="eastAsia"/>
                      <w:color w:val="000000" w:themeColor="text1"/>
                      <w:szCs w:val="21"/>
                      <w14:textFill>
                        <w14:solidFill>
                          <w14:schemeClr w14:val="tx1"/>
                        </w14:solidFill>
                      </w14:textFill>
                    </w:rPr>
                    <w:t>润滑油</w:t>
                  </w:r>
                </w:p>
              </w:tc>
              <w:tc>
                <w:tcPr>
                  <w:tcW w:w="2163" w:type="pct"/>
                  <w:vAlign w:val="center"/>
                </w:tcPr>
                <w:p>
                  <w:pPr>
                    <w:jc w:val="center"/>
                    <w:rPr>
                      <w:rFonts w:ascii="Times New Roman" w:hAnsi="Times New Roman" w:eastAsia="宋体" w:cs="Times New Roman"/>
                      <w:b/>
                      <w:bCs/>
                      <w:color w:val="000000" w:themeColor="text1"/>
                      <w:kern w:val="2"/>
                      <w:sz w:val="21"/>
                      <w:szCs w:val="21"/>
                      <w:lang w:val="en-US" w:eastAsia="zh-CN" w:bidi="ar-SA"/>
                      <w14:textFill>
                        <w14:solidFill>
                          <w14:schemeClr w14:val="tx1"/>
                        </w14:solidFill>
                      </w14:textFill>
                    </w:rPr>
                  </w:pPr>
                  <w:r>
                    <w:rPr>
                      <w:rFonts w:ascii="Arial" w:hAnsi="Arial" w:cs="Arial"/>
                      <w:color w:val="000000" w:themeColor="text1"/>
                      <w:szCs w:val="21"/>
                      <w:shd w:val="clear" w:color="auto" w:fill="FFFFFF"/>
                      <w14:textFill>
                        <w14:solidFill>
                          <w14:schemeClr w14:val="tx1"/>
                        </w14:solidFill>
                      </w14:textFill>
                    </w:rPr>
                    <w:t>润滑油一般由基础油和添加剂两部分组成</w:t>
                  </w:r>
                  <w:r>
                    <w:rPr>
                      <w:rFonts w:hint="eastAsia" w:ascii="Arial" w:hAnsi="Arial" w:cs="Arial"/>
                      <w:color w:val="000000" w:themeColor="text1"/>
                      <w:szCs w:val="21"/>
                      <w:shd w:val="clear" w:color="auto" w:fill="FFFFFF"/>
                      <w14:textFill>
                        <w14:solidFill>
                          <w14:schemeClr w14:val="tx1"/>
                        </w14:solidFill>
                      </w14:textFill>
                    </w:rPr>
                    <w:t>，</w:t>
                  </w:r>
                  <w:r>
                    <w:rPr>
                      <w:rFonts w:ascii="Arial" w:hAnsi="Arial" w:cs="Arial"/>
                      <w:color w:val="000000" w:themeColor="text1"/>
                      <w:kern w:val="0"/>
                      <w:szCs w:val="21"/>
                      <w:shd w:val="clear" w:color="auto" w:fill="FFFFFF"/>
                      <w14:textFill>
                        <w14:solidFill>
                          <w14:schemeClr w14:val="tx1"/>
                        </w14:solidFill>
                      </w14:textFill>
                    </w:rPr>
                    <w:t>润滑油基础油主要分矿物基础油、合成基础油以及生物基础油三大类</w:t>
                  </w:r>
                  <w:r>
                    <w:rPr>
                      <w:rFonts w:hint="eastAsia" w:ascii="Arial" w:hAnsi="Arial" w:cs="Arial"/>
                      <w:color w:val="000000" w:themeColor="text1"/>
                      <w:kern w:val="0"/>
                      <w:szCs w:val="21"/>
                      <w:shd w:val="clear" w:color="auto" w:fill="FFFFFF"/>
                      <w14:textFill>
                        <w14:solidFill>
                          <w14:schemeClr w14:val="tx1"/>
                        </w14:solidFill>
                      </w14:textFill>
                    </w:rPr>
                    <w:t>，</w:t>
                  </w:r>
                  <w:r>
                    <w:rPr>
                      <w:rFonts w:ascii="Arial" w:hAnsi="Arial" w:cs="Arial"/>
                      <w:color w:val="000000" w:themeColor="text1"/>
                      <w:szCs w:val="21"/>
                      <w:shd w:val="clear" w:color="auto" w:fill="FFFFFF"/>
                      <w14:textFill>
                        <w14:solidFill>
                          <w14:schemeClr w14:val="tx1"/>
                        </w14:solidFill>
                      </w14:textFill>
                    </w:rPr>
                    <w:t>矿物基础油的化学成分包括高沸点、高分子量烃类和非烃类混合物</w:t>
                  </w:r>
                  <w:r>
                    <w:rPr>
                      <w:rFonts w:hint="eastAsia" w:ascii="Arial" w:hAnsi="Arial" w:cs="Arial"/>
                      <w:color w:val="000000" w:themeColor="text1"/>
                      <w:szCs w:val="21"/>
                      <w:shd w:val="clear" w:color="auto" w:fill="FFFFFF"/>
                      <w:lang w:eastAsia="zh-CN"/>
                      <w14:textFill>
                        <w14:solidFill>
                          <w14:schemeClr w14:val="tx1"/>
                        </w14:solidFill>
                      </w14:textFill>
                    </w:rPr>
                    <w:t>。</w:t>
                  </w:r>
                  <w:r>
                    <w:rPr>
                      <w:rFonts w:ascii="Arial" w:hAnsi="Arial" w:cs="Arial"/>
                      <w:color w:val="000000" w:themeColor="text1"/>
                      <w:szCs w:val="21"/>
                      <w:shd w:val="clear" w:color="auto" w:fill="FFFFFF"/>
                      <w14:textFill>
                        <w14:solidFill>
                          <w14:schemeClr w14:val="tx1"/>
                        </w14:solidFill>
                      </w14:textFill>
                    </w:rPr>
                    <w:t>其组成一般为烷烃（直链、支链、多支链）、环烷烃（单环、双环、多环）、</w:t>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"https://baike.baidu.com/item/%E8%8A%B3%E7%83%83" \t "_blank" </w:instrText>
                  </w:r>
                  <w:r>
                    <w:rPr>
                      <w:color w:val="000000" w:themeColor="text1"/>
                      <w14:textFill>
                        <w14:solidFill>
                          <w14:schemeClr w14:val="tx1"/>
                        </w14:solidFill>
                      </w14:textFill>
                    </w:rPr>
                    <w:fldChar w:fldCharType="separate"/>
                  </w:r>
                  <w:r>
                    <w:rPr>
                      <w:rStyle w:val="73"/>
                      <w:rFonts w:ascii="Arial" w:hAnsi="Arial" w:cs="Arial"/>
                      <w:color w:val="000000" w:themeColor="text1"/>
                      <w:szCs w:val="21"/>
                      <w:u w:val="none"/>
                      <w:shd w:val="clear" w:color="auto" w:fill="FFFFFF"/>
                      <w14:textFill>
                        <w14:solidFill>
                          <w14:schemeClr w14:val="tx1"/>
                        </w14:solidFill>
                      </w14:textFill>
                    </w:rPr>
                    <w:t>芳烃</w:t>
                  </w:r>
                  <w:r>
                    <w:rPr>
                      <w:rStyle w:val="73"/>
                      <w:rFonts w:ascii="Arial" w:hAnsi="Arial" w:cs="Arial"/>
                      <w:color w:val="000000" w:themeColor="text1"/>
                      <w:szCs w:val="21"/>
                      <w:u w:val="none"/>
                      <w:shd w:val="clear" w:color="auto" w:fill="FFFFFF"/>
                      <w14:textFill>
                        <w14:solidFill>
                          <w14:schemeClr w14:val="tx1"/>
                        </w14:solidFill>
                      </w14:textFill>
                    </w:rPr>
                    <w:fldChar w:fldCharType="end"/>
                  </w:r>
                  <w:r>
                    <w:rPr>
                      <w:rFonts w:ascii="Arial" w:hAnsi="Arial" w:cs="Arial"/>
                      <w:color w:val="000000" w:themeColor="text1"/>
                      <w:szCs w:val="21"/>
                      <w:shd w:val="clear" w:color="auto" w:fill="FFFFFF"/>
                      <w14:textFill>
                        <w14:solidFill>
                          <w14:schemeClr w14:val="tx1"/>
                        </w14:solidFill>
                      </w14:textFill>
                    </w:rPr>
                    <w:t>（单环芳烃、多环芳烃）、环烷基芳烃以及含氧、含氮、含硫有机化合物和胶质、沥青质等非烃类化合物</w:t>
                  </w:r>
                </w:p>
              </w:tc>
              <w:tc>
                <w:tcPr>
                  <w:tcW w:w="675" w:type="pct"/>
                  <w:vAlign w:val="center"/>
                </w:tcPr>
                <w:p>
                  <w:pPr>
                    <w:ind w:right="33" w:rightChars="16"/>
                    <w:jc w:val="center"/>
                    <w:rPr>
                      <w:rFonts w:ascii="Times New Roman" w:hAnsi="Times New Roman" w:eastAsia="宋体" w:cs="Times New Roman"/>
                      <w:color w:val="000000" w:themeColor="text1"/>
                      <w:kern w:val="2"/>
                      <w:sz w:val="21"/>
                      <w:szCs w:val="21"/>
                      <w:lang w:val="en-US" w:eastAsia="zh-CN" w:bidi="ar-SA"/>
                      <w14:textFill>
                        <w14:solidFill>
                          <w14:schemeClr w14:val="tx1"/>
                        </w14:solidFill>
                      </w14:textFill>
                    </w:rPr>
                  </w:pPr>
                  <w:r>
                    <w:rPr>
                      <w:color w:val="000000" w:themeColor="text1"/>
                      <w:szCs w:val="21"/>
                      <w14:textFill>
                        <w14:solidFill>
                          <w14:schemeClr w14:val="tx1"/>
                        </w14:solidFill>
                      </w14:textFill>
                    </w:rPr>
                    <w:t>易燃</w:t>
                  </w:r>
                </w:p>
              </w:tc>
              <w:tc>
                <w:tcPr>
                  <w:tcW w:w="1521" w:type="pct"/>
                  <w:vAlign w:val="center"/>
                </w:tcPr>
                <w:p>
                  <w:pPr>
                    <w:jc w:val="center"/>
                    <w:rPr>
                      <w:rFonts w:ascii="Times New Roman" w:hAnsi="Times New Roman" w:eastAsia="宋体" w:cs="Times New Roman"/>
                      <w:b/>
                      <w:bCs/>
                      <w:color w:val="000000" w:themeColor="text1"/>
                      <w:kern w:val="2"/>
                      <w:sz w:val="21"/>
                      <w:szCs w:val="21"/>
                      <w:lang w:val="en-US" w:eastAsia="zh-CN" w:bidi="ar-SA"/>
                      <w14:textFill>
                        <w14:solidFill>
                          <w14:schemeClr w14:val="tx1"/>
                        </w14:solidFill>
                      </w14:textFill>
                    </w:rPr>
                  </w:pPr>
                  <w:r>
                    <w:rPr>
                      <w:rFonts w:hint="eastAsia"/>
                      <w:color w:val="000000" w:themeColor="text1"/>
                      <w:szCs w:val="21"/>
                      <w:shd w:val="clear" w:color="auto" w:fill="FFFFFF"/>
                      <w14:textFill>
                        <w14:solidFill>
                          <w14:schemeClr w14:val="tx1"/>
                        </w14:solidFill>
                      </w14:textFill>
                    </w:rPr>
                    <w:t>急性吸入，可出现乏力、头晕、头痛、恶心，严重者可引起油脂性肺炎。慢接触者，暴露部位可发生油性痤疮和接触性皮炎。可引起神经衰弱综合征，呼吸道和眼刺激症状及慢性油脂性肺炎。有资料报道，接触石油润滑油类的工人，有致癌的病例报告</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4" w:hRule="atLeast"/>
                <w:jc w:val="center"/>
              </w:trPr>
              <w:tc>
                <w:tcPr>
                  <w:tcW w:w="639" w:type="pct"/>
                  <w:vAlign w:val="center"/>
                </w:tcPr>
                <w:p>
                  <w:pPr>
                    <w:widowControl/>
                    <w:jc w:val="center"/>
                    <w:textAlignment w:val="center"/>
                    <w:rPr>
                      <w:rFonts w:hint="eastAsia" w:ascii="Times New Roman" w:hAnsi="Times New Roman" w:eastAsia="宋体" w:cs="Times New Roman"/>
                      <w:b/>
                      <w:bCs/>
                      <w:color w:val="000000" w:themeColor="text1"/>
                      <w:kern w:val="2"/>
                      <w:sz w:val="21"/>
                      <w:szCs w:val="21"/>
                      <w:lang w:val="en-US" w:eastAsia="zh-CN" w:bidi="ar-SA"/>
                      <w14:textFill>
                        <w14:solidFill>
                          <w14:schemeClr w14:val="tx1"/>
                        </w14:solidFill>
                      </w14:textFill>
                    </w:rPr>
                  </w:pPr>
                  <w:r>
                    <w:rPr>
                      <w:rFonts w:hint="eastAsia"/>
                      <w:color w:val="000000" w:themeColor="text1"/>
                      <w:szCs w:val="21"/>
                      <w14:textFill>
                        <w14:solidFill>
                          <w14:schemeClr w14:val="tx1"/>
                        </w14:solidFill>
                      </w14:textFill>
                    </w:rPr>
                    <w:t>切削液</w:t>
                  </w:r>
                </w:p>
              </w:tc>
              <w:tc>
                <w:tcPr>
                  <w:tcW w:w="2163" w:type="pct"/>
                  <w:vAlign w:val="center"/>
                </w:tcPr>
                <w:p>
                  <w:pPr>
                    <w:pStyle w:val="174"/>
                    <w:spacing w:line="240" w:lineRule="auto"/>
                    <w:jc w:val="center"/>
                    <w:rPr>
                      <w:rFonts w:ascii="Times New Roman" w:hAnsi="Times New Roman" w:eastAsia="楷体_GB2312" w:cs="Times New Roman"/>
                      <w:b/>
                      <w:bCs/>
                      <w:color w:val="000000" w:themeColor="text1"/>
                      <w:spacing w:val="-10"/>
                      <w:kern w:val="0"/>
                      <w:sz w:val="21"/>
                      <w:szCs w:val="21"/>
                      <w:lang w:val="en-US" w:eastAsia="zh-CN" w:bidi="ar-SA"/>
                      <w14:textFill>
                        <w14:solidFill>
                          <w14:schemeClr w14:val="tx1"/>
                        </w14:solidFill>
                      </w14:textFill>
                    </w:rPr>
                  </w:pPr>
                  <w:r>
                    <w:rPr>
                      <w:rFonts w:hint="eastAsia" w:ascii="Arial" w:hAnsi="Arial" w:eastAsia="宋体" w:cs="Arial"/>
                      <w:color w:val="000000" w:themeColor="text1"/>
                      <w:spacing w:val="0"/>
                      <w:szCs w:val="21"/>
                      <w:shd w:val="clear" w:color="auto" w:fill="FFFFFF"/>
                      <w14:textFill>
                        <w14:solidFill>
                          <w14:schemeClr w14:val="tx1"/>
                        </w14:solidFill>
                      </w14:textFill>
                    </w:rPr>
                    <w:t>乳白色无味，易溶于水</w:t>
                  </w:r>
                </w:p>
              </w:tc>
              <w:tc>
                <w:tcPr>
                  <w:tcW w:w="675" w:type="pct"/>
                  <w:vAlign w:val="center"/>
                </w:tcPr>
                <w:p>
                  <w:pPr>
                    <w:pStyle w:val="174"/>
                    <w:spacing w:line="240" w:lineRule="auto"/>
                    <w:jc w:val="center"/>
                    <w:rPr>
                      <w:rFonts w:ascii="Times New Roman" w:hAnsi="Times New Roman" w:eastAsia="楷体_GB2312" w:cs="Times New Roman"/>
                      <w:color w:val="000000" w:themeColor="text1"/>
                      <w:spacing w:val="-10"/>
                      <w:kern w:val="0"/>
                      <w:sz w:val="21"/>
                      <w:szCs w:val="21"/>
                      <w:lang w:val="en-US" w:eastAsia="zh-CN" w:bidi="ar-SA"/>
                      <w14:textFill>
                        <w14:solidFill>
                          <w14:schemeClr w14:val="tx1"/>
                        </w14:solidFill>
                      </w14:textFill>
                    </w:rPr>
                  </w:pPr>
                  <w:r>
                    <w:rPr>
                      <w:rFonts w:eastAsia="宋体"/>
                      <w:color w:val="000000" w:themeColor="text1"/>
                      <w:szCs w:val="21"/>
                      <w14:textFill>
                        <w14:solidFill>
                          <w14:schemeClr w14:val="tx1"/>
                        </w14:solidFill>
                      </w14:textFill>
                    </w:rPr>
                    <w:t>易燃</w:t>
                  </w:r>
                </w:p>
              </w:tc>
              <w:tc>
                <w:tcPr>
                  <w:tcW w:w="1521" w:type="pct"/>
                  <w:vAlign w:val="center"/>
                </w:tcPr>
                <w:p>
                  <w:pPr>
                    <w:pStyle w:val="174"/>
                    <w:spacing w:line="240" w:lineRule="auto"/>
                    <w:jc w:val="center"/>
                    <w:rPr>
                      <w:rFonts w:ascii="Times New Roman" w:hAnsi="Times New Roman" w:eastAsia="楷体_GB2312" w:cs="Times New Roman"/>
                      <w:b/>
                      <w:bCs/>
                      <w:color w:val="000000" w:themeColor="text1"/>
                      <w:spacing w:val="-10"/>
                      <w:kern w:val="0"/>
                      <w:sz w:val="21"/>
                      <w:szCs w:val="21"/>
                      <w:lang w:val="en-US" w:eastAsia="zh-CN" w:bidi="ar-SA"/>
                      <w14:textFill>
                        <w14:solidFill>
                          <w14:schemeClr w14:val="tx1"/>
                        </w14:solidFill>
                      </w14:textFill>
                    </w:rPr>
                  </w:pPr>
                  <w:r>
                    <w:rPr>
                      <w:rFonts w:hint="eastAsia" w:eastAsia="宋体"/>
                      <w:color w:val="000000" w:themeColor="text1"/>
                      <w:szCs w:val="21"/>
                      <w14:textFill>
                        <w14:solidFill>
                          <w14:schemeClr w14:val="tx1"/>
                        </w14:solidFill>
                      </w14:textFill>
                    </w:rPr>
                    <w:t>无毒</w:t>
                  </w:r>
                </w:p>
              </w:tc>
            </w:tr>
          </w:tbl>
          <w:p>
            <w:pPr>
              <w:spacing w:line="360" w:lineRule="auto"/>
              <w:ind w:firstLine="480" w:firstLineChars="200"/>
              <w:rPr>
                <w:b/>
                <w:color w:val="000000" w:themeColor="text1"/>
                <w:sz w:val="24"/>
                <w14:textFill>
                  <w14:solidFill>
                    <w14:schemeClr w14:val="tx1"/>
                  </w14:solidFill>
                </w14:textFill>
              </w:rPr>
            </w:pPr>
            <w:r>
              <w:rPr>
                <w:b/>
                <w:color w:val="000000" w:themeColor="text1"/>
                <w:sz w:val="24"/>
                <w14:textFill>
                  <w14:solidFill>
                    <w14:schemeClr w14:val="tx1"/>
                  </w14:solidFill>
                </w14:textFill>
              </w:rPr>
              <w:t>2、主要设备</w:t>
            </w:r>
          </w:p>
          <w:p>
            <w:pPr>
              <w:spacing w:line="360" w:lineRule="auto"/>
              <w:ind w:firstLine="480" w:firstLineChars="200"/>
              <w:rPr>
                <w:color w:val="000000" w:themeColor="text1"/>
                <w:sz w:val="24"/>
                <w14:textFill>
                  <w14:solidFill>
                    <w14:schemeClr w14:val="tx1"/>
                  </w14:solidFill>
                </w14:textFill>
              </w:rPr>
            </w:pPr>
            <w:r>
              <w:rPr>
                <w:color w:val="000000" w:themeColor="text1"/>
                <w:sz w:val="24"/>
                <w14:textFill>
                  <w14:solidFill>
                    <w14:schemeClr w14:val="tx1"/>
                  </w14:solidFill>
                </w14:textFill>
              </w:rPr>
              <w:t>建设项目主要设备见下</w:t>
            </w:r>
            <w:r>
              <w:rPr>
                <w:color w:val="000000" w:themeColor="text1"/>
                <w:sz w:val="24"/>
                <w14:textFill>
                  <w14:solidFill>
                    <w14:schemeClr w14:val="tx1"/>
                  </w14:solidFill>
                </w14:textFill>
              </w:rPr>
              <w:fldChar w:fldCharType="begin"/>
            </w:r>
            <w:r>
              <w:rPr>
                <w:color w:val="000000" w:themeColor="text1"/>
                <w:sz w:val="24"/>
                <w14:textFill>
                  <w14:solidFill>
                    <w14:schemeClr w14:val="tx1"/>
                  </w14:solidFill>
                </w14:textFill>
              </w:rPr>
              <w:instrText xml:space="preserve"> REF _Ref435019854 \h  \* MERGEFORMAT </w:instrText>
            </w:r>
            <w:r>
              <w:rPr>
                <w:color w:val="000000" w:themeColor="text1"/>
                <w:sz w:val="24"/>
                <w14:textFill>
                  <w14:solidFill>
                    <w14:schemeClr w14:val="tx1"/>
                  </w14:solidFill>
                </w14:textFill>
              </w:rPr>
              <w:fldChar w:fldCharType="separate"/>
            </w:r>
            <w:r>
              <w:rPr>
                <w:color w:val="000000" w:themeColor="text1"/>
                <w:sz w:val="24"/>
                <w14:textFill>
                  <w14:solidFill>
                    <w14:schemeClr w14:val="tx1"/>
                  </w14:solidFill>
                </w14:textFill>
              </w:rPr>
              <w:t>表</w:t>
            </w:r>
            <w:r>
              <w:rPr>
                <w:color w:val="000000" w:themeColor="text1"/>
                <w:sz w:val="24"/>
                <w14:textFill>
                  <w14:solidFill>
                    <w14:schemeClr w14:val="tx1"/>
                  </w14:solidFill>
                </w14:textFill>
              </w:rPr>
              <w:fldChar w:fldCharType="end"/>
            </w:r>
            <w:r>
              <w:rPr>
                <w:color w:val="000000" w:themeColor="text1"/>
                <w:sz w:val="24"/>
                <w14:textFill>
                  <w14:solidFill>
                    <w14:schemeClr w14:val="tx1"/>
                  </w14:solidFill>
                </w14:textFill>
              </w:rPr>
              <w:t>。</w:t>
            </w:r>
          </w:p>
          <w:p>
            <w:pPr>
              <w:jc w:val="center"/>
              <w:rPr>
                <w:color w:val="000000" w:themeColor="text1"/>
                <w:szCs w:val="21"/>
                <w14:textFill>
                  <w14:solidFill>
                    <w14:schemeClr w14:val="tx1"/>
                  </w14:solidFill>
                </w14:textFill>
              </w:rPr>
            </w:pPr>
            <w:bookmarkStart w:id="3" w:name="_Ref435019854"/>
            <w:r>
              <w:rPr>
                <w:b/>
                <w:color w:val="000000" w:themeColor="text1"/>
                <w:szCs w:val="21"/>
                <w14:textFill>
                  <w14:solidFill>
                    <w14:schemeClr w14:val="tx1"/>
                  </w14:solidFill>
                </w14:textFill>
              </w:rPr>
              <w:t>表</w:t>
            </w:r>
            <w:bookmarkEnd w:id="3"/>
            <w:r>
              <w:rPr>
                <w:b/>
                <w:color w:val="000000" w:themeColor="text1"/>
                <w:szCs w:val="21"/>
                <w14:textFill>
                  <w14:solidFill>
                    <w14:schemeClr w14:val="tx1"/>
                  </w14:solidFill>
                </w14:textFill>
              </w:rPr>
              <w:t>1-</w:t>
            </w:r>
            <w:r>
              <w:rPr>
                <w:rFonts w:hint="eastAsia"/>
                <w:b/>
                <w:color w:val="000000" w:themeColor="text1"/>
                <w:szCs w:val="21"/>
                <w14:textFill>
                  <w14:solidFill>
                    <w14:schemeClr w14:val="tx1"/>
                  </w14:solidFill>
                </w14:textFill>
              </w:rPr>
              <w:t>3</w:t>
            </w:r>
            <w:r>
              <w:rPr>
                <w:b/>
                <w:color w:val="000000" w:themeColor="text1"/>
                <w:szCs w:val="21"/>
                <w14:textFill>
                  <w14:solidFill>
                    <w14:schemeClr w14:val="tx1"/>
                  </w14:solidFill>
                </w14:textFill>
              </w:rPr>
              <w:t xml:space="preserve">  项目主要生产设备表</w:t>
            </w:r>
          </w:p>
          <w:tbl>
            <w:tblPr>
              <w:tblStyle w:val="56"/>
              <w:tblW w:w="4998" w:type="pct"/>
              <w:tblInd w:w="0" w:type="dxa"/>
              <w:tblBorders>
                <w:top w:val="single" w:color="auto" w:sz="12" w:space="0"/>
                <w:left w:val="none" w:color="auto" w:sz="0" w:space="0"/>
                <w:bottom w:val="single" w:color="auto" w:sz="12"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
            <w:tblGrid>
              <w:gridCol w:w="698"/>
              <w:gridCol w:w="1864"/>
              <w:gridCol w:w="1744"/>
              <w:gridCol w:w="2007"/>
              <w:gridCol w:w="2010"/>
            </w:tblGrid>
            <w:tr>
              <w:tblPrEx>
                <w:tblBorders>
                  <w:top w:val="single" w:color="auto" w:sz="12" w:space="0"/>
                  <w:left w:val="none" w:color="auto" w:sz="0" w:space="0"/>
                  <w:bottom w:val="single" w:color="auto" w:sz="12"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270" w:hRule="atLeast"/>
              </w:trPr>
              <w:tc>
                <w:tcPr>
                  <w:tcW w:w="419" w:type="pct"/>
                  <w:vMerge w:val="restart"/>
                  <w:tcBorders>
                    <w:tl2br w:val="nil"/>
                    <w:tr2bl w:val="nil"/>
                  </w:tcBorders>
                  <w:shd w:val="clear" w:color="auto" w:fill="auto"/>
                  <w:noWrap/>
                  <w:vAlign w:val="center"/>
                </w:tcPr>
                <w:p>
                  <w:pPr>
                    <w:pStyle w:val="174"/>
                    <w:spacing w:line="240" w:lineRule="auto"/>
                    <w:jc w:val="center"/>
                    <w:rPr>
                      <w:rFonts w:eastAsia="宋体"/>
                      <w:b/>
                      <w:bCs/>
                      <w:color w:val="000000" w:themeColor="text1"/>
                      <w:szCs w:val="21"/>
                      <w14:textFill>
                        <w14:solidFill>
                          <w14:schemeClr w14:val="tx1"/>
                        </w14:solidFill>
                      </w14:textFill>
                    </w:rPr>
                  </w:pPr>
                  <w:r>
                    <w:rPr>
                      <w:rFonts w:eastAsia="宋体"/>
                      <w:b/>
                      <w:bCs/>
                      <w:color w:val="000000" w:themeColor="text1"/>
                      <w:szCs w:val="21"/>
                      <w14:textFill>
                        <w14:solidFill>
                          <w14:schemeClr w14:val="tx1"/>
                        </w14:solidFill>
                      </w14:textFill>
                    </w:rPr>
                    <w:t>序号</w:t>
                  </w:r>
                </w:p>
              </w:tc>
              <w:tc>
                <w:tcPr>
                  <w:tcW w:w="1119" w:type="pct"/>
                  <w:vMerge w:val="restart"/>
                  <w:tcBorders>
                    <w:tl2br w:val="nil"/>
                    <w:tr2bl w:val="nil"/>
                  </w:tcBorders>
                  <w:shd w:val="clear" w:color="auto" w:fill="auto"/>
                  <w:vAlign w:val="center"/>
                </w:tcPr>
                <w:p>
                  <w:pPr>
                    <w:pStyle w:val="174"/>
                    <w:spacing w:line="240" w:lineRule="auto"/>
                    <w:jc w:val="center"/>
                    <w:rPr>
                      <w:rFonts w:eastAsia="宋体"/>
                      <w:b/>
                      <w:bCs/>
                      <w:color w:val="000000" w:themeColor="text1"/>
                      <w:szCs w:val="21"/>
                      <w14:textFill>
                        <w14:solidFill>
                          <w14:schemeClr w14:val="tx1"/>
                        </w14:solidFill>
                      </w14:textFill>
                    </w:rPr>
                  </w:pPr>
                  <w:r>
                    <w:rPr>
                      <w:rFonts w:eastAsia="宋体"/>
                      <w:b/>
                      <w:bCs/>
                      <w:color w:val="000000" w:themeColor="text1"/>
                      <w:szCs w:val="21"/>
                      <w14:textFill>
                        <w14:solidFill>
                          <w14:schemeClr w14:val="tx1"/>
                        </w14:solidFill>
                      </w14:textFill>
                    </w:rPr>
                    <w:t>设备名称</w:t>
                  </w:r>
                </w:p>
              </w:tc>
              <w:tc>
                <w:tcPr>
                  <w:tcW w:w="1047" w:type="pct"/>
                  <w:vMerge w:val="restart"/>
                  <w:tcBorders>
                    <w:tl2br w:val="nil"/>
                    <w:tr2bl w:val="nil"/>
                  </w:tcBorders>
                  <w:shd w:val="clear" w:color="auto" w:fill="auto"/>
                  <w:vAlign w:val="center"/>
                </w:tcPr>
                <w:p>
                  <w:pPr>
                    <w:pStyle w:val="174"/>
                    <w:spacing w:line="240" w:lineRule="auto"/>
                    <w:jc w:val="center"/>
                    <w:rPr>
                      <w:rFonts w:eastAsia="宋体"/>
                      <w:b/>
                      <w:bCs/>
                      <w:color w:val="000000" w:themeColor="text1"/>
                      <w:szCs w:val="21"/>
                      <w14:textFill>
                        <w14:solidFill>
                          <w14:schemeClr w14:val="tx1"/>
                        </w14:solidFill>
                      </w14:textFill>
                    </w:rPr>
                  </w:pPr>
                  <w:r>
                    <w:rPr>
                      <w:rFonts w:eastAsia="宋体"/>
                      <w:b/>
                      <w:bCs/>
                      <w:color w:val="000000" w:themeColor="text1"/>
                      <w:szCs w:val="21"/>
                      <w14:textFill>
                        <w14:solidFill>
                          <w14:schemeClr w14:val="tx1"/>
                        </w14:solidFill>
                      </w14:textFill>
                    </w:rPr>
                    <w:t>规格型号</w:t>
                  </w:r>
                </w:p>
              </w:tc>
              <w:tc>
                <w:tcPr>
                  <w:tcW w:w="1205" w:type="pct"/>
                  <w:tcBorders>
                    <w:tl2br w:val="nil"/>
                    <w:tr2bl w:val="nil"/>
                  </w:tcBorders>
                  <w:shd w:val="clear" w:color="auto" w:fill="auto"/>
                  <w:noWrap/>
                  <w:vAlign w:val="center"/>
                </w:tcPr>
                <w:p>
                  <w:pPr>
                    <w:pStyle w:val="174"/>
                    <w:spacing w:line="240" w:lineRule="auto"/>
                    <w:jc w:val="center"/>
                    <w:rPr>
                      <w:rFonts w:eastAsia="宋体"/>
                      <w:b/>
                      <w:bCs/>
                      <w:color w:val="000000" w:themeColor="text1"/>
                      <w:szCs w:val="21"/>
                      <w14:textFill>
                        <w14:solidFill>
                          <w14:schemeClr w14:val="tx1"/>
                        </w14:solidFill>
                      </w14:textFill>
                    </w:rPr>
                  </w:pPr>
                  <w:r>
                    <w:rPr>
                      <w:rFonts w:eastAsia="宋体"/>
                      <w:b/>
                      <w:bCs/>
                      <w:color w:val="000000" w:themeColor="text1"/>
                      <w:szCs w:val="21"/>
                      <w14:textFill>
                        <w14:solidFill>
                          <w14:schemeClr w14:val="tx1"/>
                        </w14:solidFill>
                      </w14:textFill>
                    </w:rPr>
                    <w:t>数量</w:t>
                  </w:r>
                </w:p>
              </w:tc>
              <w:tc>
                <w:tcPr>
                  <w:tcW w:w="1207" w:type="pct"/>
                  <w:vMerge w:val="restart"/>
                  <w:tcBorders>
                    <w:tl2br w:val="nil"/>
                    <w:tr2bl w:val="nil"/>
                  </w:tcBorders>
                  <w:shd w:val="clear" w:color="auto" w:fill="auto"/>
                  <w:noWrap/>
                  <w:vAlign w:val="center"/>
                </w:tcPr>
                <w:p>
                  <w:pPr>
                    <w:pStyle w:val="174"/>
                    <w:spacing w:line="240" w:lineRule="auto"/>
                    <w:jc w:val="center"/>
                    <w:rPr>
                      <w:rFonts w:hint="eastAsia" w:eastAsia="宋体"/>
                      <w:b/>
                      <w:bCs/>
                      <w:color w:val="000000" w:themeColor="text1"/>
                      <w:szCs w:val="21"/>
                      <w:lang w:eastAsia="zh-CN"/>
                      <w14:textFill>
                        <w14:solidFill>
                          <w14:schemeClr w14:val="tx1"/>
                        </w14:solidFill>
                      </w14:textFill>
                    </w:rPr>
                  </w:pPr>
                  <w:r>
                    <w:rPr>
                      <w:rFonts w:hint="eastAsia" w:eastAsia="宋体"/>
                      <w:b/>
                      <w:bCs/>
                      <w:color w:val="000000" w:themeColor="text1"/>
                      <w:szCs w:val="21"/>
                      <w:lang w:eastAsia="zh-CN"/>
                      <w14:textFill>
                        <w14:solidFill>
                          <w14:schemeClr w14:val="tx1"/>
                        </w14:solidFill>
                      </w14:textFill>
                    </w:rPr>
                    <w:t>备注</w:t>
                  </w:r>
                </w:p>
              </w:tc>
            </w:tr>
            <w:tr>
              <w:tblPrEx>
                <w:tblBorders>
                  <w:top w:val="single" w:color="auto" w:sz="12" w:space="0"/>
                  <w:left w:val="none" w:color="auto" w:sz="0" w:space="0"/>
                  <w:bottom w:val="single" w:color="auto" w:sz="12"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310" w:hRule="atLeast"/>
              </w:trPr>
              <w:tc>
                <w:tcPr>
                  <w:tcW w:w="419" w:type="pct"/>
                  <w:vMerge w:val="continue"/>
                  <w:tcBorders>
                    <w:tl2br w:val="nil"/>
                    <w:tr2bl w:val="nil"/>
                  </w:tcBorders>
                  <w:vAlign w:val="center"/>
                </w:tcPr>
                <w:p>
                  <w:pPr>
                    <w:pStyle w:val="174"/>
                    <w:spacing w:line="240" w:lineRule="auto"/>
                    <w:jc w:val="center"/>
                    <w:rPr>
                      <w:rFonts w:eastAsia="宋体"/>
                      <w:b/>
                      <w:bCs/>
                      <w:color w:val="000000" w:themeColor="text1"/>
                      <w:szCs w:val="21"/>
                      <w14:textFill>
                        <w14:solidFill>
                          <w14:schemeClr w14:val="tx1"/>
                        </w14:solidFill>
                      </w14:textFill>
                    </w:rPr>
                  </w:pPr>
                </w:p>
              </w:tc>
              <w:tc>
                <w:tcPr>
                  <w:tcW w:w="1119" w:type="pct"/>
                  <w:vMerge w:val="continue"/>
                  <w:tcBorders>
                    <w:tl2br w:val="nil"/>
                    <w:tr2bl w:val="nil"/>
                  </w:tcBorders>
                  <w:vAlign w:val="center"/>
                </w:tcPr>
                <w:p>
                  <w:pPr>
                    <w:pStyle w:val="174"/>
                    <w:spacing w:line="240" w:lineRule="auto"/>
                    <w:jc w:val="center"/>
                    <w:rPr>
                      <w:rFonts w:eastAsia="宋体"/>
                      <w:b/>
                      <w:bCs/>
                      <w:color w:val="000000" w:themeColor="text1"/>
                      <w:szCs w:val="21"/>
                      <w14:textFill>
                        <w14:solidFill>
                          <w14:schemeClr w14:val="tx1"/>
                        </w14:solidFill>
                      </w14:textFill>
                    </w:rPr>
                  </w:pPr>
                </w:p>
              </w:tc>
              <w:tc>
                <w:tcPr>
                  <w:tcW w:w="1047" w:type="pct"/>
                  <w:vMerge w:val="continue"/>
                  <w:tcBorders>
                    <w:tl2br w:val="nil"/>
                    <w:tr2bl w:val="nil"/>
                  </w:tcBorders>
                  <w:vAlign w:val="center"/>
                </w:tcPr>
                <w:p>
                  <w:pPr>
                    <w:pStyle w:val="174"/>
                    <w:spacing w:line="240" w:lineRule="auto"/>
                    <w:jc w:val="center"/>
                    <w:rPr>
                      <w:rFonts w:eastAsia="宋体"/>
                      <w:b/>
                      <w:bCs/>
                      <w:color w:val="000000" w:themeColor="text1"/>
                      <w:szCs w:val="21"/>
                      <w14:textFill>
                        <w14:solidFill>
                          <w14:schemeClr w14:val="tx1"/>
                        </w14:solidFill>
                      </w14:textFill>
                    </w:rPr>
                  </w:pPr>
                </w:p>
              </w:tc>
              <w:tc>
                <w:tcPr>
                  <w:tcW w:w="1205" w:type="pct"/>
                  <w:tcBorders>
                    <w:tl2br w:val="nil"/>
                    <w:tr2bl w:val="nil"/>
                  </w:tcBorders>
                  <w:shd w:val="clear" w:color="auto" w:fill="auto"/>
                  <w:vAlign w:val="center"/>
                </w:tcPr>
                <w:p>
                  <w:pPr>
                    <w:pStyle w:val="174"/>
                    <w:spacing w:line="240" w:lineRule="auto"/>
                    <w:jc w:val="center"/>
                    <w:rPr>
                      <w:rFonts w:eastAsia="宋体"/>
                      <w:b/>
                      <w:bCs/>
                      <w:color w:val="000000" w:themeColor="text1"/>
                      <w:szCs w:val="21"/>
                      <w14:textFill>
                        <w14:solidFill>
                          <w14:schemeClr w14:val="tx1"/>
                        </w14:solidFill>
                      </w14:textFill>
                    </w:rPr>
                  </w:pPr>
                  <w:r>
                    <w:rPr>
                      <w:rFonts w:eastAsia="宋体"/>
                      <w:b/>
                      <w:bCs/>
                      <w:color w:val="000000" w:themeColor="text1"/>
                      <w:szCs w:val="21"/>
                      <w14:textFill>
                        <w14:solidFill>
                          <w14:schemeClr w14:val="tx1"/>
                        </w14:solidFill>
                      </w14:textFill>
                    </w:rPr>
                    <w:t>（台</w:t>
                  </w:r>
                  <w:r>
                    <w:rPr>
                      <w:rFonts w:hint="eastAsia" w:eastAsia="宋体"/>
                      <w:b/>
                      <w:bCs/>
                      <w:color w:val="000000" w:themeColor="text1"/>
                      <w:szCs w:val="21"/>
                      <w14:textFill>
                        <w14:solidFill>
                          <w14:schemeClr w14:val="tx1"/>
                        </w14:solidFill>
                      </w14:textFill>
                    </w:rPr>
                    <w:t>/</w:t>
                  </w:r>
                  <w:r>
                    <w:rPr>
                      <w:rFonts w:eastAsia="宋体"/>
                      <w:b/>
                      <w:bCs/>
                      <w:color w:val="000000" w:themeColor="text1"/>
                      <w:szCs w:val="21"/>
                      <w14:textFill>
                        <w14:solidFill>
                          <w14:schemeClr w14:val="tx1"/>
                        </w14:solidFill>
                      </w14:textFill>
                    </w:rPr>
                    <w:t>套）</w:t>
                  </w:r>
                </w:p>
              </w:tc>
              <w:tc>
                <w:tcPr>
                  <w:tcW w:w="1207" w:type="pct"/>
                  <w:vMerge w:val="continue"/>
                  <w:tcBorders>
                    <w:tl2br w:val="nil"/>
                    <w:tr2bl w:val="nil"/>
                  </w:tcBorders>
                  <w:shd w:val="clear" w:color="auto" w:fill="auto"/>
                  <w:vAlign w:val="center"/>
                </w:tcPr>
                <w:p>
                  <w:pPr>
                    <w:pStyle w:val="174"/>
                    <w:spacing w:line="240" w:lineRule="auto"/>
                    <w:jc w:val="center"/>
                    <w:rPr>
                      <w:rFonts w:eastAsia="宋体"/>
                      <w:b/>
                      <w:bCs/>
                      <w:color w:val="000000" w:themeColor="text1"/>
                      <w:szCs w:val="21"/>
                      <w14:textFill>
                        <w14:solidFill>
                          <w14:schemeClr w14:val="tx1"/>
                        </w14:solidFill>
                      </w14:textFill>
                    </w:rPr>
                  </w:pPr>
                </w:p>
              </w:tc>
            </w:tr>
            <w:tr>
              <w:tblPrEx>
                <w:tblBorders>
                  <w:top w:val="single" w:color="auto" w:sz="12" w:space="0"/>
                  <w:left w:val="none" w:color="auto" w:sz="0" w:space="0"/>
                  <w:bottom w:val="single" w:color="auto" w:sz="12"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90" w:hRule="atLeast"/>
              </w:trPr>
              <w:tc>
                <w:tcPr>
                  <w:tcW w:w="419" w:type="pct"/>
                  <w:tcBorders>
                    <w:tl2br w:val="nil"/>
                    <w:tr2bl w:val="nil"/>
                  </w:tcBorders>
                  <w:shd w:val="clear" w:color="auto" w:fill="auto"/>
                  <w:noWrap/>
                  <w:vAlign w:val="center"/>
                </w:tcPr>
                <w:p>
                  <w:pPr>
                    <w:pStyle w:val="174"/>
                    <w:spacing w:line="240" w:lineRule="auto"/>
                    <w:jc w:val="center"/>
                    <w:rPr>
                      <w:rFonts w:eastAsia="宋体"/>
                      <w:color w:val="000000" w:themeColor="text1"/>
                      <w:szCs w:val="21"/>
                      <w14:textFill>
                        <w14:solidFill>
                          <w14:schemeClr w14:val="tx1"/>
                        </w14:solidFill>
                      </w14:textFill>
                    </w:rPr>
                  </w:pPr>
                  <w:r>
                    <w:rPr>
                      <w:rFonts w:eastAsia="宋体"/>
                      <w:color w:val="000000" w:themeColor="text1"/>
                      <w:szCs w:val="21"/>
                      <w14:textFill>
                        <w14:solidFill>
                          <w14:schemeClr w14:val="tx1"/>
                        </w14:solidFill>
                      </w14:textFill>
                    </w:rPr>
                    <w:t>1</w:t>
                  </w:r>
                </w:p>
              </w:tc>
              <w:tc>
                <w:tcPr>
                  <w:tcW w:w="1119" w:type="pct"/>
                  <w:tcBorders>
                    <w:tl2br w:val="nil"/>
                    <w:tr2bl w:val="nil"/>
                  </w:tcBorders>
                  <w:shd w:val="clear" w:color="auto" w:fill="auto"/>
                  <w:vAlign w:val="center"/>
                </w:tcPr>
                <w:p>
                  <w:pPr>
                    <w:widowControl/>
                    <w:jc w:val="center"/>
                    <w:textAlignment w:val="center"/>
                    <w:rPr>
                      <w:rFonts w:hint="eastAsia" w:eastAsia="宋体"/>
                      <w:color w:val="000000" w:themeColor="text1"/>
                      <w:szCs w:val="21"/>
                      <w:lang w:eastAsia="zh-CN"/>
                      <w14:textFill>
                        <w14:solidFill>
                          <w14:schemeClr w14:val="tx1"/>
                        </w14:solidFill>
                      </w14:textFill>
                    </w:rPr>
                  </w:pPr>
                  <w:r>
                    <w:rPr>
                      <w:rFonts w:hint="eastAsia"/>
                      <w:color w:val="000000" w:themeColor="text1"/>
                      <w:szCs w:val="21"/>
                      <w:lang w:eastAsia="zh-CN"/>
                      <w14:textFill>
                        <w14:solidFill>
                          <w14:schemeClr w14:val="tx1"/>
                        </w14:solidFill>
                      </w14:textFill>
                    </w:rPr>
                    <w:t>不锈钢锉磨床</w:t>
                  </w:r>
                </w:p>
              </w:tc>
              <w:tc>
                <w:tcPr>
                  <w:tcW w:w="1047" w:type="pct"/>
                  <w:tcBorders>
                    <w:tl2br w:val="nil"/>
                    <w:tr2bl w:val="nil"/>
                  </w:tcBorders>
                  <w:shd w:val="clear" w:color="auto" w:fill="auto"/>
                  <w:vAlign w:val="center"/>
                </w:tcPr>
                <w:p>
                  <w:pPr>
                    <w:widowControl/>
                    <w:jc w:val="center"/>
                    <w:textAlignment w:val="center"/>
                    <w:rPr>
                      <w:color w:val="auto"/>
                      <w:szCs w:val="21"/>
                    </w:rPr>
                  </w:pPr>
                  <w:r>
                    <w:rPr>
                      <w:rFonts w:hint="eastAsia"/>
                      <w:color w:val="auto"/>
                      <w:szCs w:val="21"/>
                    </w:rPr>
                    <w:t>非标</w:t>
                  </w:r>
                </w:p>
              </w:tc>
              <w:tc>
                <w:tcPr>
                  <w:tcW w:w="1205" w:type="pct"/>
                  <w:tcBorders>
                    <w:tl2br w:val="nil"/>
                    <w:tr2bl w:val="nil"/>
                  </w:tcBorders>
                  <w:shd w:val="clear" w:color="auto" w:fill="auto"/>
                  <w:vAlign w:val="center"/>
                </w:tcPr>
                <w:p>
                  <w:pPr>
                    <w:widowControl/>
                    <w:jc w:val="center"/>
                    <w:textAlignment w:val="center"/>
                    <w:rPr>
                      <w:rFonts w:hint="default" w:eastAsia="宋体"/>
                      <w:color w:val="000000" w:themeColor="text1"/>
                      <w:szCs w:val="21"/>
                      <w:lang w:val="en-US" w:eastAsia="zh-CN"/>
                      <w14:textFill>
                        <w14:solidFill>
                          <w14:schemeClr w14:val="tx1"/>
                        </w14:solidFill>
                      </w14:textFill>
                    </w:rPr>
                  </w:pPr>
                  <w:r>
                    <w:rPr>
                      <w:rFonts w:hint="eastAsia"/>
                      <w:szCs w:val="21"/>
                    </w:rPr>
                    <w:t>50</w:t>
                  </w:r>
                </w:p>
              </w:tc>
              <w:tc>
                <w:tcPr>
                  <w:tcW w:w="1207" w:type="pct"/>
                  <w:vMerge w:val="restart"/>
                  <w:tcBorders>
                    <w:tl2br w:val="nil"/>
                    <w:tr2bl w:val="nil"/>
                  </w:tcBorders>
                  <w:shd w:val="clear" w:color="auto" w:fill="auto"/>
                  <w:vAlign w:val="center"/>
                </w:tcPr>
                <w:p>
                  <w:pPr>
                    <w:widowControl/>
                    <w:jc w:val="center"/>
                    <w:textAlignment w:val="center"/>
                    <w:rPr>
                      <w:rFonts w:hint="eastAsia" w:eastAsia="宋体"/>
                      <w:color w:val="000000" w:themeColor="text1"/>
                      <w:szCs w:val="21"/>
                      <w:lang w:eastAsia="zh-CN"/>
                      <w14:textFill>
                        <w14:solidFill>
                          <w14:schemeClr w14:val="tx1"/>
                        </w14:solidFill>
                      </w14:textFill>
                    </w:rPr>
                  </w:pPr>
                  <w:r>
                    <w:rPr>
                      <w:rFonts w:hint="eastAsia"/>
                      <w:color w:val="000000" w:themeColor="text1"/>
                      <w:szCs w:val="21"/>
                      <w:lang w:eastAsia="zh-CN"/>
                      <w14:textFill>
                        <w14:solidFill>
                          <w14:schemeClr w14:val="tx1"/>
                        </w14:solidFill>
                      </w14:textFill>
                    </w:rPr>
                    <w:t>成型工序</w:t>
                  </w:r>
                </w:p>
              </w:tc>
            </w:tr>
            <w:tr>
              <w:tblPrEx>
                <w:tblBorders>
                  <w:top w:val="single" w:color="auto" w:sz="12" w:space="0"/>
                  <w:left w:val="none" w:color="auto" w:sz="0" w:space="0"/>
                  <w:bottom w:val="single" w:color="auto" w:sz="12"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90" w:hRule="atLeast"/>
              </w:trPr>
              <w:tc>
                <w:tcPr>
                  <w:tcW w:w="419" w:type="pct"/>
                  <w:tcBorders>
                    <w:tl2br w:val="nil"/>
                    <w:tr2bl w:val="nil"/>
                  </w:tcBorders>
                  <w:shd w:val="clear" w:color="auto" w:fill="auto"/>
                  <w:noWrap/>
                  <w:vAlign w:val="center"/>
                </w:tcPr>
                <w:p>
                  <w:pPr>
                    <w:pStyle w:val="174"/>
                    <w:spacing w:line="240" w:lineRule="auto"/>
                    <w:jc w:val="center"/>
                    <w:rPr>
                      <w:rFonts w:eastAsia="宋体"/>
                      <w:color w:val="000000" w:themeColor="text1"/>
                      <w:szCs w:val="21"/>
                      <w14:textFill>
                        <w14:solidFill>
                          <w14:schemeClr w14:val="tx1"/>
                        </w14:solidFill>
                      </w14:textFill>
                    </w:rPr>
                  </w:pPr>
                  <w:r>
                    <w:rPr>
                      <w:rFonts w:eastAsia="宋体"/>
                      <w:color w:val="000000" w:themeColor="text1"/>
                      <w:szCs w:val="21"/>
                      <w14:textFill>
                        <w14:solidFill>
                          <w14:schemeClr w14:val="tx1"/>
                        </w14:solidFill>
                      </w14:textFill>
                    </w:rPr>
                    <w:t>2</w:t>
                  </w:r>
                </w:p>
              </w:tc>
              <w:tc>
                <w:tcPr>
                  <w:tcW w:w="1119" w:type="pct"/>
                  <w:tcBorders>
                    <w:tl2br w:val="nil"/>
                    <w:tr2bl w:val="nil"/>
                  </w:tcBorders>
                  <w:shd w:val="clear" w:color="auto" w:fill="auto"/>
                  <w:vAlign w:val="center"/>
                </w:tcPr>
                <w:p>
                  <w:pPr>
                    <w:widowControl/>
                    <w:jc w:val="center"/>
                    <w:textAlignment w:val="center"/>
                    <w:rPr>
                      <w:rFonts w:hint="eastAsia" w:eastAsia="宋体"/>
                      <w:color w:val="000000" w:themeColor="text1"/>
                      <w:szCs w:val="21"/>
                      <w:lang w:eastAsia="zh-CN"/>
                      <w14:textFill>
                        <w14:solidFill>
                          <w14:schemeClr w14:val="tx1"/>
                        </w14:solidFill>
                      </w14:textFill>
                    </w:rPr>
                  </w:pPr>
                  <w:r>
                    <w:rPr>
                      <w:rFonts w:hint="eastAsia"/>
                      <w:color w:val="000000" w:themeColor="text1"/>
                      <w:szCs w:val="21"/>
                      <w:lang w:eastAsia="zh-CN"/>
                      <w14:textFill>
                        <w14:solidFill>
                          <w14:schemeClr w14:val="tx1"/>
                        </w14:solidFill>
                      </w14:textFill>
                    </w:rPr>
                    <w:t>镍钛锉车床</w:t>
                  </w:r>
                </w:p>
              </w:tc>
              <w:tc>
                <w:tcPr>
                  <w:tcW w:w="1047" w:type="pct"/>
                  <w:tcBorders>
                    <w:tl2br w:val="nil"/>
                    <w:tr2bl w:val="nil"/>
                  </w:tcBorders>
                  <w:shd w:val="clear" w:color="auto" w:fill="auto"/>
                  <w:vAlign w:val="center"/>
                </w:tcPr>
                <w:p>
                  <w:pPr>
                    <w:widowControl/>
                    <w:jc w:val="center"/>
                    <w:textAlignment w:val="center"/>
                    <w:rPr>
                      <w:color w:val="auto"/>
                      <w:szCs w:val="21"/>
                    </w:rPr>
                  </w:pPr>
                  <w:r>
                    <w:rPr>
                      <w:color w:val="auto"/>
                      <w:szCs w:val="21"/>
                    </w:rPr>
                    <w:t>E30</w:t>
                  </w:r>
                </w:p>
              </w:tc>
              <w:tc>
                <w:tcPr>
                  <w:tcW w:w="1205" w:type="pct"/>
                  <w:tcBorders>
                    <w:tl2br w:val="nil"/>
                    <w:tr2bl w:val="nil"/>
                  </w:tcBorders>
                  <w:shd w:val="clear" w:color="auto" w:fill="auto"/>
                  <w:vAlign w:val="center"/>
                </w:tcPr>
                <w:p>
                  <w:pPr>
                    <w:widowControl/>
                    <w:jc w:val="center"/>
                    <w:textAlignment w:val="center"/>
                    <w:rPr>
                      <w:rFonts w:hint="default" w:eastAsia="宋体"/>
                      <w:color w:val="000000" w:themeColor="text1"/>
                      <w:kern w:val="0"/>
                      <w:szCs w:val="21"/>
                      <w:lang w:val="en-US" w:eastAsia="zh-CN"/>
                      <w14:textFill>
                        <w14:solidFill>
                          <w14:schemeClr w14:val="tx1"/>
                        </w14:solidFill>
                      </w14:textFill>
                    </w:rPr>
                  </w:pPr>
                  <w:r>
                    <w:rPr>
                      <w:rFonts w:hint="eastAsia"/>
                      <w:kern w:val="0"/>
                      <w:szCs w:val="21"/>
                    </w:rPr>
                    <w:t>150</w:t>
                  </w:r>
                </w:p>
              </w:tc>
              <w:tc>
                <w:tcPr>
                  <w:tcW w:w="1207" w:type="pct"/>
                  <w:vMerge w:val="continue"/>
                  <w:tcBorders>
                    <w:tl2br w:val="nil"/>
                    <w:tr2bl w:val="nil"/>
                  </w:tcBorders>
                  <w:shd w:val="clear" w:color="auto" w:fill="auto"/>
                  <w:vAlign w:val="center"/>
                </w:tcPr>
                <w:p>
                  <w:pPr>
                    <w:widowControl/>
                    <w:jc w:val="center"/>
                    <w:textAlignment w:val="center"/>
                    <w:rPr>
                      <w:color w:val="000000" w:themeColor="text1"/>
                      <w:kern w:val="0"/>
                      <w:szCs w:val="21"/>
                      <w14:textFill>
                        <w14:solidFill>
                          <w14:schemeClr w14:val="tx1"/>
                        </w14:solidFill>
                      </w14:textFill>
                    </w:rPr>
                  </w:pPr>
                </w:p>
              </w:tc>
            </w:tr>
            <w:tr>
              <w:tblPrEx>
                <w:tblBorders>
                  <w:top w:val="single" w:color="auto" w:sz="12" w:space="0"/>
                  <w:left w:val="none" w:color="auto" w:sz="0" w:space="0"/>
                  <w:bottom w:val="single" w:color="auto" w:sz="12"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90" w:hRule="atLeast"/>
              </w:trPr>
              <w:tc>
                <w:tcPr>
                  <w:tcW w:w="419" w:type="pct"/>
                  <w:tcBorders>
                    <w:tl2br w:val="nil"/>
                    <w:tr2bl w:val="nil"/>
                  </w:tcBorders>
                  <w:shd w:val="clear" w:color="auto" w:fill="auto"/>
                  <w:noWrap/>
                  <w:vAlign w:val="center"/>
                </w:tcPr>
                <w:p>
                  <w:pPr>
                    <w:pStyle w:val="174"/>
                    <w:spacing w:line="240" w:lineRule="auto"/>
                    <w:jc w:val="center"/>
                    <w:rPr>
                      <w:rFonts w:eastAsia="宋体"/>
                      <w:color w:val="000000" w:themeColor="text1"/>
                      <w:szCs w:val="21"/>
                      <w14:textFill>
                        <w14:solidFill>
                          <w14:schemeClr w14:val="tx1"/>
                        </w14:solidFill>
                      </w14:textFill>
                    </w:rPr>
                  </w:pPr>
                  <w:r>
                    <w:rPr>
                      <w:rFonts w:eastAsia="宋体"/>
                      <w:color w:val="000000" w:themeColor="text1"/>
                      <w:szCs w:val="21"/>
                      <w14:textFill>
                        <w14:solidFill>
                          <w14:schemeClr w14:val="tx1"/>
                        </w14:solidFill>
                      </w14:textFill>
                    </w:rPr>
                    <w:t>3</w:t>
                  </w:r>
                </w:p>
              </w:tc>
              <w:tc>
                <w:tcPr>
                  <w:tcW w:w="1119" w:type="pct"/>
                  <w:tcBorders>
                    <w:tl2br w:val="nil"/>
                    <w:tr2bl w:val="nil"/>
                  </w:tcBorders>
                  <w:shd w:val="clear" w:color="auto" w:fill="auto"/>
                  <w:vAlign w:val="center"/>
                </w:tcPr>
                <w:p>
                  <w:pPr>
                    <w:widowControl/>
                    <w:jc w:val="center"/>
                    <w:textAlignment w:val="center"/>
                    <w:rPr>
                      <w:rFonts w:hint="eastAsia" w:eastAsia="宋体"/>
                      <w:color w:val="000000" w:themeColor="text1"/>
                      <w:szCs w:val="21"/>
                      <w:lang w:eastAsia="zh-CN"/>
                      <w14:textFill>
                        <w14:solidFill>
                          <w14:schemeClr w14:val="tx1"/>
                        </w14:solidFill>
                      </w14:textFill>
                    </w:rPr>
                  </w:pPr>
                  <w:r>
                    <w:rPr>
                      <w:rFonts w:hint="eastAsia"/>
                      <w:color w:val="000000" w:themeColor="text1"/>
                      <w:szCs w:val="21"/>
                      <w:lang w:eastAsia="zh-CN"/>
                      <w14:textFill>
                        <w14:solidFill>
                          <w14:schemeClr w14:val="tx1"/>
                        </w14:solidFill>
                      </w14:textFill>
                    </w:rPr>
                    <w:t>不锈钢锉后续处理设备</w:t>
                  </w:r>
                </w:p>
              </w:tc>
              <w:tc>
                <w:tcPr>
                  <w:tcW w:w="1047" w:type="pct"/>
                  <w:tcBorders>
                    <w:tl2br w:val="nil"/>
                    <w:tr2bl w:val="nil"/>
                  </w:tcBorders>
                  <w:shd w:val="clear" w:color="auto" w:fill="auto"/>
                  <w:vAlign w:val="center"/>
                </w:tcPr>
                <w:p>
                  <w:pPr>
                    <w:widowControl/>
                    <w:jc w:val="center"/>
                    <w:textAlignment w:val="center"/>
                    <w:rPr>
                      <w:color w:val="auto"/>
                      <w:szCs w:val="21"/>
                    </w:rPr>
                  </w:pPr>
                  <w:r>
                    <w:rPr>
                      <w:rFonts w:hint="eastAsia"/>
                      <w:color w:val="auto"/>
                      <w:szCs w:val="21"/>
                    </w:rPr>
                    <w:t>非标</w:t>
                  </w:r>
                </w:p>
              </w:tc>
              <w:tc>
                <w:tcPr>
                  <w:tcW w:w="1205" w:type="pct"/>
                  <w:tcBorders>
                    <w:tl2br w:val="nil"/>
                    <w:tr2bl w:val="nil"/>
                  </w:tcBorders>
                  <w:shd w:val="clear" w:color="auto" w:fill="auto"/>
                  <w:vAlign w:val="center"/>
                </w:tcPr>
                <w:p>
                  <w:pPr>
                    <w:widowControl/>
                    <w:jc w:val="center"/>
                    <w:textAlignment w:val="center"/>
                    <w:rPr>
                      <w:rFonts w:hint="default" w:eastAsia="宋体"/>
                      <w:color w:val="000000" w:themeColor="text1"/>
                      <w:kern w:val="0"/>
                      <w:szCs w:val="21"/>
                      <w:lang w:val="en-US" w:eastAsia="zh-CN"/>
                      <w14:textFill>
                        <w14:solidFill>
                          <w14:schemeClr w14:val="tx1"/>
                        </w14:solidFill>
                      </w14:textFill>
                    </w:rPr>
                  </w:pPr>
                  <w:r>
                    <w:rPr>
                      <w:rFonts w:hint="eastAsia"/>
                      <w:kern w:val="0"/>
                      <w:szCs w:val="21"/>
                    </w:rPr>
                    <w:t>10</w:t>
                  </w:r>
                </w:p>
              </w:tc>
              <w:tc>
                <w:tcPr>
                  <w:tcW w:w="1207" w:type="pct"/>
                  <w:tcBorders>
                    <w:tl2br w:val="nil"/>
                    <w:tr2bl w:val="nil"/>
                  </w:tcBorders>
                  <w:shd w:val="clear" w:color="auto" w:fill="auto"/>
                  <w:vAlign w:val="center"/>
                </w:tcPr>
                <w:p>
                  <w:pPr>
                    <w:widowControl/>
                    <w:jc w:val="center"/>
                    <w:textAlignment w:val="center"/>
                    <w:rPr>
                      <w:rFonts w:hint="eastAsia" w:eastAsia="宋体"/>
                      <w:color w:val="000000" w:themeColor="text1"/>
                      <w:kern w:val="0"/>
                      <w:szCs w:val="21"/>
                      <w:lang w:eastAsia="zh-CN"/>
                      <w14:textFill>
                        <w14:solidFill>
                          <w14:schemeClr w14:val="tx1"/>
                        </w14:solidFill>
                      </w14:textFill>
                    </w:rPr>
                  </w:pPr>
                  <w:r>
                    <w:rPr>
                      <w:rFonts w:hint="eastAsia"/>
                      <w:color w:val="000000" w:themeColor="text1"/>
                      <w:kern w:val="0"/>
                      <w:szCs w:val="21"/>
                      <w:lang w:eastAsia="zh-CN"/>
                      <w14:textFill>
                        <w14:solidFill>
                          <w14:schemeClr w14:val="tx1"/>
                        </w14:solidFill>
                      </w14:textFill>
                    </w:rPr>
                    <w:t>后处理工序</w:t>
                  </w:r>
                </w:p>
              </w:tc>
            </w:tr>
            <w:tr>
              <w:tblPrEx>
                <w:tblBorders>
                  <w:top w:val="single" w:color="auto" w:sz="12" w:space="0"/>
                  <w:left w:val="none" w:color="auto" w:sz="0" w:space="0"/>
                  <w:bottom w:val="single" w:color="auto" w:sz="12"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270" w:hRule="atLeast"/>
              </w:trPr>
              <w:tc>
                <w:tcPr>
                  <w:tcW w:w="419" w:type="pct"/>
                  <w:tcBorders>
                    <w:tl2br w:val="nil"/>
                    <w:tr2bl w:val="nil"/>
                  </w:tcBorders>
                  <w:shd w:val="clear" w:color="auto" w:fill="auto"/>
                  <w:noWrap/>
                  <w:vAlign w:val="center"/>
                </w:tcPr>
                <w:p>
                  <w:pPr>
                    <w:pStyle w:val="174"/>
                    <w:spacing w:line="240" w:lineRule="auto"/>
                    <w:jc w:val="center"/>
                    <w:rPr>
                      <w:rFonts w:eastAsia="宋体"/>
                      <w:color w:val="000000" w:themeColor="text1"/>
                      <w:szCs w:val="21"/>
                      <w14:textFill>
                        <w14:solidFill>
                          <w14:schemeClr w14:val="tx1"/>
                        </w14:solidFill>
                      </w14:textFill>
                    </w:rPr>
                  </w:pPr>
                  <w:r>
                    <w:rPr>
                      <w:rFonts w:eastAsia="宋体"/>
                      <w:color w:val="000000" w:themeColor="text1"/>
                      <w:szCs w:val="21"/>
                      <w14:textFill>
                        <w14:solidFill>
                          <w14:schemeClr w14:val="tx1"/>
                        </w14:solidFill>
                      </w14:textFill>
                    </w:rPr>
                    <w:t>4</w:t>
                  </w:r>
                </w:p>
              </w:tc>
              <w:tc>
                <w:tcPr>
                  <w:tcW w:w="1119" w:type="pct"/>
                  <w:tcBorders>
                    <w:tl2br w:val="nil"/>
                    <w:tr2bl w:val="nil"/>
                  </w:tcBorders>
                  <w:shd w:val="clear" w:color="auto" w:fill="auto"/>
                  <w:vAlign w:val="center"/>
                </w:tcPr>
                <w:p>
                  <w:pPr>
                    <w:widowControl/>
                    <w:jc w:val="center"/>
                    <w:textAlignment w:val="center"/>
                    <w:rPr>
                      <w:rFonts w:hint="eastAsia" w:eastAsia="宋体"/>
                      <w:color w:val="000000" w:themeColor="text1"/>
                      <w:szCs w:val="21"/>
                      <w:lang w:eastAsia="zh-CN"/>
                      <w14:textFill>
                        <w14:solidFill>
                          <w14:schemeClr w14:val="tx1"/>
                        </w14:solidFill>
                      </w14:textFill>
                    </w:rPr>
                  </w:pPr>
                  <w:r>
                    <w:rPr>
                      <w:rFonts w:hint="eastAsia"/>
                      <w:color w:val="000000" w:themeColor="text1"/>
                      <w:szCs w:val="21"/>
                      <w:lang w:eastAsia="zh-CN"/>
                      <w14:textFill>
                        <w14:solidFill>
                          <w14:schemeClr w14:val="tx1"/>
                        </w14:solidFill>
                      </w14:textFill>
                    </w:rPr>
                    <w:t>镍钛锉测拉力机</w:t>
                  </w:r>
                </w:p>
              </w:tc>
              <w:tc>
                <w:tcPr>
                  <w:tcW w:w="1047" w:type="pct"/>
                  <w:tcBorders>
                    <w:tl2br w:val="nil"/>
                    <w:tr2bl w:val="nil"/>
                  </w:tcBorders>
                  <w:shd w:val="clear" w:color="auto" w:fill="auto"/>
                  <w:vAlign w:val="center"/>
                </w:tcPr>
                <w:p>
                  <w:pPr>
                    <w:widowControl/>
                    <w:jc w:val="center"/>
                    <w:textAlignment w:val="center"/>
                    <w:rPr>
                      <w:color w:val="auto"/>
                      <w:szCs w:val="21"/>
                    </w:rPr>
                  </w:pPr>
                  <w:r>
                    <w:rPr>
                      <w:rFonts w:hint="eastAsia"/>
                      <w:color w:val="auto"/>
                      <w:szCs w:val="21"/>
                    </w:rPr>
                    <w:t>非标</w:t>
                  </w:r>
                </w:p>
              </w:tc>
              <w:tc>
                <w:tcPr>
                  <w:tcW w:w="1205" w:type="pct"/>
                  <w:tcBorders>
                    <w:tl2br w:val="nil"/>
                    <w:tr2bl w:val="nil"/>
                  </w:tcBorders>
                  <w:shd w:val="clear" w:color="auto" w:fill="auto"/>
                  <w:vAlign w:val="center"/>
                </w:tcPr>
                <w:p>
                  <w:pPr>
                    <w:widowControl/>
                    <w:jc w:val="center"/>
                    <w:textAlignment w:val="center"/>
                    <w:rPr>
                      <w:rFonts w:hint="default" w:eastAsia="宋体"/>
                      <w:color w:val="000000" w:themeColor="text1"/>
                      <w:kern w:val="0"/>
                      <w:szCs w:val="21"/>
                      <w:lang w:val="en-US" w:eastAsia="zh-CN"/>
                      <w14:textFill>
                        <w14:solidFill>
                          <w14:schemeClr w14:val="tx1"/>
                        </w14:solidFill>
                      </w14:textFill>
                    </w:rPr>
                  </w:pPr>
                  <w:r>
                    <w:rPr>
                      <w:rFonts w:hint="eastAsia"/>
                      <w:kern w:val="0"/>
                      <w:szCs w:val="21"/>
                    </w:rPr>
                    <w:t>10</w:t>
                  </w:r>
                </w:p>
              </w:tc>
              <w:tc>
                <w:tcPr>
                  <w:tcW w:w="1207" w:type="pct"/>
                  <w:tcBorders>
                    <w:tl2br w:val="nil"/>
                    <w:tr2bl w:val="nil"/>
                  </w:tcBorders>
                  <w:shd w:val="clear" w:color="auto" w:fill="auto"/>
                  <w:vAlign w:val="center"/>
                </w:tcPr>
                <w:p>
                  <w:pPr>
                    <w:widowControl/>
                    <w:jc w:val="center"/>
                    <w:textAlignment w:val="center"/>
                    <w:rPr>
                      <w:rFonts w:hint="eastAsia" w:eastAsia="宋体"/>
                      <w:color w:val="000000" w:themeColor="text1"/>
                      <w:kern w:val="0"/>
                      <w:szCs w:val="21"/>
                      <w:lang w:eastAsia="zh-CN"/>
                      <w14:textFill>
                        <w14:solidFill>
                          <w14:schemeClr w14:val="tx1"/>
                        </w14:solidFill>
                      </w14:textFill>
                    </w:rPr>
                  </w:pPr>
                  <w:r>
                    <w:rPr>
                      <w:rFonts w:hint="eastAsia"/>
                      <w:color w:val="000000" w:themeColor="text1"/>
                      <w:kern w:val="0"/>
                      <w:szCs w:val="21"/>
                      <w:lang w:eastAsia="zh-CN"/>
                      <w14:textFill>
                        <w14:solidFill>
                          <w14:schemeClr w14:val="tx1"/>
                        </w14:solidFill>
                      </w14:textFill>
                    </w:rPr>
                    <w:t>检测工序</w:t>
                  </w:r>
                </w:p>
              </w:tc>
            </w:tr>
            <w:tr>
              <w:tblPrEx>
                <w:tblBorders>
                  <w:top w:val="single" w:color="auto" w:sz="12" w:space="0"/>
                  <w:left w:val="none" w:color="auto" w:sz="0" w:space="0"/>
                  <w:bottom w:val="single" w:color="auto" w:sz="12"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270" w:hRule="atLeast"/>
              </w:trPr>
              <w:tc>
                <w:tcPr>
                  <w:tcW w:w="419" w:type="pct"/>
                  <w:tcBorders>
                    <w:tl2br w:val="nil"/>
                    <w:tr2bl w:val="nil"/>
                  </w:tcBorders>
                  <w:shd w:val="clear" w:color="auto" w:fill="auto"/>
                  <w:noWrap/>
                  <w:vAlign w:val="center"/>
                </w:tcPr>
                <w:p>
                  <w:pPr>
                    <w:pStyle w:val="174"/>
                    <w:spacing w:line="240" w:lineRule="auto"/>
                    <w:jc w:val="center"/>
                    <w:rPr>
                      <w:rFonts w:eastAsia="宋体"/>
                      <w:color w:val="000000" w:themeColor="text1"/>
                      <w:szCs w:val="21"/>
                      <w14:textFill>
                        <w14:solidFill>
                          <w14:schemeClr w14:val="tx1"/>
                        </w14:solidFill>
                      </w14:textFill>
                    </w:rPr>
                  </w:pPr>
                  <w:r>
                    <w:rPr>
                      <w:rFonts w:eastAsia="宋体"/>
                      <w:color w:val="000000" w:themeColor="text1"/>
                      <w:szCs w:val="21"/>
                      <w14:textFill>
                        <w14:solidFill>
                          <w14:schemeClr w14:val="tx1"/>
                        </w14:solidFill>
                      </w14:textFill>
                    </w:rPr>
                    <w:t>5</w:t>
                  </w:r>
                </w:p>
              </w:tc>
              <w:tc>
                <w:tcPr>
                  <w:tcW w:w="1119" w:type="pct"/>
                  <w:tcBorders>
                    <w:tl2br w:val="nil"/>
                    <w:tr2bl w:val="nil"/>
                  </w:tcBorders>
                  <w:shd w:val="clear" w:color="auto" w:fill="auto"/>
                  <w:vAlign w:val="center"/>
                </w:tcPr>
                <w:p>
                  <w:pPr>
                    <w:widowControl/>
                    <w:jc w:val="center"/>
                    <w:textAlignment w:val="center"/>
                    <w:rPr>
                      <w:rFonts w:hint="eastAsia" w:eastAsia="宋体"/>
                      <w:color w:val="000000" w:themeColor="text1"/>
                      <w:szCs w:val="21"/>
                      <w:lang w:eastAsia="zh-CN"/>
                      <w14:textFill>
                        <w14:solidFill>
                          <w14:schemeClr w14:val="tx1"/>
                        </w14:solidFill>
                      </w14:textFill>
                    </w:rPr>
                  </w:pPr>
                  <w:r>
                    <w:rPr>
                      <w:rFonts w:hint="eastAsia"/>
                      <w:color w:val="000000" w:themeColor="text1"/>
                      <w:szCs w:val="21"/>
                      <w:lang w:eastAsia="zh-CN"/>
                      <w14:textFill>
                        <w14:solidFill>
                          <w14:schemeClr w14:val="tx1"/>
                        </w14:solidFill>
                      </w14:textFill>
                    </w:rPr>
                    <w:t>注塑机</w:t>
                  </w:r>
                </w:p>
              </w:tc>
              <w:tc>
                <w:tcPr>
                  <w:tcW w:w="1047" w:type="pct"/>
                  <w:tcBorders>
                    <w:tl2br w:val="nil"/>
                    <w:tr2bl w:val="nil"/>
                  </w:tcBorders>
                  <w:shd w:val="clear" w:color="auto" w:fill="auto"/>
                  <w:vAlign w:val="center"/>
                </w:tcPr>
                <w:p>
                  <w:pPr>
                    <w:jc w:val="center"/>
                    <w:rPr>
                      <w:rFonts w:hint="eastAsia" w:eastAsia="宋体"/>
                      <w:color w:val="auto"/>
                      <w:szCs w:val="21"/>
                      <w:lang w:val="en-US" w:eastAsia="zh-CN"/>
                    </w:rPr>
                  </w:pPr>
                  <w:r>
                    <w:rPr>
                      <w:rFonts w:hint="eastAsia"/>
                      <w:color w:val="auto"/>
                      <w:szCs w:val="21"/>
                      <w:lang w:val="en-US" w:eastAsia="zh-CN"/>
                    </w:rPr>
                    <w:t>/</w:t>
                  </w:r>
                </w:p>
              </w:tc>
              <w:tc>
                <w:tcPr>
                  <w:tcW w:w="1205" w:type="pct"/>
                  <w:tcBorders>
                    <w:tl2br w:val="nil"/>
                    <w:tr2bl w:val="nil"/>
                  </w:tcBorders>
                  <w:shd w:val="clear" w:color="auto" w:fill="auto"/>
                  <w:vAlign w:val="center"/>
                </w:tcPr>
                <w:p>
                  <w:pPr>
                    <w:widowControl/>
                    <w:jc w:val="center"/>
                    <w:textAlignment w:val="center"/>
                    <w:rPr>
                      <w:rFonts w:hint="eastAsia" w:eastAsia="宋体"/>
                      <w:color w:val="000000" w:themeColor="text1"/>
                      <w:kern w:val="0"/>
                      <w:szCs w:val="21"/>
                      <w:lang w:val="en-US" w:eastAsia="zh-CN"/>
                      <w14:textFill>
                        <w14:solidFill>
                          <w14:schemeClr w14:val="tx1"/>
                        </w14:solidFill>
                      </w14:textFill>
                    </w:rPr>
                  </w:pPr>
                  <w:r>
                    <w:rPr>
                      <w:rFonts w:hint="eastAsia"/>
                      <w:kern w:val="0"/>
                      <w:szCs w:val="21"/>
                    </w:rPr>
                    <w:t>5</w:t>
                  </w:r>
                </w:p>
              </w:tc>
              <w:tc>
                <w:tcPr>
                  <w:tcW w:w="1207" w:type="pct"/>
                  <w:tcBorders>
                    <w:tl2br w:val="nil"/>
                    <w:tr2bl w:val="nil"/>
                  </w:tcBorders>
                  <w:shd w:val="clear" w:color="auto" w:fill="auto"/>
                  <w:vAlign w:val="center"/>
                </w:tcPr>
                <w:p>
                  <w:pPr>
                    <w:widowControl/>
                    <w:jc w:val="center"/>
                    <w:textAlignment w:val="center"/>
                    <w:rPr>
                      <w:rFonts w:hint="eastAsia" w:eastAsia="宋体"/>
                      <w:color w:val="000000" w:themeColor="text1"/>
                      <w:kern w:val="0"/>
                      <w:szCs w:val="21"/>
                      <w:lang w:eastAsia="zh-CN"/>
                      <w14:textFill>
                        <w14:solidFill>
                          <w14:schemeClr w14:val="tx1"/>
                        </w14:solidFill>
                      </w14:textFill>
                    </w:rPr>
                  </w:pPr>
                  <w:r>
                    <w:rPr>
                      <w:rFonts w:hint="eastAsia"/>
                      <w:color w:val="000000" w:themeColor="text1"/>
                      <w:kern w:val="0"/>
                      <w:szCs w:val="21"/>
                      <w:lang w:eastAsia="zh-CN"/>
                      <w14:textFill>
                        <w14:solidFill>
                          <w14:schemeClr w14:val="tx1"/>
                        </w14:solidFill>
                      </w14:textFill>
                    </w:rPr>
                    <w:t>注塑成型工序</w:t>
                  </w:r>
                </w:p>
              </w:tc>
            </w:tr>
            <w:tr>
              <w:tblPrEx>
                <w:tblBorders>
                  <w:top w:val="single" w:color="auto" w:sz="12" w:space="0"/>
                  <w:left w:val="none" w:color="auto" w:sz="0" w:space="0"/>
                  <w:bottom w:val="single" w:color="auto" w:sz="12"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270" w:hRule="atLeast"/>
              </w:trPr>
              <w:tc>
                <w:tcPr>
                  <w:tcW w:w="419" w:type="pct"/>
                  <w:tcBorders>
                    <w:tl2br w:val="nil"/>
                    <w:tr2bl w:val="nil"/>
                  </w:tcBorders>
                  <w:shd w:val="clear" w:color="auto" w:fill="auto"/>
                  <w:noWrap/>
                  <w:vAlign w:val="center"/>
                </w:tcPr>
                <w:p>
                  <w:pPr>
                    <w:pStyle w:val="174"/>
                    <w:spacing w:line="240" w:lineRule="auto"/>
                    <w:jc w:val="center"/>
                    <w:rPr>
                      <w:rFonts w:eastAsia="宋体"/>
                      <w:color w:val="000000" w:themeColor="text1"/>
                      <w:szCs w:val="21"/>
                      <w14:textFill>
                        <w14:solidFill>
                          <w14:schemeClr w14:val="tx1"/>
                        </w14:solidFill>
                      </w14:textFill>
                    </w:rPr>
                  </w:pPr>
                  <w:r>
                    <w:rPr>
                      <w:rFonts w:eastAsia="宋体"/>
                      <w:color w:val="000000" w:themeColor="text1"/>
                      <w:szCs w:val="21"/>
                      <w14:textFill>
                        <w14:solidFill>
                          <w14:schemeClr w14:val="tx1"/>
                        </w14:solidFill>
                      </w14:textFill>
                    </w:rPr>
                    <w:t>6</w:t>
                  </w:r>
                </w:p>
              </w:tc>
              <w:tc>
                <w:tcPr>
                  <w:tcW w:w="1119" w:type="pct"/>
                  <w:tcBorders>
                    <w:tl2br w:val="nil"/>
                    <w:tr2bl w:val="nil"/>
                  </w:tcBorders>
                  <w:shd w:val="clear" w:color="auto" w:fill="auto"/>
                  <w:vAlign w:val="center"/>
                </w:tcPr>
                <w:p>
                  <w:pPr>
                    <w:widowControl/>
                    <w:jc w:val="center"/>
                    <w:textAlignment w:val="center"/>
                    <w:rPr>
                      <w:rFonts w:hint="eastAsia" w:eastAsia="宋体"/>
                      <w:color w:val="000000" w:themeColor="text1"/>
                      <w:szCs w:val="21"/>
                      <w:lang w:eastAsia="zh-CN"/>
                      <w14:textFill>
                        <w14:solidFill>
                          <w14:schemeClr w14:val="tx1"/>
                        </w14:solidFill>
                      </w14:textFill>
                    </w:rPr>
                  </w:pPr>
                  <w:r>
                    <w:rPr>
                      <w:rFonts w:hint="eastAsia"/>
                      <w:color w:val="000000" w:themeColor="text1"/>
                      <w:szCs w:val="21"/>
                      <w:lang w:eastAsia="zh-CN"/>
                      <w14:textFill>
                        <w14:solidFill>
                          <w14:schemeClr w14:val="tx1"/>
                        </w14:solidFill>
                      </w14:textFill>
                    </w:rPr>
                    <w:t>钢丝调直设备</w:t>
                  </w:r>
                </w:p>
              </w:tc>
              <w:tc>
                <w:tcPr>
                  <w:tcW w:w="1047" w:type="pct"/>
                  <w:tcBorders>
                    <w:tl2br w:val="nil"/>
                    <w:tr2bl w:val="nil"/>
                  </w:tcBorders>
                  <w:shd w:val="clear" w:color="auto" w:fill="auto"/>
                  <w:vAlign w:val="center"/>
                </w:tcPr>
                <w:p>
                  <w:pPr>
                    <w:jc w:val="center"/>
                    <w:rPr>
                      <w:color w:val="auto"/>
                      <w:szCs w:val="21"/>
                    </w:rPr>
                  </w:pPr>
                  <w:r>
                    <w:rPr>
                      <w:rFonts w:hint="eastAsia"/>
                      <w:color w:val="auto"/>
                      <w:szCs w:val="21"/>
                    </w:rPr>
                    <w:t>非标</w:t>
                  </w:r>
                </w:p>
              </w:tc>
              <w:tc>
                <w:tcPr>
                  <w:tcW w:w="1205" w:type="pct"/>
                  <w:tcBorders>
                    <w:tl2br w:val="nil"/>
                    <w:tr2bl w:val="nil"/>
                  </w:tcBorders>
                  <w:shd w:val="clear" w:color="auto" w:fill="auto"/>
                  <w:vAlign w:val="center"/>
                </w:tcPr>
                <w:p>
                  <w:pPr>
                    <w:widowControl/>
                    <w:jc w:val="center"/>
                    <w:textAlignment w:val="center"/>
                    <w:rPr>
                      <w:rFonts w:hint="eastAsia" w:eastAsia="宋体"/>
                      <w:color w:val="000000" w:themeColor="text1"/>
                      <w:kern w:val="0"/>
                      <w:szCs w:val="28"/>
                      <w:lang w:val="en-US" w:eastAsia="zh-CN"/>
                      <w14:textFill>
                        <w14:solidFill>
                          <w14:schemeClr w14:val="tx1"/>
                        </w14:solidFill>
                      </w14:textFill>
                    </w:rPr>
                  </w:pPr>
                  <w:r>
                    <w:rPr>
                      <w:rFonts w:hint="eastAsia"/>
                      <w:kern w:val="0"/>
                      <w:szCs w:val="28"/>
                    </w:rPr>
                    <w:t>5</w:t>
                  </w:r>
                </w:p>
              </w:tc>
              <w:tc>
                <w:tcPr>
                  <w:tcW w:w="1207" w:type="pct"/>
                  <w:tcBorders>
                    <w:tl2br w:val="nil"/>
                    <w:tr2bl w:val="nil"/>
                  </w:tcBorders>
                  <w:shd w:val="clear" w:color="auto" w:fill="auto"/>
                  <w:vAlign w:val="center"/>
                </w:tcPr>
                <w:p>
                  <w:pPr>
                    <w:widowControl/>
                    <w:jc w:val="center"/>
                    <w:textAlignment w:val="center"/>
                    <w:rPr>
                      <w:rFonts w:hint="eastAsia" w:eastAsia="宋体"/>
                      <w:color w:val="000000" w:themeColor="text1"/>
                      <w:kern w:val="0"/>
                      <w:szCs w:val="28"/>
                      <w:lang w:eastAsia="zh-CN"/>
                      <w14:textFill>
                        <w14:solidFill>
                          <w14:schemeClr w14:val="tx1"/>
                        </w14:solidFill>
                      </w14:textFill>
                    </w:rPr>
                  </w:pPr>
                  <w:r>
                    <w:rPr>
                      <w:rFonts w:hint="eastAsia"/>
                      <w:color w:val="000000" w:themeColor="text1"/>
                      <w:kern w:val="0"/>
                      <w:szCs w:val="28"/>
                      <w:lang w:eastAsia="zh-CN"/>
                      <w14:textFill>
                        <w14:solidFill>
                          <w14:schemeClr w14:val="tx1"/>
                        </w14:solidFill>
                      </w14:textFill>
                    </w:rPr>
                    <w:t>校直工序</w:t>
                  </w:r>
                </w:p>
              </w:tc>
            </w:tr>
            <w:tr>
              <w:tblPrEx>
                <w:tblBorders>
                  <w:top w:val="single" w:color="auto" w:sz="12" w:space="0"/>
                  <w:left w:val="none" w:color="auto" w:sz="0" w:space="0"/>
                  <w:bottom w:val="single" w:color="auto" w:sz="12"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270" w:hRule="atLeast"/>
              </w:trPr>
              <w:tc>
                <w:tcPr>
                  <w:tcW w:w="419" w:type="pct"/>
                  <w:tcBorders>
                    <w:tl2br w:val="nil"/>
                    <w:tr2bl w:val="nil"/>
                  </w:tcBorders>
                  <w:shd w:val="clear" w:color="auto" w:fill="auto"/>
                  <w:noWrap/>
                  <w:vAlign w:val="center"/>
                </w:tcPr>
                <w:p>
                  <w:pPr>
                    <w:pStyle w:val="174"/>
                    <w:spacing w:line="240" w:lineRule="auto"/>
                    <w:jc w:val="center"/>
                    <w:rPr>
                      <w:rFonts w:eastAsia="宋体"/>
                      <w:color w:val="000000" w:themeColor="text1"/>
                      <w:szCs w:val="21"/>
                      <w14:textFill>
                        <w14:solidFill>
                          <w14:schemeClr w14:val="tx1"/>
                        </w14:solidFill>
                      </w14:textFill>
                    </w:rPr>
                  </w:pPr>
                  <w:r>
                    <w:rPr>
                      <w:rFonts w:eastAsia="宋体"/>
                      <w:color w:val="000000" w:themeColor="text1"/>
                      <w:szCs w:val="21"/>
                      <w14:textFill>
                        <w14:solidFill>
                          <w14:schemeClr w14:val="tx1"/>
                        </w14:solidFill>
                      </w14:textFill>
                    </w:rPr>
                    <w:t>7</w:t>
                  </w:r>
                </w:p>
              </w:tc>
              <w:tc>
                <w:tcPr>
                  <w:tcW w:w="1119" w:type="pct"/>
                  <w:tcBorders>
                    <w:tl2br w:val="nil"/>
                    <w:tr2bl w:val="nil"/>
                  </w:tcBorders>
                  <w:shd w:val="clear" w:color="auto" w:fill="auto"/>
                  <w:vAlign w:val="center"/>
                </w:tcPr>
                <w:p>
                  <w:pPr>
                    <w:widowControl/>
                    <w:jc w:val="center"/>
                    <w:textAlignment w:val="center"/>
                    <w:rPr>
                      <w:rFonts w:hint="eastAsia" w:eastAsia="宋体"/>
                      <w:color w:val="000000" w:themeColor="text1"/>
                      <w:szCs w:val="21"/>
                      <w:lang w:eastAsia="zh-CN"/>
                      <w14:textFill>
                        <w14:solidFill>
                          <w14:schemeClr w14:val="tx1"/>
                        </w14:solidFill>
                      </w14:textFill>
                    </w:rPr>
                  </w:pPr>
                  <w:r>
                    <w:rPr>
                      <w:rFonts w:hint="eastAsia"/>
                      <w:color w:val="000000" w:themeColor="text1"/>
                      <w:szCs w:val="21"/>
                      <w:lang w:eastAsia="zh-CN"/>
                      <w14:textFill>
                        <w14:solidFill>
                          <w14:schemeClr w14:val="tx1"/>
                        </w14:solidFill>
                      </w14:textFill>
                    </w:rPr>
                    <w:t>空压机组</w:t>
                  </w:r>
                </w:p>
              </w:tc>
              <w:tc>
                <w:tcPr>
                  <w:tcW w:w="1047" w:type="pct"/>
                  <w:tcBorders>
                    <w:tl2br w:val="nil"/>
                    <w:tr2bl w:val="nil"/>
                  </w:tcBorders>
                  <w:shd w:val="clear" w:color="auto" w:fill="auto"/>
                  <w:vAlign w:val="center"/>
                </w:tcPr>
                <w:p>
                  <w:pPr>
                    <w:jc w:val="center"/>
                    <w:rPr>
                      <w:rFonts w:hint="eastAsia" w:eastAsia="宋体"/>
                      <w:color w:val="auto"/>
                      <w:szCs w:val="21"/>
                      <w:lang w:val="en-US" w:eastAsia="zh-CN"/>
                    </w:rPr>
                  </w:pPr>
                  <w:r>
                    <w:rPr>
                      <w:rFonts w:hint="eastAsia"/>
                      <w:color w:val="auto"/>
                      <w:szCs w:val="21"/>
                    </w:rPr>
                    <w:t>宝风ffv55</w:t>
                  </w:r>
                </w:p>
              </w:tc>
              <w:tc>
                <w:tcPr>
                  <w:tcW w:w="1205" w:type="pct"/>
                  <w:tcBorders>
                    <w:tl2br w:val="nil"/>
                    <w:tr2bl w:val="nil"/>
                  </w:tcBorders>
                  <w:shd w:val="clear" w:color="auto" w:fill="auto"/>
                  <w:vAlign w:val="center"/>
                </w:tcPr>
                <w:p>
                  <w:pPr>
                    <w:widowControl/>
                    <w:jc w:val="center"/>
                    <w:textAlignment w:val="center"/>
                    <w:rPr>
                      <w:rFonts w:hint="default" w:eastAsia="宋体"/>
                      <w:color w:val="000000" w:themeColor="text1"/>
                      <w:kern w:val="0"/>
                      <w:szCs w:val="28"/>
                      <w:lang w:val="en-US" w:eastAsia="zh-CN"/>
                      <w14:textFill>
                        <w14:solidFill>
                          <w14:schemeClr w14:val="tx1"/>
                        </w14:solidFill>
                      </w14:textFill>
                    </w:rPr>
                  </w:pPr>
                  <w:r>
                    <w:rPr>
                      <w:rFonts w:hint="eastAsia"/>
                      <w:kern w:val="0"/>
                      <w:szCs w:val="28"/>
                    </w:rPr>
                    <w:t>1</w:t>
                  </w:r>
                </w:p>
              </w:tc>
              <w:tc>
                <w:tcPr>
                  <w:tcW w:w="1207" w:type="pct"/>
                  <w:tcBorders>
                    <w:tl2br w:val="nil"/>
                    <w:tr2bl w:val="nil"/>
                  </w:tcBorders>
                  <w:shd w:val="clear" w:color="auto" w:fill="auto"/>
                  <w:vAlign w:val="center"/>
                </w:tcPr>
                <w:p>
                  <w:pPr>
                    <w:widowControl/>
                    <w:jc w:val="center"/>
                    <w:textAlignment w:val="center"/>
                    <w:rPr>
                      <w:rFonts w:hint="eastAsia" w:eastAsia="宋体"/>
                      <w:color w:val="000000" w:themeColor="text1"/>
                      <w:kern w:val="0"/>
                      <w:szCs w:val="28"/>
                      <w:lang w:eastAsia="zh-CN"/>
                      <w14:textFill>
                        <w14:solidFill>
                          <w14:schemeClr w14:val="tx1"/>
                        </w14:solidFill>
                      </w14:textFill>
                    </w:rPr>
                  </w:pPr>
                  <w:r>
                    <w:rPr>
                      <w:rFonts w:hint="eastAsia"/>
                      <w:color w:val="000000" w:themeColor="text1"/>
                      <w:kern w:val="0"/>
                      <w:szCs w:val="28"/>
                      <w:lang w:eastAsia="zh-CN"/>
                      <w14:textFill>
                        <w14:solidFill>
                          <w14:schemeClr w14:val="tx1"/>
                        </w14:solidFill>
                      </w14:textFill>
                    </w:rPr>
                    <w:t>提供动力</w:t>
                  </w:r>
                </w:p>
              </w:tc>
            </w:tr>
            <w:tr>
              <w:tblPrEx>
                <w:tblBorders>
                  <w:top w:val="single" w:color="auto" w:sz="12" w:space="0"/>
                  <w:left w:val="none" w:color="auto" w:sz="0" w:space="0"/>
                  <w:bottom w:val="single" w:color="auto" w:sz="12"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270" w:hRule="atLeast"/>
              </w:trPr>
              <w:tc>
                <w:tcPr>
                  <w:tcW w:w="419" w:type="pct"/>
                  <w:tcBorders>
                    <w:tl2br w:val="nil"/>
                    <w:tr2bl w:val="nil"/>
                  </w:tcBorders>
                  <w:shd w:val="clear" w:color="auto" w:fill="auto"/>
                  <w:noWrap/>
                  <w:vAlign w:val="center"/>
                </w:tcPr>
                <w:p>
                  <w:pPr>
                    <w:pStyle w:val="174"/>
                    <w:spacing w:line="240" w:lineRule="auto"/>
                    <w:jc w:val="center"/>
                    <w:rPr>
                      <w:rFonts w:hint="eastAsia" w:ascii="Times New Roman" w:hAnsi="Times New Roman" w:eastAsia="宋体" w:cs="Times New Roman"/>
                      <w:color w:val="000000" w:themeColor="text1"/>
                      <w:spacing w:val="-10"/>
                      <w:kern w:val="0"/>
                      <w:sz w:val="21"/>
                      <w:szCs w:val="21"/>
                      <w:lang w:val="en-US" w:eastAsia="zh-CN" w:bidi="ar-SA"/>
                      <w14:textFill>
                        <w14:solidFill>
                          <w14:schemeClr w14:val="tx1"/>
                        </w14:solidFill>
                      </w14:textFill>
                    </w:rPr>
                  </w:pPr>
                  <w:r>
                    <w:rPr>
                      <w:rFonts w:hint="eastAsia" w:eastAsia="宋体"/>
                      <w:color w:val="000000" w:themeColor="text1"/>
                      <w:szCs w:val="21"/>
                      <w:lang w:val="en-US" w:eastAsia="zh-CN"/>
                      <w14:textFill>
                        <w14:solidFill>
                          <w14:schemeClr w14:val="tx1"/>
                        </w14:solidFill>
                      </w14:textFill>
                    </w:rPr>
                    <w:t>8</w:t>
                  </w:r>
                </w:p>
              </w:tc>
              <w:tc>
                <w:tcPr>
                  <w:tcW w:w="1119" w:type="pct"/>
                  <w:tcBorders>
                    <w:tl2br w:val="nil"/>
                    <w:tr2bl w:val="nil"/>
                  </w:tcBorders>
                  <w:shd w:val="clear" w:color="auto" w:fill="auto"/>
                  <w:vAlign w:val="center"/>
                </w:tcPr>
                <w:p>
                  <w:pPr>
                    <w:widowControl/>
                    <w:jc w:val="center"/>
                    <w:textAlignment w:val="center"/>
                    <w:rPr>
                      <w:rFonts w:hint="eastAsia" w:ascii="Times New Roman" w:hAnsi="Times New Roman" w:eastAsia="宋体" w:cs="Times New Roman"/>
                      <w:color w:val="000000" w:themeColor="text1"/>
                      <w:kern w:val="2"/>
                      <w:sz w:val="21"/>
                      <w:szCs w:val="21"/>
                      <w:lang w:val="en-US" w:eastAsia="zh-CN" w:bidi="ar-SA"/>
                      <w14:textFill>
                        <w14:solidFill>
                          <w14:schemeClr w14:val="tx1"/>
                        </w14:solidFill>
                      </w14:textFill>
                    </w:rPr>
                  </w:pPr>
                  <w:r>
                    <w:rPr>
                      <w:rFonts w:hint="eastAsia"/>
                      <w:color w:val="000000" w:themeColor="text1"/>
                      <w:szCs w:val="21"/>
                      <w:lang w:eastAsia="zh-CN"/>
                      <w14:textFill>
                        <w14:solidFill>
                          <w14:schemeClr w14:val="tx1"/>
                        </w14:solidFill>
                      </w14:textFill>
                    </w:rPr>
                    <w:t>冷却机</w:t>
                  </w:r>
                </w:p>
              </w:tc>
              <w:tc>
                <w:tcPr>
                  <w:tcW w:w="1047" w:type="pct"/>
                  <w:tcBorders>
                    <w:tl2br w:val="nil"/>
                    <w:tr2bl w:val="nil"/>
                  </w:tcBorders>
                  <w:shd w:val="clear" w:color="auto" w:fill="auto"/>
                  <w:vAlign w:val="center"/>
                </w:tcPr>
                <w:p>
                  <w:pPr>
                    <w:widowControl/>
                    <w:jc w:val="center"/>
                    <w:textAlignment w:val="center"/>
                    <w:rPr>
                      <w:rFonts w:hint="eastAsia" w:ascii="Times New Roman" w:hAnsi="Times New Roman" w:eastAsia="宋体" w:cs="Times New Roman"/>
                      <w:color w:val="auto"/>
                      <w:kern w:val="2"/>
                      <w:sz w:val="21"/>
                      <w:szCs w:val="21"/>
                      <w:lang w:val="en-US" w:eastAsia="zh-CN" w:bidi="ar-SA"/>
                    </w:rPr>
                  </w:pPr>
                  <w:r>
                    <w:rPr>
                      <w:rFonts w:hint="eastAsia"/>
                      <w:color w:val="auto"/>
                      <w:szCs w:val="21"/>
                      <w:lang w:val="en-US" w:eastAsia="zh-CN"/>
                    </w:rPr>
                    <w:t>/</w:t>
                  </w:r>
                </w:p>
              </w:tc>
              <w:tc>
                <w:tcPr>
                  <w:tcW w:w="1205" w:type="pct"/>
                  <w:tcBorders>
                    <w:tl2br w:val="nil"/>
                    <w:tr2bl w:val="nil"/>
                  </w:tcBorders>
                  <w:shd w:val="clear" w:color="auto" w:fill="auto"/>
                  <w:vAlign w:val="center"/>
                </w:tcPr>
                <w:p>
                  <w:pPr>
                    <w:widowControl/>
                    <w:jc w:val="center"/>
                    <w:textAlignment w:val="center"/>
                    <w:rPr>
                      <w:rFonts w:hint="eastAsia" w:ascii="Times New Roman" w:hAnsi="Times New Roman" w:eastAsia="宋体" w:cs="Times New Roman"/>
                      <w:color w:val="000000" w:themeColor="text1"/>
                      <w:kern w:val="0"/>
                      <w:sz w:val="21"/>
                      <w:szCs w:val="28"/>
                      <w:lang w:val="en-US" w:eastAsia="zh-CN" w:bidi="ar-SA"/>
                      <w14:textFill>
                        <w14:solidFill>
                          <w14:schemeClr w14:val="tx1"/>
                        </w14:solidFill>
                      </w14:textFill>
                    </w:rPr>
                  </w:pPr>
                  <w:r>
                    <w:rPr>
                      <w:rFonts w:hint="eastAsia"/>
                      <w:color w:val="000000" w:themeColor="text1"/>
                      <w:kern w:val="0"/>
                      <w:szCs w:val="28"/>
                      <w:lang w:val="en-US" w:eastAsia="zh-CN"/>
                      <w14:textFill>
                        <w14:solidFill>
                          <w14:schemeClr w14:val="tx1"/>
                        </w14:solidFill>
                      </w14:textFill>
                    </w:rPr>
                    <w:t>5</w:t>
                  </w:r>
                </w:p>
              </w:tc>
              <w:tc>
                <w:tcPr>
                  <w:tcW w:w="1207" w:type="pct"/>
                  <w:tcBorders>
                    <w:tl2br w:val="nil"/>
                    <w:tr2bl w:val="nil"/>
                  </w:tcBorders>
                  <w:shd w:val="clear" w:color="auto" w:fill="auto"/>
                  <w:vAlign w:val="center"/>
                </w:tcPr>
                <w:p>
                  <w:pPr>
                    <w:widowControl/>
                    <w:jc w:val="center"/>
                    <w:textAlignment w:val="center"/>
                    <w:rPr>
                      <w:rFonts w:hint="eastAsia" w:eastAsia="宋体"/>
                      <w:color w:val="000000" w:themeColor="text1"/>
                      <w:kern w:val="0"/>
                      <w:szCs w:val="28"/>
                      <w:lang w:eastAsia="zh-CN"/>
                      <w14:textFill>
                        <w14:solidFill>
                          <w14:schemeClr w14:val="tx1"/>
                        </w14:solidFill>
                      </w14:textFill>
                    </w:rPr>
                  </w:pPr>
                  <w:r>
                    <w:rPr>
                      <w:rFonts w:hint="eastAsia"/>
                      <w:color w:val="000000" w:themeColor="text1"/>
                      <w:kern w:val="0"/>
                      <w:szCs w:val="28"/>
                      <w:lang w:eastAsia="zh-CN"/>
                      <w14:textFill>
                        <w14:solidFill>
                          <w14:schemeClr w14:val="tx1"/>
                        </w14:solidFill>
                      </w14:textFill>
                    </w:rPr>
                    <w:t>注塑成型工序</w:t>
                  </w:r>
                </w:p>
              </w:tc>
            </w:tr>
          </w:tbl>
          <w:p>
            <w:pPr>
              <w:spacing w:line="360" w:lineRule="auto"/>
              <w:rPr>
                <w:b/>
                <w:bCs/>
                <w:color w:val="000000" w:themeColor="text1"/>
                <w:sz w:val="24"/>
                <w:szCs w:val="22"/>
                <w14:textFill>
                  <w14:solidFill>
                    <w14:schemeClr w14:val="tx1"/>
                  </w14:solidFill>
                </w14:textFill>
              </w:rPr>
            </w:pPr>
            <w:r>
              <w:rPr>
                <w:b/>
                <w:bCs/>
                <w:color w:val="000000" w:themeColor="text1"/>
                <w:sz w:val="24"/>
                <w:szCs w:val="22"/>
                <w14:textFill>
                  <w14:solidFill>
                    <w14:schemeClr w14:val="tx1"/>
                  </w14:solidFill>
                </w14:textFill>
              </w:rPr>
              <w:t>工程内容及规模（不够时可附另页）：</w:t>
            </w:r>
          </w:p>
          <w:p>
            <w:pPr>
              <w:spacing w:line="360" w:lineRule="auto"/>
              <w:ind w:firstLine="480" w:firstLineChars="200"/>
              <w:rPr>
                <w:b/>
                <w:color w:val="000000" w:themeColor="text1"/>
                <w:sz w:val="24"/>
                <w:szCs w:val="22"/>
                <w14:textFill>
                  <w14:solidFill>
                    <w14:schemeClr w14:val="tx1"/>
                  </w14:solidFill>
                </w14:textFill>
              </w:rPr>
            </w:pPr>
            <w:r>
              <w:rPr>
                <w:b/>
                <w:color w:val="000000" w:themeColor="text1"/>
                <w:sz w:val="24"/>
                <w:szCs w:val="22"/>
                <w14:textFill>
                  <w14:solidFill>
                    <w14:schemeClr w14:val="tx1"/>
                  </w14:solidFill>
                </w14:textFill>
              </w:rPr>
              <w:t>1、项目概况</w:t>
            </w:r>
          </w:p>
          <w:p>
            <w:pPr>
              <w:spacing w:line="360" w:lineRule="auto"/>
              <w:ind w:firstLine="480" w:firstLineChars="200"/>
              <w:rPr>
                <w:color w:val="000000" w:themeColor="text1"/>
                <w:sz w:val="24"/>
                <w:szCs w:val="24"/>
                <w14:textFill>
                  <w14:solidFill>
                    <w14:schemeClr w14:val="tx1"/>
                  </w14:solidFill>
                </w14:textFill>
              </w:rPr>
            </w:pPr>
            <w:r>
              <w:rPr>
                <w:rFonts w:hint="eastAsia"/>
                <w:color w:val="000000" w:themeColor="text1"/>
                <w:kern w:val="0"/>
                <w:sz w:val="24"/>
                <w:szCs w:val="24"/>
                <w:lang w:eastAsia="zh-CN"/>
                <w14:textFill>
                  <w14:solidFill>
                    <w14:schemeClr w14:val="tx1"/>
                  </w14:solidFill>
                </w14:textFill>
              </w:rPr>
              <w:t>江苏</w:t>
            </w:r>
            <w:r>
              <w:rPr>
                <w:rFonts w:hint="eastAsia" w:ascii="Times New Roman" w:hAnsi="Times New Roman" w:cs="Times New Roman"/>
                <w:color w:val="000000" w:themeColor="text1"/>
                <w:kern w:val="0"/>
                <w:sz w:val="24"/>
                <w:szCs w:val="24"/>
                <w:lang w:eastAsia="zh-CN"/>
                <w14:textFill>
                  <w14:solidFill>
                    <w14:schemeClr w14:val="tx1"/>
                  </w14:solidFill>
                </w14:textFill>
              </w:rPr>
              <w:t>华益</w:t>
            </w:r>
            <w:r>
              <w:rPr>
                <w:rFonts w:hint="eastAsia" w:ascii="Times New Roman" w:hAnsi="Times New Roman" w:cs="Times New Roman"/>
                <w:color w:val="000000" w:themeColor="text1"/>
                <w:kern w:val="0"/>
                <w:sz w:val="24"/>
                <w:szCs w:val="24"/>
                <w:lang w:val="en-US" w:eastAsia="zh-CN"/>
                <w14:textFill>
                  <w14:solidFill>
                    <w14:schemeClr w14:val="tx1"/>
                  </w14:solidFill>
                </w14:textFill>
              </w:rPr>
              <w:t>壹品</w:t>
            </w:r>
            <w:r>
              <w:rPr>
                <w:rFonts w:hint="eastAsia" w:ascii="Times New Roman" w:hAnsi="Times New Roman" w:cs="Times New Roman"/>
                <w:color w:val="000000" w:themeColor="text1"/>
                <w:kern w:val="0"/>
                <w:sz w:val="24"/>
                <w:szCs w:val="24"/>
                <w:lang w:eastAsia="zh-CN"/>
                <w14:textFill>
                  <w14:solidFill>
                    <w14:schemeClr w14:val="tx1"/>
                  </w14:solidFill>
                </w14:textFill>
              </w:rPr>
              <w:t>医疗</w:t>
            </w:r>
            <w:r>
              <w:rPr>
                <w:rFonts w:hint="eastAsia"/>
                <w:color w:val="000000" w:themeColor="text1"/>
                <w:kern w:val="0"/>
                <w:sz w:val="24"/>
                <w:szCs w:val="24"/>
                <w:lang w:eastAsia="zh-CN"/>
                <w14:textFill>
                  <w14:solidFill>
                    <w14:schemeClr w14:val="tx1"/>
                  </w14:solidFill>
                </w14:textFill>
              </w:rPr>
              <w:t>科技有限公司</w:t>
            </w:r>
            <w:r>
              <w:rPr>
                <w:rFonts w:hint="eastAsia"/>
                <w:color w:val="000000" w:themeColor="text1"/>
                <w:kern w:val="0"/>
                <w:sz w:val="24"/>
                <w:szCs w:val="24"/>
                <w14:textFill>
                  <w14:solidFill>
                    <w14:schemeClr w14:val="tx1"/>
                  </w14:solidFill>
                </w14:textFill>
              </w:rPr>
              <w:t>成立于20</w:t>
            </w:r>
            <w:r>
              <w:rPr>
                <w:rFonts w:hint="eastAsia"/>
                <w:color w:val="000000" w:themeColor="text1"/>
                <w:kern w:val="0"/>
                <w:sz w:val="24"/>
                <w:szCs w:val="24"/>
                <w:lang w:val="en-US" w:eastAsia="zh-CN"/>
                <w14:textFill>
                  <w14:solidFill>
                    <w14:schemeClr w14:val="tx1"/>
                  </w14:solidFill>
                </w14:textFill>
              </w:rPr>
              <w:t>20</w:t>
            </w:r>
            <w:r>
              <w:rPr>
                <w:rFonts w:hint="eastAsia"/>
                <w:color w:val="000000" w:themeColor="text1"/>
                <w:kern w:val="0"/>
                <w:sz w:val="24"/>
                <w:szCs w:val="24"/>
                <w14:textFill>
                  <w14:solidFill>
                    <w14:schemeClr w14:val="tx1"/>
                  </w14:solidFill>
                </w14:textFill>
              </w:rPr>
              <w:t>年</w:t>
            </w:r>
            <w:r>
              <w:rPr>
                <w:rFonts w:hint="eastAsia"/>
                <w:color w:val="000000" w:themeColor="text1"/>
                <w:kern w:val="0"/>
                <w:sz w:val="24"/>
                <w:szCs w:val="24"/>
                <w:lang w:val="en-US" w:eastAsia="zh-CN"/>
                <w14:textFill>
                  <w14:solidFill>
                    <w14:schemeClr w14:val="tx1"/>
                  </w14:solidFill>
                </w14:textFill>
              </w:rPr>
              <w:t>09</w:t>
            </w:r>
            <w:r>
              <w:rPr>
                <w:rFonts w:hint="eastAsia"/>
                <w:color w:val="000000" w:themeColor="text1"/>
                <w:kern w:val="0"/>
                <w:sz w:val="24"/>
                <w:szCs w:val="24"/>
                <w14:textFill>
                  <w14:solidFill>
                    <w14:schemeClr w14:val="tx1"/>
                  </w14:solidFill>
                </w14:textFill>
              </w:rPr>
              <w:t>月1</w:t>
            </w:r>
            <w:r>
              <w:rPr>
                <w:rFonts w:hint="eastAsia"/>
                <w:color w:val="000000" w:themeColor="text1"/>
                <w:kern w:val="0"/>
                <w:sz w:val="24"/>
                <w:szCs w:val="24"/>
                <w:lang w:val="en-US" w:eastAsia="zh-CN"/>
                <w14:textFill>
                  <w14:solidFill>
                    <w14:schemeClr w14:val="tx1"/>
                  </w14:solidFill>
                </w14:textFill>
              </w:rPr>
              <w:t>7</w:t>
            </w:r>
            <w:r>
              <w:rPr>
                <w:rFonts w:hint="eastAsia"/>
                <w:color w:val="000000" w:themeColor="text1"/>
                <w:kern w:val="0"/>
                <w:sz w:val="24"/>
                <w:szCs w:val="24"/>
                <w14:textFill>
                  <w14:solidFill>
                    <w14:schemeClr w14:val="tx1"/>
                  </w14:solidFill>
                </w14:textFill>
              </w:rPr>
              <w:t>日，</w:t>
            </w:r>
            <w:r>
              <w:rPr>
                <w:rFonts w:hint="eastAsia"/>
                <w:color w:val="000000" w:themeColor="text1"/>
                <w:sz w:val="24"/>
                <w:szCs w:val="24"/>
                <w14:textFill>
                  <w14:solidFill>
                    <w14:schemeClr w14:val="tx1"/>
                  </w14:solidFill>
                </w14:textFill>
              </w:rPr>
              <w:t>统一社会信用代码为91320413</w:t>
            </w:r>
            <w:r>
              <w:rPr>
                <w:rFonts w:hint="eastAsia"/>
                <w:color w:val="000000" w:themeColor="text1"/>
                <w:sz w:val="24"/>
                <w:szCs w:val="24"/>
                <w:lang w:val="en-US" w:eastAsia="zh-CN"/>
                <w14:textFill>
                  <w14:solidFill>
                    <w14:schemeClr w14:val="tx1"/>
                  </w14:solidFill>
                </w14:textFill>
              </w:rPr>
              <w:t>MA22FR4620</w:t>
            </w:r>
            <w:r>
              <w:rPr>
                <w:rFonts w:hint="eastAsia"/>
                <w:color w:val="000000" w:themeColor="text1"/>
                <w:sz w:val="24"/>
                <w:szCs w:val="24"/>
                <w14:textFill>
                  <w14:solidFill>
                    <w14:schemeClr w14:val="tx1"/>
                  </w14:solidFill>
                </w14:textFill>
              </w:rPr>
              <w:t>，公司注册地址为常州市金坛区华城路1668号3号楼，主要经营范围为：许可项目</w:t>
            </w:r>
            <w:r>
              <w:rPr>
                <w:rFonts w:hint="eastAsia"/>
                <w:color w:val="000000" w:themeColor="text1"/>
                <w:sz w:val="24"/>
                <w:szCs w:val="24"/>
                <w:lang w:eastAsia="zh-CN"/>
                <w14:textFill>
                  <w14:solidFill>
                    <w14:schemeClr w14:val="tx1"/>
                  </w14:solidFill>
                </w14:textFill>
              </w:rPr>
              <w:t>：</w:t>
            </w:r>
            <w:r>
              <w:rPr>
                <w:rFonts w:hint="eastAsia"/>
                <w:color w:val="000000" w:themeColor="text1"/>
                <w:sz w:val="24"/>
                <w:szCs w:val="24"/>
                <w14:textFill>
                  <w14:solidFill>
                    <w14:schemeClr w14:val="tx1"/>
                  </w14:solidFill>
                </w14:textFill>
              </w:rPr>
              <w:t>第三类医疗器械生产:第三类医疗器械经营:第二类医疗器械生产，货物进出口</w:t>
            </w:r>
            <w:r>
              <w:rPr>
                <w:rFonts w:hint="eastAsia"/>
                <w:color w:val="000000" w:themeColor="text1"/>
                <w:sz w:val="24"/>
                <w:szCs w:val="24"/>
                <w:lang w:eastAsia="zh-CN"/>
                <w14:textFill>
                  <w14:solidFill>
                    <w14:schemeClr w14:val="tx1"/>
                  </w14:solidFill>
                </w14:textFill>
              </w:rPr>
              <w:t>；</w:t>
            </w:r>
            <w:r>
              <w:rPr>
                <w:rFonts w:hint="eastAsia"/>
                <w:color w:val="000000" w:themeColor="text1"/>
                <w:sz w:val="24"/>
                <w:szCs w:val="24"/>
                <w14:textFill>
                  <w14:solidFill>
                    <w14:schemeClr w14:val="tx1"/>
                  </w14:solidFill>
                </w14:textFill>
              </w:rPr>
              <w:t>技术进出口(依法须经批准的项目，经相关部门批准后方可开展经营活动，具体经营项目以审批结果为准)</w:t>
            </w:r>
            <w:r>
              <w:rPr>
                <w:rFonts w:hint="eastAsia"/>
                <w:color w:val="000000" w:themeColor="text1"/>
                <w:sz w:val="24"/>
                <w:szCs w:val="24"/>
                <w:lang w:eastAsia="zh-CN"/>
                <w14:textFill>
                  <w14:solidFill>
                    <w14:schemeClr w14:val="tx1"/>
                  </w14:solidFill>
                </w14:textFill>
              </w:rPr>
              <w:t>；一般</w:t>
            </w:r>
            <w:r>
              <w:rPr>
                <w:rFonts w:hint="eastAsia"/>
                <w:color w:val="000000" w:themeColor="text1"/>
                <w:sz w:val="24"/>
                <w:szCs w:val="24"/>
                <w14:textFill>
                  <w14:solidFill>
                    <w14:schemeClr w14:val="tx1"/>
                  </w14:solidFill>
                </w14:textFill>
              </w:rPr>
              <w:t>项目</w:t>
            </w:r>
            <w:r>
              <w:rPr>
                <w:rFonts w:hint="eastAsia"/>
                <w:color w:val="000000" w:themeColor="text1"/>
                <w:sz w:val="24"/>
                <w:szCs w:val="24"/>
                <w:lang w:eastAsia="zh-CN"/>
                <w14:textFill>
                  <w14:solidFill>
                    <w14:schemeClr w14:val="tx1"/>
                  </w14:solidFill>
                </w14:textFill>
              </w:rPr>
              <w:t>：</w:t>
            </w:r>
            <w:r>
              <w:rPr>
                <w:rFonts w:hint="eastAsia"/>
                <w:color w:val="000000" w:themeColor="text1"/>
                <w:sz w:val="24"/>
                <w:szCs w:val="24"/>
                <w14:textFill>
                  <w14:solidFill>
                    <w14:schemeClr w14:val="tx1"/>
                  </w14:solidFill>
                </w14:textFill>
              </w:rPr>
              <w:t>技术服务、技术开发，技术咨询、技术交流，技术转让，技术推广第一类医疗器械生产第一类医疗器械销售</w:t>
            </w:r>
            <w:r>
              <w:rPr>
                <w:rFonts w:hint="eastAsia"/>
                <w:color w:val="000000" w:themeColor="text1"/>
                <w:sz w:val="24"/>
                <w:szCs w:val="24"/>
                <w:lang w:eastAsia="zh-CN"/>
                <w14:textFill>
                  <w14:solidFill>
                    <w14:schemeClr w14:val="tx1"/>
                  </w14:solidFill>
                </w14:textFill>
              </w:rPr>
              <w:t>；</w:t>
            </w:r>
            <w:r>
              <w:rPr>
                <w:rFonts w:hint="eastAsia"/>
                <w:color w:val="000000" w:themeColor="text1"/>
                <w:sz w:val="24"/>
                <w:szCs w:val="24"/>
                <w14:textFill>
                  <w14:solidFill>
                    <w14:schemeClr w14:val="tx1"/>
                  </w14:solidFill>
                </w14:textFill>
              </w:rPr>
              <w:t xml:space="preserve">信息咨询服务(不含许可类信息咨询服务) </w:t>
            </w:r>
            <w:r>
              <w:rPr>
                <w:rFonts w:hint="eastAsia"/>
                <w:color w:val="000000" w:themeColor="text1"/>
                <w:sz w:val="24"/>
                <w:szCs w:val="24"/>
                <w:lang w:eastAsia="zh-CN"/>
                <w14:textFill>
                  <w14:solidFill>
                    <w14:schemeClr w14:val="tx1"/>
                  </w14:solidFill>
                </w14:textFill>
              </w:rPr>
              <w:t>；</w:t>
            </w:r>
            <w:r>
              <w:rPr>
                <w:rFonts w:hint="eastAsia"/>
                <w:color w:val="000000" w:themeColor="text1"/>
                <w:sz w:val="24"/>
                <w:szCs w:val="24"/>
                <w14:textFill>
                  <w14:solidFill>
                    <w14:schemeClr w14:val="tx1"/>
                  </w14:solidFill>
                </w14:textFill>
              </w:rPr>
              <w:t>金属材料制造</w:t>
            </w:r>
            <w:r>
              <w:rPr>
                <w:rFonts w:hint="eastAsia"/>
                <w:color w:val="000000" w:themeColor="text1"/>
                <w:sz w:val="24"/>
                <w:szCs w:val="24"/>
                <w:lang w:eastAsia="zh-CN"/>
                <w14:textFill>
                  <w14:solidFill>
                    <w14:schemeClr w14:val="tx1"/>
                  </w14:solidFill>
                </w14:textFill>
              </w:rPr>
              <w:t>；</w:t>
            </w:r>
            <w:r>
              <w:rPr>
                <w:rFonts w:hint="eastAsia"/>
                <w:color w:val="000000" w:themeColor="text1"/>
                <w:sz w:val="24"/>
                <w:szCs w:val="24"/>
                <w14:textFill>
                  <w14:solidFill>
                    <w14:schemeClr w14:val="tx1"/>
                  </w14:solidFill>
                </w14:textFill>
              </w:rPr>
              <w:t>金属材料销售</w:t>
            </w:r>
            <w:r>
              <w:rPr>
                <w:rFonts w:hint="eastAsia"/>
                <w:color w:val="000000" w:themeColor="text1"/>
                <w:sz w:val="24"/>
                <w:szCs w:val="24"/>
                <w:lang w:eastAsia="zh-CN"/>
                <w14:textFill>
                  <w14:solidFill>
                    <w14:schemeClr w14:val="tx1"/>
                  </w14:solidFill>
                </w14:textFill>
              </w:rPr>
              <w:t>；</w:t>
            </w:r>
            <w:r>
              <w:rPr>
                <w:rFonts w:hint="eastAsia"/>
                <w:color w:val="000000" w:themeColor="text1"/>
                <w:sz w:val="24"/>
                <w:szCs w:val="24"/>
                <w14:textFill>
                  <w14:solidFill>
                    <w14:schemeClr w14:val="tx1"/>
                  </w14:solidFill>
                </w14:textFill>
              </w:rPr>
              <w:t>电子产品销售</w:t>
            </w:r>
            <w:r>
              <w:rPr>
                <w:rFonts w:hint="eastAsia"/>
                <w:color w:val="000000" w:themeColor="text1"/>
                <w:sz w:val="24"/>
                <w:szCs w:val="24"/>
                <w:lang w:eastAsia="zh-CN"/>
                <w14:textFill>
                  <w14:solidFill>
                    <w14:schemeClr w14:val="tx1"/>
                  </w14:solidFill>
                </w14:textFill>
              </w:rPr>
              <w:t>；</w:t>
            </w:r>
            <w:r>
              <w:rPr>
                <w:rFonts w:hint="eastAsia"/>
                <w:color w:val="000000" w:themeColor="text1"/>
                <w:sz w:val="24"/>
                <w:szCs w:val="24"/>
                <w14:textFill>
                  <w14:solidFill>
                    <w14:schemeClr w14:val="tx1"/>
                  </w14:solidFill>
                </w14:textFill>
              </w:rPr>
              <w:t>机械设备研发机械设备销售(除依法须经批准的项目外，化营业执照依法自主开展经营活动)。</w:t>
            </w:r>
          </w:p>
          <w:p>
            <w:pPr>
              <w:spacing w:line="360" w:lineRule="auto"/>
              <w:ind w:firstLine="480" w:firstLineChars="200"/>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为了满足市场需求</w:t>
            </w:r>
            <w:r>
              <w:rPr>
                <w:rFonts w:hint="eastAsia"/>
                <w:color w:val="000000" w:themeColor="text1"/>
                <w:sz w:val="24"/>
                <w:szCs w:val="24"/>
                <w14:textFill>
                  <w14:solidFill>
                    <w14:schemeClr w14:val="tx1"/>
                  </w14:solidFill>
                </w14:textFill>
              </w:rPr>
              <w:t>，</w:t>
            </w:r>
            <w:r>
              <w:rPr>
                <w:rFonts w:hint="eastAsia"/>
                <w:color w:val="000000" w:themeColor="text1"/>
                <w:kern w:val="0"/>
                <w:sz w:val="24"/>
                <w:szCs w:val="24"/>
                <w:lang w:eastAsia="zh-CN"/>
                <w14:textFill>
                  <w14:solidFill>
                    <w14:schemeClr w14:val="tx1"/>
                  </w14:solidFill>
                </w14:textFill>
              </w:rPr>
              <w:t>江苏华益壹品医疗科技有限公司</w:t>
            </w:r>
            <w:r>
              <w:rPr>
                <w:rFonts w:hint="eastAsia"/>
                <w:color w:val="000000" w:themeColor="text1"/>
                <w:kern w:val="0"/>
                <w:sz w:val="24"/>
                <w:szCs w:val="24"/>
                <w14:textFill>
                  <w14:solidFill>
                    <w14:schemeClr w14:val="tx1"/>
                  </w14:solidFill>
                </w14:textFill>
              </w:rPr>
              <w:t>计划投资</w:t>
            </w:r>
            <w:r>
              <w:rPr>
                <w:rFonts w:hint="eastAsia"/>
                <w:color w:val="000000" w:themeColor="text1"/>
                <w:kern w:val="0"/>
                <w:sz w:val="24"/>
                <w:szCs w:val="24"/>
                <w:lang w:val="en-US" w:eastAsia="zh-CN"/>
                <w14:textFill>
                  <w14:solidFill>
                    <w14:schemeClr w14:val="tx1"/>
                  </w14:solidFill>
                </w14:textFill>
              </w:rPr>
              <w:t>3000</w:t>
            </w:r>
            <w:r>
              <w:rPr>
                <w:rFonts w:hint="eastAsia"/>
                <w:color w:val="000000" w:themeColor="text1"/>
                <w:kern w:val="0"/>
                <w:sz w:val="24"/>
                <w:szCs w:val="24"/>
                <w14:textFill>
                  <w14:solidFill>
                    <w14:schemeClr w14:val="tx1"/>
                  </w14:solidFill>
                </w14:textFill>
              </w:rPr>
              <w:t>万，</w:t>
            </w:r>
            <w:r>
              <w:rPr>
                <w:rFonts w:hint="eastAsia"/>
                <w:color w:val="000000" w:themeColor="text1"/>
                <w:sz w:val="24"/>
                <w:szCs w:val="24"/>
                <w14:textFill>
                  <w14:solidFill>
                    <w14:schemeClr w14:val="tx1"/>
                  </w14:solidFill>
                </w14:textFill>
              </w:rPr>
              <w:t>购置</w:t>
            </w:r>
            <w:r>
              <w:rPr>
                <w:rFonts w:hint="eastAsia"/>
                <w:color w:val="000000" w:themeColor="text1"/>
                <w:sz w:val="24"/>
                <w:szCs w:val="24"/>
                <w:lang w:eastAsia="zh-CN"/>
                <w14:textFill>
                  <w14:solidFill>
                    <w14:schemeClr w14:val="tx1"/>
                  </w14:solidFill>
                </w14:textFill>
              </w:rPr>
              <w:t>不锈钢锉磨床、镍钛锉车床、注塑机</w:t>
            </w:r>
            <w:r>
              <w:rPr>
                <w:rFonts w:hint="eastAsia"/>
                <w:color w:val="000000" w:themeColor="text1"/>
                <w:sz w:val="24"/>
                <w:szCs w:val="24"/>
                <w14:textFill>
                  <w14:solidFill>
                    <w14:schemeClr w14:val="tx1"/>
                  </w14:solidFill>
                </w14:textFill>
              </w:rPr>
              <w:t>等生产设备，</w:t>
            </w:r>
            <w:r>
              <w:rPr>
                <w:rFonts w:hint="eastAsia"/>
                <w:color w:val="000000" w:themeColor="text1"/>
                <w:kern w:val="0"/>
                <w:sz w:val="24"/>
                <w:szCs w:val="24"/>
                <w14:textFill>
                  <w14:solidFill>
                    <w14:schemeClr w14:val="tx1"/>
                  </w14:solidFill>
                </w14:textFill>
              </w:rPr>
              <w:t>租</w:t>
            </w:r>
            <w:r>
              <w:rPr>
                <w:color w:val="000000" w:themeColor="text1"/>
                <w:sz w:val="24"/>
                <w:szCs w:val="24"/>
                <w14:textFill>
                  <w14:solidFill>
                    <w14:schemeClr w14:val="tx1"/>
                  </w14:solidFill>
                </w14:textFill>
              </w:rPr>
              <w:t>赁江苏</w:t>
            </w:r>
            <w:r>
              <w:rPr>
                <w:rFonts w:hint="eastAsia"/>
                <w:color w:val="000000" w:themeColor="text1"/>
                <w:sz w:val="24"/>
                <w:szCs w:val="24"/>
                <w:lang w:eastAsia="zh-CN"/>
                <w14:textFill>
                  <w14:solidFill>
                    <w14:schemeClr w14:val="tx1"/>
                  </w14:solidFill>
                </w14:textFill>
              </w:rPr>
              <w:t>智谷科技园</w:t>
            </w:r>
            <w:r>
              <w:rPr>
                <w:rFonts w:hint="eastAsia"/>
                <w:color w:val="000000" w:themeColor="text1"/>
                <w:sz w:val="24"/>
                <w:szCs w:val="24"/>
                <w14:textFill>
                  <w14:solidFill>
                    <w14:schemeClr w14:val="tx1"/>
                  </w14:solidFill>
                </w14:textFill>
              </w:rPr>
              <w:t>的闲置厂房（建筑面积：</w:t>
            </w:r>
            <w:r>
              <w:rPr>
                <w:rFonts w:hint="eastAsia"/>
                <w:color w:val="000000" w:themeColor="text1"/>
                <w:sz w:val="24"/>
                <w:szCs w:val="24"/>
                <w:lang w:val="en-US" w:eastAsia="zh-CN"/>
                <w14:textFill>
                  <w14:solidFill>
                    <w14:schemeClr w14:val="tx1"/>
                  </w14:solidFill>
                </w14:textFill>
              </w:rPr>
              <w:t>4428</w:t>
            </w:r>
            <w:r>
              <w:rPr>
                <w:rFonts w:hint="eastAsia"/>
                <w:color w:val="000000" w:themeColor="text1"/>
                <w:sz w:val="24"/>
                <w:szCs w:val="24"/>
                <w14:textFill>
                  <w14:solidFill>
                    <w14:schemeClr w14:val="tx1"/>
                  </w14:solidFill>
                </w14:textFill>
              </w:rPr>
              <w:t>m</w:t>
            </w:r>
            <w:r>
              <w:rPr>
                <w:rFonts w:hint="eastAsia"/>
                <w:color w:val="000000" w:themeColor="text1"/>
                <w:sz w:val="24"/>
                <w:szCs w:val="24"/>
                <w:vertAlign w:val="superscript"/>
                <w14:textFill>
                  <w14:solidFill>
                    <w14:schemeClr w14:val="tx1"/>
                  </w14:solidFill>
                </w14:textFill>
              </w:rPr>
              <w:t>2</w:t>
            </w:r>
            <w:r>
              <w:rPr>
                <w:rFonts w:hint="eastAsia"/>
                <w:color w:val="000000" w:themeColor="text1"/>
                <w:sz w:val="24"/>
                <w:szCs w:val="24"/>
                <w14:textFill>
                  <w14:solidFill>
                    <w14:schemeClr w14:val="tx1"/>
                  </w14:solidFill>
                </w14:textFill>
              </w:rPr>
              <w:t>）用于“新建根管医疗耗材项目”的生产活动。</w:t>
            </w:r>
            <w:r>
              <w:rPr>
                <w:color w:val="000000" w:themeColor="text1"/>
                <w:sz w:val="24"/>
                <w:szCs w:val="24"/>
                <w14:textFill>
                  <w14:solidFill>
                    <w14:schemeClr w14:val="tx1"/>
                  </w14:solidFill>
                </w14:textFill>
              </w:rPr>
              <w:t>项目</w:t>
            </w:r>
            <w:r>
              <w:rPr>
                <w:rFonts w:hint="eastAsia"/>
                <w:color w:val="000000" w:themeColor="text1"/>
                <w:sz w:val="24"/>
                <w:szCs w:val="24"/>
                <w14:textFill>
                  <w14:solidFill>
                    <w14:schemeClr w14:val="tx1"/>
                  </w14:solidFill>
                </w14:textFill>
              </w:rPr>
              <w:t>建成</w:t>
            </w:r>
            <w:r>
              <w:rPr>
                <w:color w:val="000000" w:themeColor="text1"/>
                <w:sz w:val="24"/>
                <w:szCs w:val="24"/>
                <w14:textFill>
                  <w14:solidFill>
                    <w14:schemeClr w14:val="tx1"/>
                  </w14:solidFill>
                </w14:textFill>
              </w:rPr>
              <w:t>投产后，</w:t>
            </w:r>
            <w:r>
              <w:rPr>
                <w:rFonts w:hint="eastAsia"/>
                <w:color w:val="000000" w:themeColor="text1"/>
                <w:sz w:val="24"/>
                <w:szCs w:val="24"/>
                <w:lang w:eastAsia="zh-CN"/>
                <w14:textFill>
                  <w14:solidFill>
                    <w14:schemeClr w14:val="tx1"/>
                  </w14:solidFill>
                </w14:textFill>
              </w:rPr>
              <w:t>可形成年产镍钛根管锉</w:t>
            </w:r>
            <w:r>
              <w:rPr>
                <w:rFonts w:hint="eastAsia"/>
                <w:color w:val="000000" w:themeColor="text1"/>
                <w:sz w:val="24"/>
                <w:szCs w:val="24"/>
                <w:lang w:val="en-US" w:eastAsia="zh-CN"/>
                <w14:textFill>
                  <w14:solidFill>
                    <w14:schemeClr w14:val="tx1"/>
                  </w14:solidFill>
                </w14:textFill>
              </w:rPr>
              <w:t>100万根、不锈钢根管锉100万根和根管锉塑料手柄200万个的生产能力</w:t>
            </w:r>
            <w:r>
              <w:rPr>
                <w:color w:val="000000" w:themeColor="text1"/>
                <w:sz w:val="24"/>
                <w:szCs w:val="24"/>
                <w14:textFill>
                  <w14:solidFill>
                    <w14:schemeClr w14:val="tx1"/>
                  </w14:solidFill>
                </w14:textFill>
              </w:rPr>
              <w:t>。</w:t>
            </w:r>
          </w:p>
          <w:p>
            <w:pPr>
              <w:spacing w:line="360" w:lineRule="auto"/>
              <w:ind w:firstLine="480" w:firstLineChars="200"/>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本项目已于20</w:t>
            </w:r>
            <w:r>
              <w:rPr>
                <w:rFonts w:hint="eastAsia"/>
                <w:color w:val="000000" w:themeColor="text1"/>
                <w:sz w:val="24"/>
                <w:szCs w:val="24"/>
                <w14:textFill>
                  <w14:solidFill>
                    <w14:schemeClr w14:val="tx1"/>
                  </w14:solidFill>
                </w14:textFill>
              </w:rPr>
              <w:t>20</w:t>
            </w:r>
            <w:r>
              <w:rPr>
                <w:color w:val="000000" w:themeColor="text1"/>
                <w:sz w:val="24"/>
                <w:szCs w:val="24"/>
                <w14:textFill>
                  <w14:solidFill>
                    <w14:schemeClr w14:val="tx1"/>
                  </w14:solidFill>
                </w14:textFill>
              </w:rPr>
              <w:t>年</w:t>
            </w:r>
            <w:r>
              <w:rPr>
                <w:rFonts w:hint="eastAsia"/>
                <w:color w:val="000000" w:themeColor="text1"/>
                <w:sz w:val="24"/>
                <w:szCs w:val="24"/>
                <w:lang w:val="en-US" w:eastAsia="zh-CN"/>
                <w14:textFill>
                  <w14:solidFill>
                    <w14:schemeClr w14:val="tx1"/>
                  </w14:solidFill>
                </w14:textFill>
              </w:rPr>
              <w:t>10</w:t>
            </w:r>
            <w:r>
              <w:rPr>
                <w:rFonts w:hint="eastAsia"/>
                <w:color w:val="000000" w:themeColor="text1"/>
                <w:sz w:val="24"/>
                <w:szCs w:val="24"/>
                <w14:textFill>
                  <w14:solidFill>
                    <w14:schemeClr w14:val="tx1"/>
                  </w14:solidFill>
                </w14:textFill>
              </w:rPr>
              <w:t>月</w:t>
            </w:r>
            <w:r>
              <w:rPr>
                <w:rFonts w:hint="eastAsia"/>
                <w:color w:val="000000" w:themeColor="text1"/>
                <w:sz w:val="24"/>
                <w:szCs w:val="24"/>
                <w:lang w:val="en-US" w:eastAsia="zh-CN"/>
                <w14:textFill>
                  <w14:solidFill>
                    <w14:schemeClr w14:val="tx1"/>
                  </w14:solidFill>
                </w14:textFill>
              </w:rPr>
              <w:t>28</w:t>
            </w:r>
            <w:r>
              <w:rPr>
                <w:color w:val="000000" w:themeColor="text1"/>
                <w:sz w:val="24"/>
                <w:szCs w:val="24"/>
                <w14:textFill>
                  <w14:solidFill>
                    <w14:schemeClr w14:val="tx1"/>
                  </w14:solidFill>
                </w14:textFill>
              </w:rPr>
              <w:t>日取得</w:t>
            </w:r>
            <w:r>
              <w:rPr>
                <w:rFonts w:hint="eastAsia"/>
                <w:color w:val="000000" w:themeColor="text1"/>
                <w:sz w:val="24"/>
                <w:lang w:eastAsia="zh-CN"/>
                <w14:textFill>
                  <w14:solidFill>
                    <w14:schemeClr w14:val="tx1"/>
                  </w14:solidFill>
                </w14:textFill>
              </w:rPr>
              <w:t>江苏省金坛经济开发区科技经贸局</w:t>
            </w:r>
            <w:r>
              <w:rPr>
                <w:color w:val="000000" w:themeColor="text1"/>
                <w:sz w:val="24"/>
                <w:szCs w:val="24"/>
                <w14:textFill>
                  <w14:solidFill>
                    <w14:schemeClr w14:val="tx1"/>
                  </w14:solidFill>
                </w14:textFill>
              </w:rPr>
              <w:t>《</w:t>
            </w:r>
            <w:r>
              <w:rPr>
                <w:rFonts w:hint="eastAsia"/>
                <w:color w:val="000000" w:themeColor="text1"/>
                <w:sz w:val="24"/>
                <w:szCs w:val="24"/>
                <w:lang w:eastAsia="zh-CN"/>
                <w14:textFill>
                  <w14:solidFill>
                    <w14:schemeClr w14:val="tx1"/>
                  </w14:solidFill>
                </w14:textFill>
              </w:rPr>
              <w:t>新建根管医疗耗材项目</w:t>
            </w:r>
            <w:r>
              <w:rPr>
                <w:color w:val="000000" w:themeColor="text1"/>
                <w:sz w:val="24"/>
                <w:szCs w:val="24"/>
                <w14:textFill>
                  <w14:solidFill>
                    <w14:schemeClr w14:val="tx1"/>
                  </w14:solidFill>
                </w14:textFill>
              </w:rPr>
              <w:t>》(</w:t>
            </w:r>
            <w:r>
              <w:rPr>
                <w:rFonts w:hint="eastAsia"/>
                <w:color w:val="000000" w:themeColor="text1"/>
                <w:sz w:val="24"/>
                <w14:textFill>
                  <w14:solidFill>
                    <w14:schemeClr w14:val="tx1"/>
                  </w14:solidFill>
                </w14:textFill>
              </w:rPr>
              <w:t>坛发改备</w:t>
            </w:r>
            <w:r>
              <w:rPr>
                <w:color w:val="000000" w:themeColor="text1"/>
                <w:sz w:val="24"/>
                <w14:textFill>
                  <w14:solidFill>
                    <w14:schemeClr w14:val="tx1"/>
                  </w14:solidFill>
                </w14:textFill>
              </w:rPr>
              <w:t>[20</w:t>
            </w:r>
            <w:r>
              <w:rPr>
                <w:rFonts w:hint="eastAsia"/>
                <w:color w:val="000000" w:themeColor="text1"/>
                <w:sz w:val="24"/>
                <w14:textFill>
                  <w14:solidFill>
                    <w14:schemeClr w14:val="tx1"/>
                  </w14:solidFill>
                </w14:textFill>
              </w:rPr>
              <w:t>20</w:t>
            </w:r>
            <w:r>
              <w:rPr>
                <w:color w:val="000000" w:themeColor="text1"/>
                <w:sz w:val="24"/>
                <w14:textFill>
                  <w14:solidFill>
                    <w14:schemeClr w14:val="tx1"/>
                  </w14:solidFill>
                </w14:textFill>
              </w:rPr>
              <w:t>]</w:t>
            </w:r>
            <w:r>
              <w:rPr>
                <w:rFonts w:hint="eastAsia"/>
                <w:color w:val="000000" w:themeColor="text1"/>
                <w:sz w:val="24"/>
                <w:lang w:val="en-US" w:eastAsia="zh-CN"/>
                <w14:textFill>
                  <w14:solidFill>
                    <w14:schemeClr w14:val="tx1"/>
                  </w14:solidFill>
                </w14:textFill>
              </w:rPr>
              <w:t>241</w:t>
            </w:r>
            <w:r>
              <w:rPr>
                <w:color w:val="000000" w:themeColor="text1"/>
                <w:sz w:val="24"/>
                <w14:textFill>
                  <w14:solidFill>
                    <w14:schemeClr w14:val="tx1"/>
                  </w14:solidFill>
                </w14:textFill>
              </w:rPr>
              <w:t>号</w:t>
            </w:r>
            <w:r>
              <w:rPr>
                <w:color w:val="000000" w:themeColor="text1"/>
                <w:sz w:val="24"/>
                <w:szCs w:val="24"/>
                <w14:textFill>
                  <w14:solidFill>
                    <w14:schemeClr w14:val="tx1"/>
                  </w14:solidFill>
                </w14:textFill>
              </w:rPr>
              <w:t>)，项目编号为</w:t>
            </w:r>
            <w:r>
              <w:rPr>
                <w:rFonts w:hint="eastAsia"/>
                <w:color w:val="000000" w:themeColor="text1"/>
                <w:sz w:val="24"/>
                <w:szCs w:val="24"/>
                <w14:textFill>
                  <w14:solidFill>
                    <w14:schemeClr w14:val="tx1"/>
                  </w14:solidFill>
                </w14:textFill>
              </w:rPr>
              <w:t>2020-3204</w:t>
            </w:r>
            <w:r>
              <w:rPr>
                <w:rFonts w:hint="eastAsia"/>
                <w:color w:val="000000" w:themeColor="text1"/>
                <w:sz w:val="24"/>
                <w:szCs w:val="24"/>
                <w:lang w:val="en-US" w:eastAsia="zh-CN"/>
                <w14:textFill>
                  <w14:solidFill>
                    <w14:schemeClr w14:val="tx1"/>
                  </w14:solidFill>
                </w14:textFill>
              </w:rPr>
              <w:t>58</w:t>
            </w:r>
            <w:r>
              <w:rPr>
                <w:rFonts w:hint="eastAsia"/>
                <w:color w:val="000000" w:themeColor="text1"/>
                <w:sz w:val="24"/>
                <w:szCs w:val="24"/>
                <w14:textFill>
                  <w14:solidFill>
                    <w14:schemeClr w14:val="tx1"/>
                  </w14:solidFill>
                </w14:textFill>
              </w:rPr>
              <w:t>-2</w:t>
            </w:r>
            <w:r>
              <w:rPr>
                <w:rFonts w:hint="eastAsia"/>
                <w:color w:val="000000" w:themeColor="text1"/>
                <w:sz w:val="24"/>
                <w:szCs w:val="24"/>
                <w:lang w:val="en-US" w:eastAsia="zh-CN"/>
                <w14:textFill>
                  <w14:solidFill>
                    <w14:schemeClr w14:val="tx1"/>
                  </w14:solidFill>
                </w14:textFill>
              </w:rPr>
              <w:t>7</w:t>
            </w:r>
            <w:r>
              <w:rPr>
                <w:rFonts w:hint="eastAsia"/>
                <w:color w:val="000000" w:themeColor="text1"/>
                <w:sz w:val="24"/>
                <w:szCs w:val="24"/>
                <w14:textFill>
                  <w14:solidFill>
                    <w14:schemeClr w14:val="tx1"/>
                  </w14:solidFill>
                </w14:textFill>
              </w:rPr>
              <w:t>-03-5</w:t>
            </w:r>
            <w:r>
              <w:rPr>
                <w:rFonts w:hint="eastAsia"/>
                <w:color w:val="000000" w:themeColor="text1"/>
                <w:sz w:val="24"/>
                <w:szCs w:val="24"/>
                <w:lang w:val="en-US" w:eastAsia="zh-CN"/>
                <w14:textFill>
                  <w14:solidFill>
                    <w14:schemeClr w14:val="tx1"/>
                  </w14:solidFill>
                </w14:textFill>
              </w:rPr>
              <w:t>68204</w:t>
            </w:r>
            <w:r>
              <w:rPr>
                <w:color w:val="000000" w:themeColor="text1"/>
                <w:sz w:val="24"/>
                <w:szCs w:val="24"/>
                <w14:textFill>
                  <w14:solidFill>
                    <w14:schemeClr w14:val="tx1"/>
                  </w14:solidFill>
                </w14:textFill>
              </w:rPr>
              <w:t>。</w:t>
            </w:r>
          </w:p>
          <w:p>
            <w:pPr>
              <w:spacing w:line="360" w:lineRule="auto"/>
              <w:ind w:firstLine="480" w:firstLineChars="200"/>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遵照《中华人民共和国环境保护法》、《中华人民共和国环境影响评价法》，对照《建设项目环境影响评价分类管理名录》，本项目属于</w:t>
            </w:r>
            <w:r>
              <w:rPr>
                <w:rFonts w:hint="eastAsia"/>
                <w:color w:val="000000" w:themeColor="text1"/>
                <w:sz w:val="24"/>
                <w:szCs w:val="24"/>
                <w14:textFill>
                  <w14:solidFill>
                    <w14:schemeClr w14:val="tx1"/>
                  </w14:solidFill>
                </w14:textFill>
              </w:rPr>
              <w:t>“</w:t>
            </w:r>
            <w:r>
              <w:rPr>
                <w:rFonts w:hint="eastAsia"/>
                <w:color w:val="000000" w:themeColor="text1"/>
                <w:sz w:val="24"/>
                <w:szCs w:val="24"/>
                <w:lang w:eastAsia="zh-CN"/>
                <w14:textFill>
                  <w14:solidFill>
                    <w14:schemeClr w14:val="tx1"/>
                  </w14:solidFill>
                </w14:textFill>
              </w:rPr>
              <w:t>十六</w:t>
            </w:r>
            <w:r>
              <w:rPr>
                <w:color w:val="000000" w:themeColor="text1"/>
                <w:sz w:val="24"/>
                <w:szCs w:val="24"/>
                <w14:textFill>
                  <w14:solidFill>
                    <w14:schemeClr w14:val="tx1"/>
                  </w14:solidFill>
                </w14:textFill>
              </w:rPr>
              <w:t>、</w:t>
            </w:r>
            <w:r>
              <w:rPr>
                <w:rFonts w:hint="eastAsia"/>
                <w:color w:val="000000" w:themeColor="text1"/>
                <w:sz w:val="24"/>
                <w:szCs w:val="24"/>
                <w:lang w:eastAsia="zh-CN"/>
                <w14:textFill>
                  <w14:solidFill>
                    <w14:schemeClr w14:val="tx1"/>
                  </w14:solidFill>
                </w14:textFill>
              </w:rPr>
              <w:t>医疗制造业</w:t>
            </w:r>
            <w:r>
              <w:rPr>
                <w:rFonts w:hint="eastAsia"/>
                <w:color w:val="000000" w:themeColor="text1"/>
                <w:sz w:val="24"/>
                <w:szCs w:val="24"/>
                <w:lang w:val="en-US" w:eastAsia="zh-CN"/>
                <w14:textFill>
                  <w14:solidFill>
                    <w14:schemeClr w14:val="tx1"/>
                  </w14:solidFill>
                </w14:textFill>
              </w:rPr>
              <w:t>43</w:t>
            </w:r>
            <w:r>
              <w:rPr>
                <w:rFonts w:hint="eastAsia"/>
                <w:color w:val="000000" w:themeColor="text1"/>
                <w:sz w:val="24"/>
                <w:szCs w:val="24"/>
                <w:lang w:eastAsia="zh-CN"/>
                <w14:textFill>
                  <w14:solidFill>
                    <w14:schemeClr w14:val="tx1"/>
                  </w14:solidFill>
                </w14:textFill>
              </w:rPr>
              <w:t>卫生材料及医药用品制</w:t>
            </w:r>
            <w:r>
              <w:rPr>
                <w:rFonts w:hint="eastAsia"/>
                <w:color w:val="000000" w:themeColor="text1"/>
                <w:sz w:val="24"/>
                <w:szCs w:val="24"/>
                <w14:textFill>
                  <w14:solidFill>
                    <w14:schemeClr w14:val="tx1"/>
                  </w14:solidFill>
                </w14:textFill>
              </w:rPr>
              <w:t>”类</w:t>
            </w:r>
            <w:r>
              <w:rPr>
                <w:color w:val="000000" w:themeColor="text1"/>
                <w:sz w:val="24"/>
                <w:szCs w:val="24"/>
                <w14:textFill>
                  <w14:solidFill>
                    <w14:schemeClr w14:val="tx1"/>
                  </w14:solidFill>
                </w14:textFill>
              </w:rPr>
              <w:t>，应编制环境影响报告表。为此，</w:t>
            </w:r>
            <w:r>
              <w:rPr>
                <w:rFonts w:hint="eastAsia"/>
                <w:color w:val="000000" w:themeColor="text1"/>
                <w:kern w:val="0"/>
                <w:sz w:val="24"/>
                <w:szCs w:val="24"/>
                <w:lang w:eastAsia="zh-CN"/>
                <w14:textFill>
                  <w14:solidFill>
                    <w14:schemeClr w14:val="tx1"/>
                  </w14:solidFill>
                </w14:textFill>
              </w:rPr>
              <w:t>江苏华益壹品医疗科技有限公司</w:t>
            </w:r>
            <w:r>
              <w:rPr>
                <w:color w:val="000000" w:themeColor="text1"/>
                <w:sz w:val="24"/>
                <w:szCs w:val="24"/>
                <w14:textFill>
                  <w14:solidFill>
                    <w14:schemeClr w14:val="tx1"/>
                  </w14:solidFill>
                </w14:textFill>
              </w:rPr>
              <w:t>委托</w:t>
            </w:r>
            <w:r>
              <w:rPr>
                <w:rFonts w:hint="eastAsia"/>
                <w:color w:val="000000" w:themeColor="text1"/>
                <w:sz w:val="24"/>
                <w:szCs w:val="24"/>
                <w14:textFill>
                  <w14:solidFill>
                    <w14:schemeClr w14:val="tx1"/>
                  </w14:solidFill>
                </w14:textFill>
              </w:rPr>
              <w:t>南京昊晟环保科技有限公司</w:t>
            </w:r>
            <w:r>
              <w:rPr>
                <w:color w:val="000000" w:themeColor="text1"/>
                <w:sz w:val="24"/>
                <w:szCs w:val="24"/>
                <w14:textFill>
                  <w14:solidFill>
                    <w14:schemeClr w14:val="tx1"/>
                  </w14:solidFill>
                </w14:textFill>
              </w:rPr>
              <w:t>承担本项目的环境影响报告表的编制工作。我单位接受委托后，认真研究了该项目的有关资料，在踏勘现场的自然环境状况，调查、收集有关建设项目资料的基础上，根据项目所在区域的环境特征、结合工程污染特性等因素，编制了本项目环境影响报告表。</w:t>
            </w:r>
          </w:p>
          <w:p>
            <w:pPr>
              <w:spacing w:line="360" w:lineRule="auto"/>
              <w:ind w:firstLine="480" w:firstLineChars="200"/>
              <w:rPr>
                <w:b/>
                <w:color w:val="000000" w:themeColor="text1"/>
                <w:kern w:val="0"/>
                <w:sz w:val="24"/>
                <w:szCs w:val="22"/>
                <w14:textFill>
                  <w14:solidFill>
                    <w14:schemeClr w14:val="tx1"/>
                  </w14:solidFill>
                </w14:textFill>
              </w:rPr>
            </w:pPr>
            <w:r>
              <w:rPr>
                <w:b/>
                <w:color w:val="000000" w:themeColor="text1"/>
                <w:kern w:val="0"/>
                <w:sz w:val="24"/>
                <w:szCs w:val="22"/>
                <w14:textFill>
                  <w14:solidFill>
                    <w14:schemeClr w14:val="tx1"/>
                  </w14:solidFill>
                </w14:textFill>
              </w:rPr>
              <w:t>2、工程内容及生产规模</w:t>
            </w:r>
          </w:p>
          <w:p>
            <w:pPr>
              <w:spacing w:line="360" w:lineRule="auto"/>
              <w:ind w:firstLine="360" w:firstLineChars="150"/>
              <w:rPr>
                <w:color w:val="000000" w:themeColor="text1"/>
                <w:sz w:val="24"/>
                <w:szCs w:val="22"/>
                <w14:textFill>
                  <w14:solidFill>
                    <w14:schemeClr w14:val="tx1"/>
                  </w14:solidFill>
                </w14:textFill>
              </w:rPr>
            </w:pPr>
            <w:r>
              <w:rPr>
                <w:color w:val="000000" w:themeColor="text1"/>
                <w:sz w:val="24"/>
                <w:szCs w:val="22"/>
                <w14:textFill>
                  <w14:solidFill>
                    <w14:schemeClr w14:val="tx1"/>
                  </w14:solidFill>
                </w14:textFill>
              </w:rPr>
              <w:t>本项目产品方案见下表。</w:t>
            </w:r>
          </w:p>
          <w:p>
            <w:pPr>
              <w:ind w:firstLine="315" w:firstLineChars="150"/>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表1-</w:t>
            </w:r>
            <w:r>
              <w:rPr>
                <w:rFonts w:hint="eastAsia"/>
                <w:b/>
                <w:color w:val="000000" w:themeColor="text1"/>
                <w:szCs w:val="21"/>
                <w14:textFill>
                  <w14:solidFill>
                    <w14:schemeClr w14:val="tx1"/>
                  </w14:solidFill>
                </w14:textFill>
              </w:rPr>
              <w:t>4</w:t>
            </w:r>
            <w:r>
              <w:rPr>
                <w:b/>
                <w:color w:val="000000" w:themeColor="text1"/>
                <w:szCs w:val="21"/>
                <w14:textFill>
                  <w14:solidFill>
                    <w14:schemeClr w14:val="tx1"/>
                  </w14:solidFill>
                </w14:textFill>
              </w:rPr>
              <w:t xml:space="preserve">  项目产品方案一览表</w:t>
            </w:r>
          </w:p>
          <w:tbl>
            <w:tblPr>
              <w:tblStyle w:val="56"/>
              <w:tblW w:w="4998" w:type="pct"/>
              <w:jc w:val="center"/>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1968"/>
              <w:gridCol w:w="1867"/>
              <w:gridCol w:w="1496"/>
              <w:gridCol w:w="1496"/>
              <w:gridCol w:w="1496"/>
            </w:tblGrid>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63" w:hRule="atLeast"/>
                <w:jc w:val="center"/>
              </w:trPr>
              <w:tc>
                <w:tcPr>
                  <w:tcW w:w="1182" w:type="pct"/>
                  <w:vAlign w:val="center"/>
                </w:tcPr>
                <w:p>
                  <w:pPr>
                    <w:jc w:val="center"/>
                    <w:rPr>
                      <w:b/>
                      <w:color w:val="000000" w:themeColor="text1"/>
                      <w14:textFill>
                        <w14:solidFill>
                          <w14:schemeClr w14:val="tx1"/>
                        </w14:solidFill>
                      </w14:textFill>
                    </w:rPr>
                  </w:pPr>
                  <w:r>
                    <w:rPr>
                      <w:b/>
                      <w:color w:val="000000" w:themeColor="text1"/>
                      <w14:textFill>
                        <w14:solidFill>
                          <w14:schemeClr w14:val="tx1"/>
                        </w14:solidFill>
                      </w14:textFill>
                    </w:rPr>
                    <w:t>产品名称</w:t>
                  </w:r>
                </w:p>
              </w:tc>
              <w:tc>
                <w:tcPr>
                  <w:tcW w:w="1121" w:type="pct"/>
                  <w:vAlign w:val="center"/>
                </w:tcPr>
                <w:p>
                  <w:pPr>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设计能力</w:t>
                  </w:r>
                </w:p>
              </w:tc>
              <w:tc>
                <w:tcPr>
                  <w:tcW w:w="898" w:type="pct"/>
                  <w:vAlign w:val="center"/>
                </w:tcPr>
                <w:p>
                  <w:pPr>
                    <w:jc w:val="center"/>
                    <w:rPr>
                      <w:rFonts w:hint="eastAsia" w:eastAsia="宋体"/>
                      <w:b/>
                      <w:color w:val="000000" w:themeColor="text1"/>
                      <w:szCs w:val="21"/>
                      <w:lang w:eastAsia="zh-CN"/>
                      <w14:textFill>
                        <w14:solidFill>
                          <w14:schemeClr w14:val="tx1"/>
                        </w14:solidFill>
                      </w14:textFill>
                    </w:rPr>
                  </w:pPr>
                  <w:r>
                    <w:rPr>
                      <w:rFonts w:hint="eastAsia"/>
                      <w:b/>
                      <w:color w:val="000000" w:themeColor="text1"/>
                      <w:szCs w:val="21"/>
                      <w:lang w:eastAsia="zh-CN"/>
                      <w14:textFill>
                        <w14:solidFill>
                          <w14:schemeClr w14:val="tx1"/>
                        </w14:solidFill>
                      </w14:textFill>
                    </w:rPr>
                    <w:t>包装方式</w:t>
                  </w:r>
                </w:p>
              </w:tc>
              <w:tc>
                <w:tcPr>
                  <w:tcW w:w="898" w:type="pct"/>
                  <w:vAlign w:val="center"/>
                </w:tcPr>
                <w:p>
                  <w:pPr>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年</w:t>
                  </w:r>
                  <w:r>
                    <w:rPr>
                      <w:rFonts w:hint="eastAsia"/>
                      <w:b/>
                      <w:color w:val="000000" w:themeColor="text1"/>
                      <w:szCs w:val="21"/>
                      <w:lang w:eastAsia="zh-CN"/>
                      <w14:textFill>
                        <w14:solidFill>
                          <w14:schemeClr w14:val="tx1"/>
                        </w14:solidFill>
                      </w14:textFill>
                    </w:rPr>
                    <w:t>生产</w:t>
                  </w:r>
                  <w:r>
                    <w:rPr>
                      <w:b/>
                      <w:color w:val="000000" w:themeColor="text1"/>
                      <w:szCs w:val="21"/>
                      <w14:textFill>
                        <w14:solidFill>
                          <w14:schemeClr w14:val="tx1"/>
                        </w14:solidFill>
                      </w14:textFill>
                    </w:rPr>
                    <w:t>时数</w:t>
                  </w:r>
                </w:p>
              </w:tc>
              <w:tc>
                <w:tcPr>
                  <w:tcW w:w="898" w:type="pct"/>
                  <w:vAlign w:val="center"/>
                </w:tcPr>
                <w:p>
                  <w:pPr>
                    <w:jc w:val="center"/>
                    <w:rPr>
                      <w:rFonts w:hint="eastAsia" w:eastAsia="宋体"/>
                      <w:b/>
                      <w:color w:val="000000" w:themeColor="text1"/>
                      <w:szCs w:val="21"/>
                      <w:lang w:eastAsia="zh-CN"/>
                      <w14:textFill>
                        <w14:solidFill>
                          <w14:schemeClr w14:val="tx1"/>
                        </w14:solidFill>
                      </w14:textFill>
                    </w:rPr>
                  </w:pPr>
                  <w:r>
                    <w:rPr>
                      <w:rFonts w:hint="eastAsia"/>
                      <w:b/>
                      <w:color w:val="000000" w:themeColor="text1"/>
                      <w:szCs w:val="21"/>
                      <w:lang w:eastAsia="zh-CN"/>
                      <w14:textFill>
                        <w14:solidFill>
                          <w14:schemeClr w14:val="tx1"/>
                        </w14:solidFill>
                      </w14:textFill>
                    </w:rPr>
                    <w:t>备注</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63" w:hRule="atLeast"/>
                <w:jc w:val="center"/>
              </w:trPr>
              <w:tc>
                <w:tcPr>
                  <w:tcW w:w="1182" w:type="pct"/>
                  <w:vAlign w:val="center"/>
                </w:tcPr>
                <w:p>
                  <w:pPr>
                    <w:widowControl/>
                    <w:jc w:val="center"/>
                    <w:textAlignment w:val="center"/>
                    <w:rPr>
                      <w:b w:val="0"/>
                      <w:bCs/>
                      <w:color w:val="000000" w:themeColor="text1"/>
                      <w:szCs w:val="21"/>
                      <w14:textFill>
                        <w14:solidFill>
                          <w14:schemeClr w14:val="tx1"/>
                        </w14:solidFill>
                      </w14:textFill>
                    </w:rPr>
                  </w:pPr>
                  <w:r>
                    <w:rPr>
                      <w:rFonts w:hint="eastAsia"/>
                      <w:b w:val="0"/>
                      <w:bCs/>
                      <w:color w:val="000000" w:themeColor="text1"/>
                      <w:szCs w:val="21"/>
                      <w14:textFill>
                        <w14:solidFill>
                          <w14:schemeClr w14:val="tx1"/>
                        </w14:solidFill>
                      </w14:textFill>
                    </w:rPr>
                    <w:t>镍钛根管锉</w:t>
                  </w:r>
                  <w:r>
                    <w:rPr>
                      <w:rFonts w:hint="eastAsia"/>
                      <w:b w:val="0"/>
                      <w:bCs/>
                      <w:color w:val="000000" w:themeColor="text1"/>
                      <w:szCs w:val="21"/>
                      <w14:textFill>
                        <w14:solidFill>
                          <w14:schemeClr w14:val="tx1"/>
                        </w14:solidFill>
                      </w14:textFill>
                    </w:rPr>
                    <w:tab/>
                  </w:r>
                </w:p>
              </w:tc>
              <w:tc>
                <w:tcPr>
                  <w:tcW w:w="1121" w:type="pct"/>
                  <w:vAlign w:val="center"/>
                </w:tcPr>
                <w:p>
                  <w:pPr>
                    <w:widowControl/>
                    <w:jc w:val="center"/>
                    <w:textAlignment w:val="center"/>
                    <w:rPr>
                      <w:rFonts w:hint="default" w:eastAsia="宋体"/>
                      <w:b w:val="0"/>
                      <w:bCs/>
                      <w:color w:val="000000" w:themeColor="text1"/>
                      <w:szCs w:val="22"/>
                      <w:lang w:val="en-US" w:eastAsia="zh-CN"/>
                      <w14:textFill>
                        <w14:solidFill>
                          <w14:schemeClr w14:val="tx1"/>
                        </w14:solidFill>
                      </w14:textFill>
                    </w:rPr>
                  </w:pPr>
                  <w:r>
                    <w:rPr>
                      <w:rFonts w:hint="eastAsia"/>
                      <w:b w:val="0"/>
                      <w:bCs/>
                      <w:color w:val="000000" w:themeColor="text1"/>
                      <w:szCs w:val="21"/>
                      <w14:textFill>
                        <w14:solidFill>
                          <w14:schemeClr w14:val="tx1"/>
                        </w14:solidFill>
                      </w14:textFill>
                    </w:rPr>
                    <w:t>100万</w:t>
                  </w:r>
                  <w:r>
                    <w:rPr>
                      <w:rFonts w:hint="eastAsia"/>
                      <w:b w:val="0"/>
                      <w:bCs/>
                      <w:color w:val="000000" w:themeColor="text1"/>
                      <w:szCs w:val="21"/>
                      <w:lang w:eastAsia="zh-CN"/>
                      <w14:textFill>
                        <w14:solidFill>
                          <w14:schemeClr w14:val="tx1"/>
                        </w14:solidFill>
                      </w14:textFill>
                    </w:rPr>
                    <w:t>根</w:t>
                  </w:r>
                  <w:r>
                    <w:rPr>
                      <w:rFonts w:hint="eastAsia"/>
                      <w:b w:val="0"/>
                      <w:bCs/>
                      <w:color w:val="000000" w:themeColor="text1"/>
                      <w:szCs w:val="21"/>
                      <w:lang w:val="en-US" w:eastAsia="zh-CN"/>
                      <w14:textFill>
                        <w14:solidFill>
                          <w14:schemeClr w14:val="tx1"/>
                        </w14:solidFill>
                      </w14:textFill>
                    </w:rPr>
                    <w:t>/a</w:t>
                  </w:r>
                </w:p>
              </w:tc>
              <w:tc>
                <w:tcPr>
                  <w:tcW w:w="898" w:type="pct"/>
                  <w:vMerge w:val="restart"/>
                  <w:vAlign w:val="center"/>
                </w:tcPr>
                <w:p>
                  <w:pPr>
                    <w:widowControl/>
                    <w:jc w:val="center"/>
                    <w:textAlignment w:val="center"/>
                    <w:rPr>
                      <w:rFonts w:hint="default" w:eastAsia="宋体"/>
                      <w:color w:val="000000" w:themeColor="text1"/>
                      <w:lang w:val="en-US" w:eastAsia="zh-CN"/>
                      <w14:textFill>
                        <w14:solidFill>
                          <w14:schemeClr w14:val="tx1"/>
                        </w14:solidFill>
                      </w14:textFill>
                    </w:rPr>
                  </w:pPr>
                  <w:r>
                    <w:rPr>
                      <w:rFonts w:hint="eastAsia"/>
                      <w:color w:val="000000" w:themeColor="text1"/>
                      <w:lang w:eastAsia="zh-CN"/>
                      <w14:textFill>
                        <w14:solidFill>
                          <w14:schemeClr w14:val="tx1"/>
                        </w14:solidFill>
                      </w14:textFill>
                    </w:rPr>
                    <w:t>盒装，</w:t>
                  </w:r>
                  <w:r>
                    <w:rPr>
                      <w:rFonts w:hint="eastAsia"/>
                      <w:color w:val="000000" w:themeColor="text1"/>
                      <w:lang w:val="en-US" w:eastAsia="zh-CN"/>
                      <w14:textFill>
                        <w14:solidFill>
                          <w14:schemeClr w14:val="tx1"/>
                        </w14:solidFill>
                      </w14:textFill>
                    </w:rPr>
                    <w:t>10只/板，10板/盒</w:t>
                  </w:r>
                </w:p>
              </w:tc>
              <w:tc>
                <w:tcPr>
                  <w:tcW w:w="898" w:type="pct"/>
                  <w:vAlign w:val="center"/>
                </w:tcPr>
                <w:p>
                  <w:pPr>
                    <w:widowControl/>
                    <w:jc w:val="center"/>
                    <w:textAlignment w:val="center"/>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3000h</w:t>
                  </w:r>
                </w:p>
              </w:tc>
              <w:tc>
                <w:tcPr>
                  <w:tcW w:w="898" w:type="pct"/>
                  <w:vMerge w:val="restart"/>
                  <w:vAlign w:val="center"/>
                </w:tcPr>
                <w:p>
                  <w:pPr>
                    <w:widowControl/>
                    <w:jc w:val="center"/>
                    <w:textAlignment w:val="center"/>
                    <w:rPr>
                      <w:rFonts w:hint="eastAsia" w:eastAsia="宋体"/>
                      <w:color w:val="000000" w:themeColor="text1"/>
                      <w:lang w:eastAsia="zh-CN"/>
                      <w14:textFill>
                        <w14:solidFill>
                          <w14:schemeClr w14:val="tx1"/>
                        </w14:solidFill>
                      </w14:textFill>
                    </w:rPr>
                  </w:pPr>
                  <w:r>
                    <w:rPr>
                      <w:rFonts w:hint="eastAsia"/>
                      <w:color w:val="000000" w:themeColor="text1"/>
                      <w:lang w:eastAsia="zh-CN"/>
                      <w14:textFill>
                        <w14:solidFill>
                          <w14:schemeClr w14:val="tx1"/>
                        </w14:solidFill>
                      </w14:textFill>
                    </w:rPr>
                    <w:t>根锉管和塑料手柄组装好出货</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78" w:hRule="atLeast"/>
                <w:jc w:val="center"/>
              </w:trPr>
              <w:tc>
                <w:tcPr>
                  <w:tcW w:w="1182" w:type="pct"/>
                  <w:vAlign w:val="center"/>
                </w:tcPr>
                <w:p>
                  <w:pPr>
                    <w:widowControl/>
                    <w:jc w:val="center"/>
                    <w:textAlignment w:val="center"/>
                    <w:rPr>
                      <w:b w:val="0"/>
                      <w:bCs/>
                      <w:color w:val="000000" w:themeColor="text1"/>
                      <w14:textFill>
                        <w14:solidFill>
                          <w14:schemeClr w14:val="tx1"/>
                        </w14:solidFill>
                      </w14:textFill>
                    </w:rPr>
                  </w:pPr>
                  <w:r>
                    <w:rPr>
                      <w:rFonts w:hint="eastAsia"/>
                      <w:b w:val="0"/>
                      <w:bCs/>
                      <w:color w:val="000000" w:themeColor="text1"/>
                      <w:szCs w:val="21"/>
                      <w14:textFill>
                        <w14:solidFill>
                          <w14:schemeClr w14:val="tx1"/>
                        </w14:solidFill>
                      </w14:textFill>
                    </w:rPr>
                    <w:t>不锈钢根管锉</w:t>
                  </w:r>
                  <w:r>
                    <w:rPr>
                      <w:rFonts w:hint="eastAsia"/>
                      <w:b w:val="0"/>
                      <w:bCs/>
                      <w:color w:val="000000" w:themeColor="text1"/>
                      <w:szCs w:val="21"/>
                      <w14:textFill>
                        <w14:solidFill>
                          <w14:schemeClr w14:val="tx1"/>
                        </w14:solidFill>
                      </w14:textFill>
                    </w:rPr>
                    <w:tab/>
                  </w:r>
                </w:p>
              </w:tc>
              <w:tc>
                <w:tcPr>
                  <w:tcW w:w="1121" w:type="pct"/>
                  <w:vAlign w:val="center"/>
                </w:tcPr>
                <w:p>
                  <w:pPr>
                    <w:widowControl/>
                    <w:jc w:val="center"/>
                    <w:textAlignment w:val="center"/>
                    <w:rPr>
                      <w:b w:val="0"/>
                      <w:bCs/>
                      <w:color w:val="000000" w:themeColor="text1"/>
                      <w:szCs w:val="22"/>
                      <w14:textFill>
                        <w14:solidFill>
                          <w14:schemeClr w14:val="tx1"/>
                        </w14:solidFill>
                      </w14:textFill>
                    </w:rPr>
                  </w:pPr>
                  <w:r>
                    <w:rPr>
                      <w:rFonts w:hint="eastAsia"/>
                      <w:b w:val="0"/>
                      <w:bCs/>
                      <w:color w:val="000000" w:themeColor="text1"/>
                      <w:szCs w:val="21"/>
                      <w14:textFill>
                        <w14:solidFill>
                          <w14:schemeClr w14:val="tx1"/>
                        </w14:solidFill>
                      </w14:textFill>
                    </w:rPr>
                    <w:t>100万</w:t>
                  </w:r>
                  <w:r>
                    <w:rPr>
                      <w:rFonts w:hint="eastAsia"/>
                      <w:b w:val="0"/>
                      <w:bCs/>
                      <w:color w:val="000000" w:themeColor="text1"/>
                      <w:szCs w:val="21"/>
                      <w:lang w:eastAsia="zh-CN"/>
                      <w14:textFill>
                        <w14:solidFill>
                          <w14:schemeClr w14:val="tx1"/>
                        </w14:solidFill>
                      </w14:textFill>
                    </w:rPr>
                    <w:t>根</w:t>
                  </w:r>
                  <w:r>
                    <w:rPr>
                      <w:rFonts w:hint="eastAsia"/>
                      <w:b w:val="0"/>
                      <w:bCs/>
                      <w:color w:val="000000" w:themeColor="text1"/>
                      <w:szCs w:val="21"/>
                      <w:lang w:val="en-US" w:eastAsia="zh-CN"/>
                      <w14:textFill>
                        <w14:solidFill>
                          <w14:schemeClr w14:val="tx1"/>
                        </w14:solidFill>
                      </w14:textFill>
                    </w:rPr>
                    <w:t>/a</w:t>
                  </w:r>
                </w:p>
              </w:tc>
              <w:tc>
                <w:tcPr>
                  <w:tcW w:w="898" w:type="pct"/>
                  <w:vMerge w:val="continue"/>
                  <w:vAlign w:val="center"/>
                </w:tcPr>
                <w:p>
                  <w:pPr>
                    <w:widowControl/>
                    <w:jc w:val="center"/>
                    <w:textAlignment w:val="center"/>
                    <w:rPr>
                      <w:color w:val="000000" w:themeColor="text1"/>
                      <w:szCs w:val="22"/>
                      <w14:textFill>
                        <w14:solidFill>
                          <w14:schemeClr w14:val="tx1"/>
                        </w14:solidFill>
                      </w14:textFill>
                    </w:rPr>
                  </w:pPr>
                </w:p>
              </w:tc>
              <w:tc>
                <w:tcPr>
                  <w:tcW w:w="898" w:type="pct"/>
                  <w:vAlign w:val="center"/>
                </w:tcPr>
                <w:p>
                  <w:pPr>
                    <w:widowControl/>
                    <w:jc w:val="center"/>
                    <w:textAlignment w:val="center"/>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3000h</w:t>
                  </w:r>
                </w:p>
              </w:tc>
              <w:tc>
                <w:tcPr>
                  <w:tcW w:w="898" w:type="pct"/>
                  <w:vMerge w:val="continue"/>
                  <w:vAlign w:val="center"/>
                </w:tcPr>
                <w:p>
                  <w:pPr>
                    <w:widowControl/>
                    <w:jc w:val="center"/>
                    <w:textAlignment w:val="center"/>
                    <w:rPr>
                      <w:rFonts w:hint="eastAsia"/>
                      <w:color w:val="000000" w:themeColor="text1"/>
                      <w14:textFill>
                        <w14:solidFill>
                          <w14:schemeClr w14:val="tx1"/>
                        </w14:solidFill>
                      </w14:textFill>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63" w:hRule="atLeast"/>
                <w:jc w:val="center"/>
              </w:trPr>
              <w:tc>
                <w:tcPr>
                  <w:tcW w:w="1182" w:type="pct"/>
                  <w:vAlign w:val="center"/>
                </w:tcPr>
                <w:p>
                  <w:pPr>
                    <w:widowControl/>
                    <w:jc w:val="center"/>
                    <w:textAlignment w:val="center"/>
                    <w:rPr>
                      <w:b w:val="0"/>
                      <w:bCs/>
                      <w:color w:val="000000" w:themeColor="text1"/>
                      <w14:textFill>
                        <w14:solidFill>
                          <w14:schemeClr w14:val="tx1"/>
                        </w14:solidFill>
                      </w14:textFill>
                    </w:rPr>
                  </w:pPr>
                  <w:r>
                    <w:rPr>
                      <w:rFonts w:hint="eastAsia"/>
                      <w:b w:val="0"/>
                      <w:bCs/>
                      <w:color w:val="000000" w:themeColor="text1"/>
                      <w:szCs w:val="21"/>
                      <w14:textFill>
                        <w14:solidFill>
                          <w14:schemeClr w14:val="tx1"/>
                        </w14:solidFill>
                      </w14:textFill>
                    </w:rPr>
                    <w:t>根管</w:t>
                  </w:r>
                  <w:r>
                    <w:rPr>
                      <w:rFonts w:hint="eastAsia"/>
                      <w:b w:val="0"/>
                      <w:bCs/>
                      <w:color w:val="000000" w:themeColor="text1"/>
                      <w:szCs w:val="21"/>
                      <w:lang w:eastAsia="zh-CN"/>
                      <w14:textFill>
                        <w14:solidFill>
                          <w14:schemeClr w14:val="tx1"/>
                        </w14:solidFill>
                      </w14:textFill>
                    </w:rPr>
                    <w:t>锉</w:t>
                  </w:r>
                  <w:r>
                    <w:rPr>
                      <w:rFonts w:hint="eastAsia"/>
                      <w:b w:val="0"/>
                      <w:bCs/>
                      <w:color w:val="000000" w:themeColor="text1"/>
                      <w:szCs w:val="21"/>
                      <w14:textFill>
                        <w14:solidFill>
                          <w14:schemeClr w14:val="tx1"/>
                        </w14:solidFill>
                      </w14:textFill>
                    </w:rPr>
                    <w:t>塑科手柄</w:t>
                  </w:r>
                  <w:r>
                    <w:rPr>
                      <w:rFonts w:hint="eastAsia"/>
                      <w:b w:val="0"/>
                      <w:bCs/>
                      <w:color w:val="000000" w:themeColor="text1"/>
                      <w:szCs w:val="21"/>
                      <w14:textFill>
                        <w14:solidFill>
                          <w14:schemeClr w14:val="tx1"/>
                        </w14:solidFill>
                      </w14:textFill>
                    </w:rPr>
                    <w:tab/>
                  </w:r>
                </w:p>
              </w:tc>
              <w:tc>
                <w:tcPr>
                  <w:tcW w:w="1121" w:type="pct"/>
                  <w:vAlign w:val="center"/>
                </w:tcPr>
                <w:p>
                  <w:pPr>
                    <w:widowControl/>
                    <w:jc w:val="center"/>
                    <w:textAlignment w:val="center"/>
                    <w:rPr>
                      <w:rFonts w:hint="eastAsia" w:eastAsia="宋体"/>
                      <w:b w:val="0"/>
                      <w:bCs/>
                      <w:color w:val="000000" w:themeColor="text1"/>
                      <w:szCs w:val="22"/>
                      <w:lang w:eastAsia="zh-CN"/>
                      <w14:textFill>
                        <w14:solidFill>
                          <w14:schemeClr w14:val="tx1"/>
                        </w14:solidFill>
                      </w14:textFill>
                    </w:rPr>
                  </w:pPr>
                  <w:r>
                    <w:rPr>
                      <w:rFonts w:hint="eastAsia"/>
                      <w:b w:val="0"/>
                      <w:bCs/>
                      <w:color w:val="000000" w:themeColor="text1"/>
                      <w:szCs w:val="21"/>
                      <w14:textFill>
                        <w14:solidFill>
                          <w14:schemeClr w14:val="tx1"/>
                        </w14:solidFill>
                      </w14:textFill>
                    </w:rPr>
                    <w:t>200万</w:t>
                  </w:r>
                  <w:r>
                    <w:rPr>
                      <w:rFonts w:hint="eastAsia"/>
                      <w:b w:val="0"/>
                      <w:bCs/>
                      <w:color w:val="000000" w:themeColor="text1"/>
                      <w:szCs w:val="21"/>
                      <w:lang w:eastAsia="zh-CN"/>
                      <w14:textFill>
                        <w14:solidFill>
                          <w14:schemeClr w14:val="tx1"/>
                        </w14:solidFill>
                      </w14:textFill>
                    </w:rPr>
                    <w:t>个</w:t>
                  </w:r>
                  <w:r>
                    <w:rPr>
                      <w:rFonts w:hint="eastAsia"/>
                      <w:b w:val="0"/>
                      <w:bCs/>
                      <w:color w:val="000000" w:themeColor="text1"/>
                      <w:szCs w:val="21"/>
                      <w:lang w:val="en-US" w:eastAsia="zh-CN"/>
                      <w14:textFill>
                        <w14:solidFill>
                          <w14:schemeClr w14:val="tx1"/>
                        </w14:solidFill>
                      </w14:textFill>
                    </w:rPr>
                    <w:t>/a</w:t>
                  </w:r>
                </w:p>
              </w:tc>
              <w:tc>
                <w:tcPr>
                  <w:tcW w:w="898" w:type="pct"/>
                  <w:vMerge w:val="continue"/>
                  <w:vAlign w:val="center"/>
                </w:tcPr>
                <w:p>
                  <w:pPr>
                    <w:widowControl/>
                    <w:jc w:val="center"/>
                    <w:textAlignment w:val="center"/>
                    <w:rPr>
                      <w:color w:val="000000" w:themeColor="text1"/>
                      <w:szCs w:val="22"/>
                      <w14:textFill>
                        <w14:solidFill>
                          <w14:schemeClr w14:val="tx1"/>
                        </w14:solidFill>
                      </w14:textFill>
                    </w:rPr>
                  </w:pPr>
                </w:p>
              </w:tc>
              <w:tc>
                <w:tcPr>
                  <w:tcW w:w="898" w:type="pct"/>
                  <w:vAlign w:val="center"/>
                </w:tcPr>
                <w:p>
                  <w:pPr>
                    <w:widowControl/>
                    <w:jc w:val="center"/>
                    <w:textAlignment w:val="center"/>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3000h</w:t>
                  </w:r>
                </w:p>
              </w:tc>
              <w:tc>
                <w:tcPr>
                  <w:tcW w:w="898" w:type="pct"/>
                  <w:vMerge w:val="continue"/>
                  <w:vAlign w:val="center"/>
                </w:tcPr>
                <w:p>
                  <w:pPr>
                    <w:widowControl/>
                    <w:jc w:val="center"/>
                    <w:textAlignment w:val="center"/>
                    <w:rPr>
                      <w:rFonts w:hint="eastAsia"/>
                      <w:color w:val="000000" w:themeColor="text1"/>
                      <w14:textFill>
                        <w14:solidFill>
                          <w14:schemeClr w14:val="tx1"/>
                        </w14:solidFill>
                      </w14:textFill>
                    </w:rPr>
                  </w:pPr>
                </w:p>
              </w:tc>
            </w:tr>
          </w:tbl>
          <w:p>
            <w:pPr>
              <w:spacing w:line="360" w:lineRule="auto"/>
              <w:ind w:firstLine="360" w:firstLineChars="150"/>
              <w:rPr>
                <w:b/>
                <w:bCs/>
                <w:color w:val="000000" w:themeColor="text1"/>
                <w:sz w:val="24"/>
                <w14:textFill>
                  <w14:solidFill>
                    <w14:schemeClr w14:val="tx1"/>
                  </w14:solidFill>
                </w14:textFill>
              </w:rPr>
            </w:pPr>
            <w:r>
              <w:rPr>
                <w:color w:val="000000" w:themeColor="text1"/>
                <w:sz w:val="24"/>
                <w:szCs w:val="22"/>
                <w14:textFill>
                  <w14:solidFill>
                    <w14:schemeClr w14:val="tx1"/>
                  </w14:solidFill>
                </w14:textFill>
              </w:rPr>
              <w:t>本项目主要工程包括生产</w:t>
            </w:r>
            <w:r>
              <w:rPr>
                <w:rFonts w:hint="eastAsia"/>
                <w:color w:val="000000" w:themeColor="text1"/>
                <w:sz w:val="24"/>
                <w:szCs w:val="22"/>
                <w14:textFill>
                  <w14:solidFill>
                    <w14:schemeClr w14:val="tx1"/>
                  </w14:solidFill>
                </w14:textFill>
              </w:rPr>
              <w:t>区</w:t>
            </w:r>
            <w:r>
              <w:rPr>
                <w:color w:val="000000" w:themeColor="text1"/>
                <w:sz w:val="24"/>
                <w:szCs w:val="22"/>
                <w14:textFill>
                  <w14:solidFill>
                    <w14:schemeClr w14:val="tx1"/>
                  </w14:solidFill>
                </w14:textFill>
              </w:rPr>
              <w:t>和办公区等，具体建设内容详见下表。</w:t>
            </w:r>
          </w:p>
          <w:p>
            <w:pPr>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表1-</w:t>
            </w:r>
            <w:r>
              <w:rPr>
                <w:rFonts w:hint="eastAsia"/>
                <w:b/>
                <w:color w:val="000000" w:themeColor="text1"/>
                <w:szCs w:val="21"/>
                <w14:textFill>
                  <w14:solidFill>
                    <w14:schemeClr w14:val="tx1"/>
                  </w14:solidFill>
                </w14:textFill>
              </w:rPr>
              <w:t>5</w:t>
            </w:r>
            <w:r>
              <w:rPr>
                <w:b/>
                <w:color w:val="000000" w:themeColor="text1"/>
                <w:szCs w:val="21"/>
                <w14:textFill>
                  <w14:solidFill>
                    <w14:schemeClr w14:val="tx1"/>
                  </w14:solidFill>
                </w14:textFill>
              </w:rPr>
              <w:t xml:space="preserve">  项目主要工程建设内容</w:t>
            </w:r>
          </w:p>
          <w:tbl>
            <w:tblPr>
              <w:tblStyle w:val="56"/>
              <w:tblW w:w="8434" w:type="dxa"/>
              <w:jc w:val="center"/>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Layout w:type="fixed"/>
              <w:tblCellMar>
                <w:top w:w="0" w:type="dxa"/>
                <w:left w:w="51" w:type="dxa"/>
                <w:bottom w:w="0" w:type="dxa"/>
                <w:right w:w="51" w:type="dxa"/>
              </w:tblCellMar>
            </w:tblPr>
            <w:tblGrid>
              <w:gridCol w:w="705"/>
              <w:gridCol w:w="575"/>
              <w:gridCol w:w="885"/>
              <w:gridCol w:w="2941"/>
              <w:gridCol w:w="2208"/>
              <w:gridCol w:w="998"/>
              <w:gridCol w:w="122"/>
            </w:tblGrid>
            <w:tr>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51" w:type="dxa"/>
                  <w:bottom w:w="0" w:type="dxa"/>
                  <w:right w:w="51" w:type="dxa"/>
                </w:tblCellMar>
              </w:tblPrEx>
              <w:trPr>
                <w:gridAfter w:val="1"/>
                <w:wAfter w:w="122" w:type="dxa"/>
                <w:trHeight w:val="340" w:hRule="atLeast"/>
                <w:jc w:val="center"/>
              </w:trPr>
              <w:tc>
                <w:tcPr>
                  <w:tcW w:w="705" w:type="dxa"/>
                  <w:vAlign w:val="center"/>
                </w:tcPr>
                <w:p>
                  <w:pPr>
                    <w:adjustRightInd w:val="0"/>
                    <w:snapToGrid w:val="0"/>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项目工程</w:t>
                  </w:r>
                </w:p>
              </w:tc>
              <w:tc>
                <w:tcPr>
                  <w:tcW w:w="1460" w:type="dxa"/>
                  <w:gridSpan w:val="2"/>
                  <w:vAlign w:val="center"/>
                </w:tcPr>
                <w:p>
                  <w:pPr>
                    <w:adjustRightInd w:val="0"/>
                    <w:snapToGrid w:val="0"/>
                    <w:jc w:val="center"/>
                    <w:rPr>
                      <w:b/>
                      <w:color w:val="000000" w:themeColor="text1"/>
                      <w:szCs w:val="21"/>
                      <w14:textFill>
                        <w14:solidFill>
                          <w14:schemeClr w14:val="tx1"/>
                        </w14:solidFill>
                      </w14:textFill>
                    </w:rPr>
                  </w:pPr>
                  <w:r>
                    <w:rPr>
                      <w:rFonts w:hint="eastAsia"/>
                      <w:b/>
                      <w:color w:val="000000" w:themeColor="text1"/>
                      <w:szCs w:val="21"/>
                      <w14:textFill>
                        <w14:solidFill>
                          <w14:schemeClr w14:val="tx1"/>
                        </w14:solidFill>
                      </w14:textFill>
                    </w:rPr>
                    <w:t>工程</w:t>
                  </w:r>
                  <w:r>
                    <w:rPr>
                      <w:b/>
                      <w:color w:val="000000" w:themeColor="text1"/>
                      <w:szCs w:val="21"/>
                      <w14:textFill>
                        <w14:solidFill>
                          <w14:schemeClr w14:val="tx1"/>
                        </w14:solidFill>
                      </w14:textFill>
                    </w:rPr>
                    <w:t>名称</w:t>
                  </w:r>
                </w:p>
              </w:tc>
              <w:tc>
                <w:tcPr>
                  <w:tcW w:w="2941" w:type="dxa"/>
                  <w:vAlign w:val="center"/>
                </w:tcPr>
                <w:p>
                  <w:pPr>
                    <w:adjustRightInd w:val="0"/>
                    <w:snapToGrid w:val="0"/>
                    <w:jc w:val="center"/>
                    <w:rPr>
                      <w:b/>
                      <w:color w:val="000000" w:themeColor="text1"/>
                      <w:szCs w:val="21"/>
                      <w14:textFill>
                        <w14:solidFill>
                          <w14:schemeClr w14:val="tx1"/>
                        </w14:solidFill>
                      </w14:textFill>
                    </w:rPr>
                  </w:pPr>
                  <w:r>
                    <w:rPr>
                      <w:rFonts w:hint="eastAsia"/>
                      <w:b/>
                      <w:color w:val="000000" w:themeColor="text1"/>
                      <w:szCs w:val="21"/>
                      <w14:textFill>
                        <w14:solidFill>
                          <w14:schemeClr w14:val="tx1"/>
                        </w14:solidFill>
                      </w14:textFill>
                    </w:rPr>
                    <w:t>工程内容</w:t>
                  </w:r>
                </w:p>
              </w:tc>
              <w:tc>
                <w:tcPr>
                  <w:tcW w:w="2208" w:type="dxa"/>
                  <w:vAlign w:val="center"/>
                </w:tcPr>
                <w:p>
                  <w:pPr>
                    <w:adjustRightInd w:val="0"/>
                    <w:snapToGrid w:val="0"/>
                    <w:jc w:val="center"/>
                    <w:rPr>
                      <w:b/>
                      <w:color w:val="000000" w:themeColor="text1"/>
                      <w:szCs w:val="21"/>
                      <w14:textFill>
                        <w14:solidFill>
                          <w14:schemeClr w14:val="tx1"/>
                        </w14:solidFill>
                      </w14:textFill>
                    </w:rPr>
                  </w:pPr>
                  <w:r>
                    <w:rPr>
                      <w:rFonts w:hint="eastAsia"/>
                      <w:b/>
                      <w:color w:val="000000" w:themeColor="text1"/>
                      <w:szCs w:val="21"/>
                      <w14:textFill>
                        <w14:solidFill>
                          <w14:schemeClr w14:val="tx1"/>
                        </w14:solidFill>
                      </w14:textFill>
                    </w:rPr>
                    <w:t>工程规模</w:t>
                  </w:r>
                </w:p>
              </w:tc>
              <w:tc>
                <w:tcPr>
                  <w:tcW w:w="998" w:type="dxa"/>
                  <w:vAlign w:val="center"/>
                </w:tcPr>
                <w:p>
                  <w:pPr>
                    <w:snapToGrid w:val="0"/>
                    <w:spacing w:line="320" w:lineRule="exact"/>
                    <w:jc w:val="center"/>
                    <w:rPr>
                      <w:b/>
                      <w:bCs/>
                      <w:color w:val="000000" w:themeColor="text1"/>
                      <w:szCs w:val="21"/>
                      <w14:textFill>
                        <w14:solidFill>
                          <w14:schemeClr w14:val="tx1"/>
                        </w14:solidFill>
                      </w14:textFill>
                    </w:rPr>
                  </w:pPr>
                  <w:r>
                    <w:rPr>
                      <w:b/>
                      <w:bCs/>
                      <w:color w:val="000000" w:themeColor="text1"/>
                      <w:szCs w:val="21"/>
                      <w14:textFill>
                        <w14:solidFill>
                          <w14:schemeClr w14:val="tx1"/>
                        </w14:solidFill>
                      </w14:textFill>
                    </w:rPr>
                    <w:t>备注</w:t>
                  </w:r>
                </w:p>
              </w:tc>
            </w:tr>
            <w:tr>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51" w:type="dxa"/>
                  <w:bottom w:w="0" w:type="dxa"/>
                  <w:right w:w="51" w:type="dxa"/>
                </w:tblCellMar>
              </w:tblPrEx>
              <w:trPr>
                <w:gridAfter w:val="1"/>
                <w:wAfter w:w="122" w:type="dxa"/>
                <w:trHeight w:val="744" w:hRule="atLeast"/>
                <w:jc w:val="center"/>
              </w:trPr>
              <w:tc>
                <w:tcPr>
                  <w:tcW w:w="705" w:type="dxa"/>
                  <w:vMerge w:val="restart"/>
                  <w:vAlign w:val="center"/>
                </w:tcPr>
                <w:p>
                  <w:pPr>
                    <w:adjustRightInd w:val="0"/>
                    <w:snapToGrid w:val="0"/>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主体工程</w:t>
                  </w:r>
                </w:p>
              </w:tc>
              <w:tc>
                <w:tcPr>
                  <w:tcW w:w="575" w:type="dxa"/>
                  <w:vMerge w:val="restart"/>
                  <w:vAlign w:val="center"/>
                </w:tcPr>
                <w:p>
                  <w:pPr>
                    <w:adjustRightInd w:val="0"/>
                    <w:snapToGrid w:val="0"/>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生产车间</w:t>
                  </w:r>
                </w:p>
              </w:tc>
              <w:tc>
                <w:tcPr>
                  <w:tcW w:w="885" w:type="dxa"/>
                  <w:vAlign w:val="center"/>
                </w:tcPr>
                <w:p>
                  <w:pPr>
                    <w:adjustRightInd w:val="0"/>
                    <w:snapToGrid w:val="0"/>
                    <w:jc w:val="center"/>
                    <w:rPr>
                      <w:rFonts w:hint="eastAsia" w:eastAsia="宋体"/>
                      <w:color w:val="000000" w:themeColor="text1"/>
                      <w:szCs w:val="21"/>
                      <w:lang w:eastAsia="zh-CN"/>
                      <w14:textFill>
                        <w14:solidFill>
                          <w14:schemeClr w14:val="tx1"/>
                        </w14:solidFill>
                      </w14:textFill>
                    </w:rPr>
                  </w:pPr>
                  <w:r>
                    <w:rPr>
                      <w:rFonts w:hint="eastAsia"/>
                      <w:color w:val="000000" w:themeColor="text1"/>
                      <w:szCs w:val="21"/>
                      <w:lang w:eastAsia="zh-CN"/>
                      <w14:textFill>
                        <w14:solidFill>
                          <w14:schemeClr w14:val="tx1"/>
                        </w14:solidFill>
                      </w14:textFill>
                    </w:rPr>
                    <w:t>车间一</w:t>
                  </w:r>
                </w:p>
              </w:tc>
              <w:tc>
                <w:tcPr>
                  <w:tcW w:w="2941" w:type="dxa"/>
                  <w:vAlign w:val="center"/>
                </w:tcPr>
                <w:p>
                  <w:pPr>
                    <w:adjustRightInd w:val="0"/>
                    <w:snapToGrid w:val="0"/>
                    <w:jc w:val="center"/>
                    <w:rPr>
                      <w:rFonts w:hint="default" w:eastAsia="宋体"/>
                      <w:color w:val="000000" w:themeColor="text1"/>
                      <w:szCs w:val="21"/>
                      <w:lang w:val="en-US" w:eastAsia="zh-CN"/>
                      <w14:textFill>
                        <w14:solidFill>
                          <w14:schemeClr w14:val="tx1"/>
                        </w14:solidFill>
                      </w14:textFill>
                    </w:rPr>
                  </w:pPr>
                  <w:r>
                    <w:rPr>
                      <w:rFonts w:hint="eastAsia"/>
                      <w:color w:val="000000" w:themeColor="text1"/>
                      <w:szCs w:val="21"/>
                      <w:lang w:eastAsia="zh-CN"/>
                      <w14:textFill>
                        <w14:solidFill>
                          <w14:schemeClr w14:val="tx1"/>
                        </w14:solidFill>
                      </w14:textFill>
                    </w:rPr>
                    <w:t>布置不锈钢锉磨床、不锈钢锉后续处理设备、钢丝调直设备、注塑机等生产设备，年产</w:t>
                  </w:r>
                  <w:r>
                    <w:rPr>
                      <w:rFonts w:hint="eastAsia"/>
                      <w:b w:val="0"/>
                      <w:bCs/>
                      <w:color w:val="000000" w:themeColor="text1"/>
                      <w:szCs w:val="21"/>
                      <w14:textFill>
                        <w14:solidFill>
                          <w14:schemeClr w14:val="tx1"/>
                        </w14:solidFill>
                      </w14:textFill>
                    </w:rPr>
                    <w:t>不锈钢根管锉</w:t>
                  </w:r>
                  <w:r>
                    <w:rPr>
                      <w:rFonts w:hint="eastAsia"/>
                      <w:b w:val="0"/>
                      <w:bCs/>
                      <w:color w:val="000000" w:themeColor="text1"/>
                      <w:szCs w:val="21"/>
                      <w:lang w:val="en-US" w:eastAsia="zh-CN"/>
                      <w14:textFill>
                        <w14:solidFill>
                          <w14:schemeClr w14:val="tx1"/>
                        </w14:solidFill>
                      </w14:textFill>
                    </w:rPr>
                    <w:t>100万根、</w:t>
                  </w:r>
                  <w:r>
                    <w:rPr>
                      <w:rFonts w:hint="eastAsia"/>
                      <w:b w:val="0"/>
                      <w:bCs/>
                      <w:color w:val="000000" w:themeColor="text1"/>
                      <w:szCs w:val="21"/>
                      <w14:textFill>
                        <w14:solidFill>
                          <w14:schemeClr w14:val="tx1"/>
                        </w14:solidFill>
                      </w14:textFill>
                    </w:rPr>
                    <w:t>根管</w:t>
                  </w:r>
                  <w:r>
                    <w:rPr>
                      <w:rFonts w:hint="eastAsia"/>
                      <w:b w:val="0"/>
                      <w:bCs/>
                      <w:color w:val="000000" w:themeColor="text1"/>
                      <w:szCs w:val="21"/>
                      <w:lang w:eastAsia="zh-CN"/>
                      <w14:textFill>
                        <w14:solidFill>
                          <w14:schemeClr w14:val="tx1"/>
                        </w14:solidFill>
                      </w14:textFill>
                    </w:rPr>
                    <w:t>锉</w:t>
                  </w:r>
                  <w:r>
                    <w:rPr>
                      <w:rFonts w:hint="eastAsia"/>
                      <w:b w:val="0"/>
                      <w:bCs/>
                      <w:color w:val="000000" w:themeColor="text1"/>
                      <w:szCs w:val="21"/>
                      <w14:textFill>
                        <w14:solidFill>
                          <w14:schemeClr w14:val="tx1"/>
                        </w14:solidFill>
                      </w14:textFill>
                    </w:rPr>
                    <w:t>塑科手柄</w:t>
                  </w:r>
                  <w:r>
                    <w:rPr>
                      <w:rFonts w:hint="eastAsia"/>
                      <w:b w:val="0"/>
                      <w:bCs/>
                      <w:color w:val="000000" w:themeColor="text1"/>
                      <w:szCs w:val="21"/>
                      <w:lang w:val="en-US" w:eastAsia="zh-CN"/>
                      <w14:textFill>
                        <w14:solidFill>
                          <w14:schemeClr w14:val="tx1"/>
                        </w14:solidFill>
                      </w14:textFill>
                    </w:rPr>
                    <w:t>200万个</w:t>
                  </w:r>
                </w:p>
              </w:tc>
              <w:tc>
                <w:tcPr>
                  <w:tcW w:w="2208" w:type="dxa"/>
                  <w:vAlign w:val="center"/>
                </w:tcPr>
                <w:p>
                  <w:pPr>
                    <w:adjustRightInd w:val="0"/>
                    <w:snapToGrid w:val="0"/>
                    <w:jc w:val="center"/>
                    <w:rPr>
                      <w:rFonts w:hint="default" w:eastAsia="宋体"/>
                      <w:color w:val="000000" w:themeColor="text1"/>
                      <w:lang w:val="en-US" w:eastAsia="zh-CN"/>
                      <w14:textFill>
                        <w14:solidFill>
                          <w14:schemeClr w14:val="tx1"/>
                        </w14:solidFill>
                      </w14:textFill>
                    </w:rPr>
                  </w:pPr>
                  <w:r>
                    <w:rPr>
                      <w:rFonts w:hint="eastAsia"/>
                      <w:color w:val="000000" w:themeColor="text1"/>
                      <w:lang w:eastAsia="zh-CN"/>
                      <w14:textFill>
                        <w14:solidFill>
                          <w14:schemeClr w14:val="tx1"/>
                        </w14:solidFill>
                      </w14:textFill>
                    </w:rPr>
                    <w:t>位于生产厂房一层，建筑面积约</w:t>
                  </w:r>
                  <w:r>
                    <w:rPr>
                      <w:rFonts w:hint="eastAsia"/>
                      <w:color w:val="000000" w:themeColor="text1"/>
                      <w:lang w:val="en-US" w:eastAsia="zh-CN"/>
                      <w14:textFill>
                        <w14:solidFill>
                          <w14:schemeClr w14:val="tx1"/>
                        </w14:solidFill>
                      </w14:textFill>
                    </w:rPr>
                    <w:t>300m</w:t>
                  </w:r>
                  <w:r>
                    <w:rPr>
                      <w:rFonts w:hint="eastAsia"/>
                      <w:color w:val="000000" w:themeColor="text1"/>
                      <w:vertAlign w:val="superscript"/>
                      <w:lang w:val="en-US" w:eastAsia="zh-CN"/>
                      <w14:textFill>
                        <w14:solidFill>
                          <w14:schemeClr w14:val="tx1"/>
                        </w14:solidFill>
                      </w14:textFill>
                    </w:rPr>
                    <w:t>2</w:t>
                  </w:r>
                </w:p>
              </w:tc>
              <w:tc>
                <w:tcPr>
                  <w:tcW w:w="998" w:type="dxa"/>
                  <w:vMerge w:val="restart"/>
                  <w:vAlign w:val="center"/>
                </w:tcPr>
                <w:p>
                  <w:pPr>
                    <w:snapToGrid w:val="0"/>
                    <w:spacing w:line="320" w:lineRule="exact"/>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依托现有厂房</w:t>
                  </w:r>
                  <w:r>
                    <w:rPr>
                      <w:rFonts w:hint="eastAsia"/>
                      <w:color w:val="000000" w:themeColor="text1"/>
                      <w14:textFill>
                        <w14:solidFill>
                          <w14:schemeClr w14:val="tx1"/>
                        </w14:solidFill>
                      </w14:textFill>
                    </w:rPr>
                    <w:t>新建</w:t>
                  </w:r>
                </w:p>
              </w:tc>
            </w:tr>
            <w:tr>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51" w:type="dxa"/>
                  <w:bottom w:w="0" w:type="dxa"/>
                  <w:right w:w="51" w:type="dxa"/>
                </w:tblCellMar>
              </w:tblPrEx>
              <w:trPr>
                <w:gridAfter w:val="1"/>
                <w:wAfter w:w="122" w:type="dxa"/>
                <w:trHeight w:val="340" w:hRule="atLeast"/>
                <w:jc w:val="center"/>
              </w:trPr>
              <w:tc>
                <w:tcPr>
                  <w:tcW w:w="705" w:type="dxa"/>
                  <w:vMerge w:val="continue"/>
                  <w:vAlign w:val="center"/>
                </w:tcPr>
                <w:p>
                  <w:pPr>
                    <w:adjustRightInd w:val="0"/>
                    <w:snapToGrid w:val="0"/>
                    <w:jc w:val="center"/>
                    <w:rPr>
                      <w:color w:val="000000" w:themeColor="text1"/>
                      <w:szCs w:val="21"/>
                      <w14:textFill>
                        <w14:solidFill>
                          <w14:schemeClr w14:val="tx1"/>
                        </w14:solidFill>
                      </w14:textFill>
                    </w:rPr>
                  </w:pPr>
                </w:p>
              </w:tc>
              <w:tc>
                <w:tcPr>
                  <w:tcW w:w="575" w:type="dxa"/>
                  <w:vMerge w:val="continue"/>
                  <w:vAlign w:val="center"/>
                </w:tcPr>
                <w:p>
                  <w:pPr>
                    <w:adjustRightInd w:val="0"/>
                    <w:snapToGrid w:val="0"/>
                    <w:jc w:val="center"/>
                    <w:rPr>
                      <w:color w:val="000000" w:themeColor="text1"/>
                      <w:szCs w:val="21"/>
                      <w14:textFill>
                        <w14:solidFill>
                          <w14:schemeClr w14:val="tx1"/>
                        </w14:solidFill>
                      </w14:textFill>
                    </w:rPr>
                  </w:pPr>
                </w:p>
              </w:tc>
              <w:tc>
                <w:tcPr>
                  <w:tcW w:w="885" w:type="dxa"/>
                  <w:vAlign w:val="center"/>
                </w:tcPr>
                <w:p>
                  <w:pPr>
                    <w:adjustRightInd w:val="0"/>
                    <w:snapToGrid w:val="0"/>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车间二</w:t>
                  </w:r>
                </w:p>
              </w:tc>
              <w:tc>
                <w:tcPr>
                  <w:tcW w:w="2941" w:type="dxa"/>
                  <w:vAlign w:val="center"/>
                </w:tcPr>
                <w:p>
                  <w:pPr>
                    <w:adjustRightInd w:val="0"/>
                    <w:snapToGrid w:val="0"/>
                    <w:jc w:val="center"/>
                    <w:rPr>
                      <w:rFonts w:hint="default" w:eastAsia="宋体"/>
                      <w:color w:val="000000" w:themeColor="text1"/>
                      <w:szCs w:val="21"/>
                      <w:lang w:val="en-US" w:eastAsia="zh-CN"/>
                      <w14:textFill>
                        <w14:solidFill>
                          <w14:schemeClr w14:val="tx1"/>
                        </w14:solidFill>
                      </w14:textFill>
                    </w:rPr>
                  </w:pPr>
                  <w:r>
                    <w:rPr>
                      <w:rFonts w:hint="eastAsia"/>
                      <w:color w:val="000000" w:themeColor="text1"/>
                      <w:szCs w:val="21"/>
                      <w:lang w:eastAsia="zh-CN"/>
                      <w14:textFill>
                        <w14:solidFill>
                          <w14:schemeClr w14:val="tx1"/>
                        </w14:solidFill>
                      </w14:textFill>
                    </w:rPr>
                    <w:t>布置镍钛锉车床、镍钛锉后续处理设备等生产设备，年产镍钛锉</w:t>
                  </w:r>
                  <w:r>
                    <w:rPr>
                      <w:rFonts w:hint="eastAsia"/>
                      <w:color w:val="000000" w:themeColor="text1"/>
                      <w:szCs w:val="21"/>
                      <w:lang w:val="en-US" w:eastAsia="zh-CN"/>
                      <w14:textFill>
                        <w14:solidFill>
                          <w14:schemeClr w14:val="tx1"/>
                        </w14:solidFill>
                      </w14:textFill>
                    </w:rPr>
                    <w:t>100万根</w:t>
                  </w:r>
                </w:p>
              </w:tc>
              <w:tc>
                <w:tcPr>
                  <w:tcW w:w="2208" w:type="dxa"/>
                  <w:vAlign w:val="center"/>
                </w:tcPr>
                <w:p>
                  <w:pPr>
                    <w:adjustRightInd w:val="0"/>
                    <w:snapToGrid w:val="0"/>
                    <w:jc w:val="center"/>
                    <w:rPr>
                      <w:color w:val="000000" w:themeColor="text1"/>
                      <w14:textFill>
                        <w14:solidFill>
                          <w14:schemeClr w14:val="tx1"/>
                        </w14:solidFill>
                      </w14:textFill>
                    </w:rPr>
                  </w:pPr>
                  <w:r>
                    <w:rPr>
                      <w:rFonts w:hint="eastAsia"/>
                      <w:color w:val="000000" w:themeColor="text1"/>
                      <w:lang w:eastAsia="zh-CN"/>
                      <w14:textFill>
                        <w14:solidFill>
                          <w14:schemeClr w14:val="tx1"/>
                        </w14:solidFill>
                      </w14:textFill>
                    </w:rPr>
                    <w:t>位于生产厂房一层，建筑面积约</w:t>
                  </w:r>
                  <w:r>
                    <w:rPr>
                      <w:rFonts w:hint="eastAsia"/>
                      <w:color w:val="000000" w:themeColor="text1"/>
                      <w:lang w:val="en-US" w:eastAsia="zh-CN"/>
                      <w14:textFill>
                        <w14:solidFill>
                          <w14:schemeClr w14:val="tx1"/>
                        </w14:solidFill>
                      </w14:textFill>
                    </w:rPr>
                    <w:t>300m</w:t>
                  </w:r>
                  <w:r>
                    <w:rPr>
                      <w:rFonts w:hint="eastAsia"/>
                      <w:color w:val="000000" w:themeColor="text1"/>
                      <w:vertAlign w:val="superscript"/>
                      <w:lang w:val="en-US" w:eastAsia="zh-CN"/>
                      <w14:textFill>
                        <w14:solidFill>
                          <w14:schemeClr w14:val="tx1"/>
                        </w14:solidFill>
                      </w14:textFill>
                    </w:rPr>
                    <w:t>2</w:t>
                  </w:r>
                </w:p>
              </w:tc>
              <w:tc>
                <w:tcPr>
                  <w:tcW w:w="998" w:type="dxa"/>
                  <w:vMerge w:val="continue"/>
                  <w:vAlign w:val="center"/>
                </w:tcPr>
                <w:p>
                  <w:pPr>
                    <w:snapToGrid w:val="0"/>
                    <w:spacing w:line="320" w:lineRule="exact"/>
                    <w:jc w:val="center"/>
                    <w:rPr>
                      <w:color w:val="000000" w:themeColor="text1"/>
                      <w:szCs w:val="21"/>
                      <w14:textFill>
                        <w14:solidFill>
                          <w14:schemeClr w14:val="tx1"/>
                        </w14:solidFill>
                      </w14:textFill>
                    </w:rPr>
                  </w:pPr>
                </w:p>
              </w:tc>
            </w:tr>
            <w:tr>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51" w:type="dxa"/>
                  <w:bottom w:w="0" w:type="dxa"/>
                  <w:right w:w="51" w:type="dxa"/>
                </w:tblCellMar>
              </w:tblPrEx>
              <w:trPr>
                <w:gridAfter w:val="1"/>
                <w:wAfter w:w="122" w:type="dxa"/>
                <w:trHeight w:val="340" w:hRule="atLeast"/>
                <w:jc w:val="center"/>
              </w:trPr>
              <w:tc>
                <w:tcPr>
                  <w:tcW w:w="705" w:type="dxa"/>
                  <w:vMerge w:val="continue"/>
                  <w:vAlign w:val="center"/>
                </w:tcPr>
                <w:p>
                  <w:pPr>
                    <w:adjustRightInd w:val="0"/>
                    <w:snapToGrid w:val="0"/>
                    <w:jc w:val="center"/>
                    <w:rPr>
                      <w:color w:val="000000" w:themeColor="text1"/>
                      <w:szCs w:val="21"/>
                      <w14:textFill>
                        <w14:solidFill>
                          <w14:schemeClr w14:val="tx1"/>
                        </w14:solidFill>
                      </w14:textFill>
                    </w:rPr>
                  </w:pPr>
                </w:p>
              </w:tc>
              <w:tc>
                <w:tcPr>
                  <w:tcW w:w="575" w:type="dxa"/>
                  <w:vMerge w:val="continue"/>
                  <w:vAlign w:val="center"/>
                </w:tcPr>
                <w:p>
                  <w:pPr>
                    <w:adjustRightInd w:val="0"/>
                    <w:snapToGrid w:val="0"/>
                    <w:jc w:val="center"/>
                    <w:rPr>
                      <w:color w:val="000000" w:themeColor="text1"/>
                      <w:szCs w:val="21"/>
                      <w14:textFill>
                        <w14:solidFill>
                          <w14:schemeClr w14:val="tx1"/>
                        </w14:solidFill>
                      </w14:textFill>
                    </w:rPr>
                  </w:pPr>
                </w:p>
              </w:tc>
              <w:tc>
                <w:tcPr>
                  <w:tcW w:w="885" w:type="dxa"/>
                  <w:vAlign w:val="center"/>
                </w:tcPr>
                <w:p>
                  <w:pPr>
                    <w:adjustRightInd w:val="0"/>
                    <w:snapToGrid w:val="0"/>
                    <w:jc w:val="center"/>
                    <w:rPr>
                      <w:rFonts w:hint="eastAsia" w:eastAsia="宋体"/>
                      <w:color w:val="000000" w:themeColor="text1"/>
                      <w:szCs w:val="21"/>
                      <w:lang w:eastAsia="zh-CN"/>
                      <w14:textFill>
                        <w14:solidFill>
                          <w14:schemeClr w14:val="tx1"/>
                        </w14:solidFill>
                      </w14:textFill>
                    </w:rPr>
                  </w:pPr>
                  <w:r>
                    <w:rPr>
                      <w:rFonts w:hint="eastAsia"/>
                      <w:color w:val="000000" w:themeColor="text1"/>
                      <w:szCs w:val="21"/>
                      <w:lang w:eastAsia="zh-CN"/>
                      <w14:textFill>
                        <w14:solidFill>
                          <w14:schemeClr w14:val="tx1"/>
                        </w14:solidFill>
                      </w14:textFill>
                    </w:rPr>
                    <w:t>研发车间</w:t>
                  </w:r>
                </w:p>
              </w:tc>
              <w:tc>
                <w:tcPr>
                  <w:tcW w:w="2941" w:type="dxa"/>
                  <w:vAlign w:val="center"/>
                </w:tcPr>
                <w:p>
                  <w:pPr>
                    <w:adjustRightInd w:val="0"/>
                    <w:snapToGrid w:val="0"/>
                    <w:jc w:val="center"/>
                    <w:rPr>
                      <w:rFonts w:hint="eastAsia"/>
                      <w:color w:val="000000" w:themeColor="text1"/>
                      <w:szCs w:val="21"/>
                      <w:lang w:eastAsia="zh-CN"/>
                      <w14:textFill>
                        <w14:solidFill>
                          <w14:schemeClr w14:val="tx1"/>
                        </w14:solidFill>
                      </w14:textFill>
                    </w:rPr>
                  </w:pPr>
                  <w:r>
                    <w:rPr>
                      <w:rFonts w:hint="eastAsia"/>
                      <w:color w:val="000000" w:themeColor="text1"/>
                      <w:szCs w:val="21"/>
                      <w:lang w:eastAsia="zh-CN"/>
                      <w14:textFill>
                        <w14:solidFill>
                          <w14:schemeClr w14:val="tx1"/>
                        </w14:solidFill>
                      </w14:textFill>
                    </w:rPr>
                    <w:t>布置了镍钛锉测拉力机，用于检测产品</w:t>
                  </w:r>
                </w:p>
              </w:tc>
              <w:tc>
                <w:tcPr>
                  <w:tcW w:w="2208" w:type="dxa"/>
                  <w:vAlign w:val="center"/>
                </w:tcPr>
                <w:p>
                  <w:pPr>
                    <w:adjustRightInd w:val="0"/>
                    <w:snapToGrid w:val="0"/>
                    <w:jc w:val="center"/>
                    <w:rPr>
                      <w:rFonts w:hint="eastAsia"/>
                      <w:color w:val="000000" w:themeColor="text1"/>
                      <w:lang w:eastAsia="zh-CN"/>
                      <w14:textFill>
                        <w14:solidFill>
                          <w14:schemeClr w14:val="tx1"/>
                        </w14:solidFill>
                      </w14:textFill>
                    </w:rPr>
                  </w:pPr>
                  <w:r>
                    <w:rPr>
                      <w:rFonts w:hint="eastAsia"/>
                      <w:color w:val="000000" w:themeColor="text1"/>
                      <w:lang w:eastAsia="zh-CN"/>
                      <w14:textFill>
                        <w14:solidFill>
                          <w14:schemeClr w14:val="tx1"/>
                        </w14:solidFill>
                      </w14:textFill>
                    </w:rPr>
                    <w:t>位于生产厂房一层，建筑面积约</w:t>
                  </w:r>
                  <w:r>
                    <w:rPr>
                      <w:rFonts w:hint="eastAsia"/>
                      <w:color w:val="000000" w:themeColor="text1"/>
                      <w:lang w:val="en-US" w:eastAsia="zh-CN"/>
                      <w14:textFill>
                        <w14:solidFill>
                          <w14:schemeClr w14:val="tx1"/>
                        </w14:solidFill>
                      </w14:textFill>
                    </w:rPr>
                    <w:t>326m</w:t>
                  </w:r>
                  <w:r>
                    <w:rPr>
                      <w:rFonts w:hint="eastAsia"/>
                      <w:color w:val="000000" w:themeColor="text1"/>
                      <w:vertAlign w:val="superscript"/>
                      <w:lang w:val="en-US" w:eastAsia="zh-CN"/>
                      <w14:textFill>
                        <w14:solidFill>
                          <w14:schemeClr w14:val="tx1"/>
                        </w14:solidFill>
                      </w14:textFill>
                    </w:rPr>
                    <w:t>2</w:t>
                  </w:r>
                </w:p>
              </w:tc>
              <w:tc>
                <w:tcPr>
                  <w:tcW w:w="998" w:type="dxa"/>
                  <w:vMerge w:val="continue"/>
                  <w:vAlign w:val="center"/>
                </w:tcPr>
                <w:p>
                  <w:pPr>
                    <w:snapToGrid w:val="0"/>
                    <w:spacing w:line="320" w:lineRule="exact"/>
                    <w:jc w:val="center"/>
                    <w:rPr>
                      <w:color w:val="000000" w:themeColor="text1"/>
                      <w:szCs w:val="21"/>
                      <w14:textFill>
                        <w14:solidFill>
                          <w14:schemeClr w14:val="tx1"/>
                        </w14:solidFill>
                      </w14:textFill>
                    </w:rPr>
                  </w:pPr>
                </w:p>
              </w:tc>
            </w:tr>
            <w:tr>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51" w:type="dxa"/>
                  <w:bottom w:w="0" w:type="dxa"/>
                  <w:right w:w="51" w:type="dxa"/>
                </w:tblCellMar>
              </w:tblPrEx>
              <w:trPr>
                <w:gridAfter w:val="1"/>
                <w:wAfter w:w="122" w:type="dxa"/>
                <w:trHeight w:val="69" w:hRule="atLeast"/>
                <w:jc w:val="center"/>
              </w:trPr>
              <w:tc>
                <w:tcPr>
                  <w:tcW w:w="705" w:type="dxa"/>
                  <w:vMerge w:val="restart"/>
                  <w:vAlign w:val="center"/>
                </w:tcPr>
                <w:p>
                  <w:pPr>
                    <w:adjustRightInd w:val="0"/>
                    <w:snapToGrid w:val="0"/>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辅助工程</w:t>
                  </w:r>
                </w:p>
              </w:tc>
              <w:tc>
                <w:tcPr>
                  <w:tcW w:w="1460" w:type="dxa"/>
                  <w:gridSpan w:val="2"/>
                  <w:vAlign w:val="center"/>
                </w:tcPr>
                <w:p>
                  <w:pPr>
                    <w:adjustRightInd w:val="0"/>
                    <w:snapToGrid w:val="0"/>
                    <w:jc w:val="center"/>
                    <w:rPr>
                      <w:rFonts w:hint="eastAsia" w:eastAsia="宋体"/>
                      <w:color w:val="000000" w:themeColor="text1"/>
                      <w:szCs w:val="21"/>
                      <w:lang w:eastAsia="zh-CN"/>
                      <w14:textFill>
                        <w14:solidFill>
                          <w14:schemeClr w14:val="tx1"/>
                        </w14:solidFill>
                      </w14:textFill>
                    </w:rPr>
                  </w:pPr>
                  <w:r>
                    <w:rPr>
                      <w:rFonts w:hint="eastAsia"/>
                      <w:color w:val="000000" w:themeColor="text1"/>
                      <w:szCs w:val="21"/>
                      <w14:textFill>
                        <w14:solidFill>
                          <w14:schemeClr w14:val="tx1"/>
                        </w14:solidFill>
                      </w14:textFill>
                    </w:rPr>
                    <w:t>办公</w:t>
                  </w:r>
                  <w:r>
                    <w:rPr>
                      <w:rFonts w:hint="eastAsia"/>
                      <w:color w:val="000000" w:themeColor="text1"/>
                      <w:szCs w:val="21"/>
                      <w:lang w:eastAsia="zh-CN"/>
                      <w14:textFill>
                        <w14:solidFill>
                          <w14:schemeClr w14:val="tx1"/>
                        </w14:solidFill>
                      </w14:textFill>
                    </w:rPr>
                    <w:t>区</w:t>
                  </w:r>
                </w:p>
              </w:tc>
              <w:tc>
                <w:tcPr>
                  <w:tcW w:w="2941" w:type="dxa"/>
                  <w:vAlign w:val="center"/>
                </w:tcPr>
                <w:p>
                  <w:pPr>
                    <w:adjustRightInd w:val="0"/>
                    <w:snapToGrid w:val="0"/>
                    <w:jc w:val="center"/>
                    <w:rPr>
                      <w:rFonts w:hint="eastAsia" w:eastAsia="宋体"/>
                      <w:color w:val="000000" w:themeColor="text1"/>
                      <w:szCs w:val="21"/>
                      <w:lang w:eastAsia="zh-CN"/>
                      <w14:textFill>
                        <w14:solidFill>
                          <w14:schemeClr w14:val="tx1"/>
                        </w14:solidFill>
                      </w14:textFill>
                    </w:rPr>
                  </w:pPr>
                  <w:r>
                    <w:rPr>
                      <w:rFonts w:hint="eastAsia"/>
                      <w:color w:val="000000" w:themeColor="text1"/>
                      <w:szCs w:val="21"/>
                      <w:lang w:eastAsia="zh-CN"/>
                      <w14:textFill>
                        <w14:solidFill>
                          <w14:schemeClr w14:val="tx1"/>
                        </w14:solidFill>
                      </w14:textFill>
                    </w:rPr>
                    <w:t>一层办公区布置产品展示区、会议室和员工办公室、茶水区等，用于行政办公；二层布置书吧、经理办公室、财务办公室、研发办公室、市场销售办公室等，用于行政办公</w:t>
                  </w:r>
                </w:p>
              </w:tc>
              <w:tc>
                <w:tcPr>
                  <w:tcW w:w="2208" w:type="dxa"/>
                  <w:vAlign w:val="center"/>
                </w:tcPr>
                <w:p>
                  <w:pPr>
                    <w:adjustRightInd w:val="0"/>
                    <w:snapToGrid w:val="0"/>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位于生产厂房内，每层均</w:t>
                  </w:r>
                  <w:r>
                    <w:rPr>
                      <w:rFonts w:hint="eastAsia"/>
                      <w:color w:val="000000" w:themeColor="text1"/>
                      <w:szCs w:val="21"/>
                      <w:lang w:eastAsia="zh-CN"/>
                      <w14:textFill>
                        <w14:solidFill>
                          <w14:schemeClr w14:val="tx1"/>
                        </w14:solidFill>
                      </w14:textFill>
                    </w:rPr>
                    <w:t>设置在西侧</w:t>
                  </w:r>
                  <w:r>
                    <w:rPr>
                      <w:rFonts w:hint="eastAsia"/>
                      <w:color w:val="000000" w:themeColor="text1"/>
                      <w:szCs w:val="21"/>
                      <w14:textFill>
                        <w14:solidFill>
                          <w14:schemeClr w14:val="tx1"/>
                        </w14:solidFill>
                      </w14:textFill>
                    </w:rPr>
                    <w:t>，其总建筑面积约</w:t>
                  </w:r>
                  <w:r>
                    <w:rPr>
                      <w:rFonts w:hint="eastAsia"/>
                      <w:color w:val="000000" w:themeColor="text1"/>
                      <w:szCs w:val="21"/>
                      <w:lang w:val="en-US" w:eastAsia="zh-CN"/>
                      <w14:textFill>
                        <w14:solidFill>
                          <w14:schemeClr w14:val="tx1"/>
                        </w14:solidFill>
                      </w14:textFill>
                    </w:rPr>
                    <w:t>578</w:t>
                  </w:r>
                  <w:r>
                    <w:rPr>
                      <w:rFonts w:hint="eastAsia"/>
                      <w:color w:val="000000" w:themeColor="text1"/>
                      <w:szCs w:val="21"/>
                      <w14:textFill>
                        <w14:solidFill>
                          <w14:schemeClr w14:val="tx1"/>
                        </w14:solidFill>
                      </w14:textFill>
                    </w:rPr>
                    <w:t>m</w:t>
                  </w:r>
                  <w:r>
                    <w:rPr>
                      <w:rFonts w:hint="eastAsia"/>
                      <w:color w:val="000000" w:themeColor="text1"/>
                      <w:szCs w:val="21"/>
                      <w:vertAlign w:val="superscript"/>
                      <w14:textFill>
                        <w14:solidFill>
                          <w14:schemeClr w14:val="tx1"/>
                        </w14:solidFill>
                      </w14:textFill>
                    </w:rPr>
                    <w:t>2</w:t>
                  </w:r>
                </w:p>
              </w:tc>
              <w:tc>
                <w:tcPr>
                  <w:tcW w:w="998" w:type="dxa"/>
                  <w:vAlign w:val="center"/>
                </w:tcPr>
                <w:p>
                  <w:pPr>
                    <w:adjustRightInd w:val="0"/>
                    <w:snapToGrid w:val="0"/>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依托现有厂房</w:t>
                  </w:r>
                  <w:r>
                    <w:rPr>
                      <w:rFonts w:hint="eastAsia"/>
                      <w:color w:val="000000" w:themeColor="text1"/>
                      <w14:textFill>
                        <w14:solidFill>
                          <w14:schemeClr w14:val="tx1"/>
                        </w14:solidFill>
                      </w14:textFill>
                    </w:rPr>
                    <w:t>新建</w:t>
                  </w:r>
                </w:p>
              </w:tc>
            </w:tr>
            <w:tr>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51" w:type="dxa"/>
                  <w:bottom w:w="0" w:type="dxa"/>
                  <w:right w:w="51" w:type="dxa"/>
                </w:tblCellMar>
              </w:tblPrEx>
              <w:trPr>
                <w:gridAfter w:val="1"/>
                <w:wAfter w:w="122" w:type="dxa"/>
                <w:trHeight w:val="69" w:hRule="atLeast"/>
                <w:jc w:val="center"/>
              </w:trPr>
              <w:tc>
                <w:tcPr>
                  <w:tcW w:w="705" w:type="dxa"/>
                  <w:vMerge w:val="continue"/>
                  <w:vAlign w:val="center"/>
                </w:tcPr>
                <w:p>
                  <w:pPr>
                    <w:adjustRightInd w:val="0"/>
                    <w:snapToGrid w:val="0"/>
                    <w:jc w:val="center"/>
                    <w:rPr>
                      <w:color w:val="000000" w:themeColor="text1"/>
                      <w:szCs w:val="21"/>
                      <w14:textFill>
                        <w14:solidFill>
                          <w14:schemeClr w14:val="tx1"/>
                        </w14:solidFill>
                      </w14:textFill>
                    </w:rPr>
                  </w:pPr>
                </w:p>
              </w:tc>
              <w:tc>
                <w:tcPr>
                  <w:tcW w:w="1460" w:type="dxa"/>
                  <w:gridSpan w:val="2"/>
                  <w:vAlign w:val="center"/>
                </w:tcPr>
                <w:p>
                  <w:pPr>
                    <w:adjustRightInd w:val="0"/>
                    <w:snapToGrid w:val="0"/>
                    <w:jc w:val="center"/>
                    <w:rPr>
                      <w:rFonts w:hint="eastAsia" w:eastAsia="宋体"/>
                      <w:color w:val="000000" w:themeColor="text1"/>
                      <w:szCs w:val="21"/>
                      <w:lang w:eastAsia="zh-CN"/>
                      <w14:textFill>
                        <w14:solidFill>
                          <w14:schemeClr w14:val="tx1"/>
                        </w14:solidFill>
                      </w14:textFill>
                    </w:rPr>
                  </w:pPr>
                  <w:r>
                    <w:rPr>
                      <w:rFonts w:hint="eastAsia"/>
                      <w:color w:val="000000" w:themeColor="text1"/>
                      <w:szCs w:val="21"/>
                      <w:lang w:eastAsia="zh-CN"/>
                      <w14:textFill>
                        <w14:solidFill>
                          <w14:schemeClr w14:val="tx1"/>
                        </w14:solidFill>
                      </w14:textFill>
                    </w:rPr>
                    <w:t>经营场所</w:t>
                  </w:r>
                </w:p>
              </w:tc>
              <w:tc>
                <w:tcPr>
                  <w:tcW w:w="2941" w:type="dxa"/>
                  <w:vAlign w:val="center"/>
                </w:tcPr>
                <w:p>
                  <w:pPr>
                    <w:adjustRightInd w:val="0"/>
                    <w:snapToGrid w:val="0"/>
                    <w:jc w:val="center"/>
                    <w:rPr>
                      <w:rFonts w:hint="eastAsia"/>
                      <w:color w:val="000000" w:themeColor="text1"/>
                      <w:szCs w:val="21"/>
                      <w:lang w:val="en-US" w:eastAsia="zh-CN"/>
                      <w14:textFill>
                        <w14:solidFill>
                          <w14:schemeClr w14:val="tx1"/>
                        </w14:solidFill>
                      </w14:textFill>
                    </w:rPr>
                  </w:pPr>
                  <w:r>
                    <w:rPr>
                      <w:rFonts w:hint="eastAsia"/>
                      <w:color w:val="000000" w:themeColor="text1"/>
                      <w:szCs w:val="21"/>
                      <w:lang w:val="en-US" w:eastAsia="zh-CN"/>
                      <w14:textFill>
                        <w14:solidFill>
                          <w14:schemeClr w14:val="tx1"/>
                        </w14:solidFill>
                      </w14:textFill>
                    </w:rPr>
                    <w:t>用于办公、出货</w:t>
                  </w:r>
                </w:p>
              </w:tc>
              <w:tc>
                <w:tcPr>
                  <w:tcW w:w="2208" w:type="dxa"/>
                  <w:vAlign w:val="center"/>
                </w:tcPr>
                <w:p>
                  <w:pPr>
                    <w:adjustRightInd w:val="0"/>
                    <w:snapToGrid w:val="0"/>
                    <w:jc w:val="center"/>
                    <w:rPr>
                      <w:rFonts w:hint="eastAsia"/>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位于生产厂房</w:t>
                  </w:r>
                  <w:r>
                    <w:rPr>
                      <w:rFonts w:hint="eastAsia"/>
                      <w:color w:val="000000" w:themeColor="text1"/>
                      <w:szCs w:val="21"/>
                      <w:lang w:eastAsia="zh-CN"/>
                      <w14:textFill>
                        <w14:solidFill>
                          <w14:schemeClr w14:val="tx1"/>
                        </w14:solidFill>
                      </w14:textFill>
                    </w:rPr>
                    <w:t>一层东侧</w:t>
                  </w:r>
                  <w:r>
                    <w:rPr>
                      <w:rFonts w:hint="eastAsia"/>
                      <w:color w:val="000000" w:themeColor="text1"/>
                      <w:szCs w:val="21"/>
                      <w14:textFill>
                        <w14:solidFill>
                          <w14:schemeClr w14:val="tx1"/>
                        </w14:solidFill>
                      </w14:textFill>
                    </w:rPr>
                    <w:t>，建筑面积约</w:t>
                  </w:r>
                  <w:r>
                    <w:rPr>
                      <w:rFonts w:hint="eastAsia"/>
                      <w:color w:val="000000" w:themeColor="text1"/>
                      <w:szCs w:val="21"/>
                      <w:lang w:val="en-US" w:eastAsia="zh-CN"/>
                      <w14:textFill>
                        <w14:solidFill>
                          <w14:schemeClr w14:val="tx1"/>
                        </w14:solidFill>
                      </w14:textFill>
                    </w:rPr>
                    <w:t>54</w:t>
                  </w:r>
                  <w:r>
                    <w:rPr>
                      <w:rFonts w:hint="eastAsia"/>
                      <w:color w:val="000000" w:themeColor="text1"/>
                      <w:szCs w:val="21"/>
                      <w14:textFill>
                        <w14:solidFill>
                          <w14:schemeClr w14:val="tx1"/>
                        </w14:solidFill>
                      </w14:textFill>
                    </w:rPr>
                    <w:t>m</w:t>
                  </w:r>
                  <w:r>
                    <w:rPr>
                      <w:rFonts w:hint="eastAsia"/>
                      <w:color w:val="000000" w:themeColor="text1"/>
                      <w:szCs w:val="21"/>
                      <w:vertAlign w:val="superscript"/>
                      <w14:textFill>
                        <w14:solidFill>
                          <w14:schemeClr w14:val="tx1"/>
                        </w14:solidFill>
                      </w14:textFill>
                    </w:rPr>
                    <w:t>2</w:t>
                  </w:r>
                </w:p>
              </w:tc>
              <w:tc>
                <w:tcPr>
                  <w:tcW w:w="998" w:type="dxa"/>
                  <w:vAlign w:val="center"/>
                </w:tcPr>
                <w:p>
                  <w:pPr>
                    <w:adjustRightInd w:val="0"/>
                    <w:snapToGrid w:val="0"/>
                    <w:jc w:val="center"/>
                    <w:rPr>
                      <w:rFonts w:hint="eastAsia"/>
                      <w:color w:val="000000" w:themeColor="text1"/>
                      <w:szCs w:val="21"/>
                      <w14:textFill>
                        <w14:solidFill>
                          <w14:schemeClr w14:val="tx1"/>
                        </w14:solidFill>
                      </w14:textFill>
                    </w:rPr>
                  </w:pPr>
                </w:p>
              </w:tc>
            </w:tr>
            <w:tr>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51" w:type="dxa"/>
                  <w:bottom w:w="0" w:type="dxa"/>
                  <w:right w:w="51" w:type="dxa"/>
                </w:tblCellMar>
              </w:tblPrEx>
              <w:trPr>
                <w:gridAfter w:val="1"/>
                <w:wAfter w:w="122" w:type="dxa"/>
                <w:trHeight w:val="69" w:hRule="atLeast"/>
                <w:jc w:val="center"/>
              </w:trPr>
              <w:tc>
                <w:tcPr>
                  <w:tcW w:w="705" w:type="dxa"/>
                  <w:vMerge w:val="continue"/>
                  <w:vAlign w:val="center"/>
                </w:tcPr>
                <w:p>
                  <w:pPr>
                    <w:adjustRightInd w:val="0"/>
                    <w:snapToGrid w:val="0"/>
                    <w:jc w:val="center"/>
                    <w:rPr>
                      <w:color w:val="000000" w:themeColor="text1"/>
                      <w:szCs w:val="21"/>
                      <w14:textFill>
                        <w14:solidFill>
                          <w14:schemeClr w14:val="tx1"/>
                        </w14:solidFill>
                      </w14:textFill>
                    </w:rPr>
                  </w:pPr>
                </w:p>
              </w:tc>
              <w:tc>
                <w:tcPr>
                  <w:tcW w:w="1460" w:type="dxa"/>
                  <w:gridSpan w:val="2"/>
                  <w:vAlign w:val="center"/>
                </w:tcPr>
                <w:p>
                  <w:pPr>
                    <w:adjustRightInd w:val="0"/>
                    <w:snapToGrid w:val="0"/>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休息区</w:t>
                  </w:r>
                </w:p>
              </w:tc>
              <w:tc>
                <w:tcPr>
                  <w:tcW w:w="2941" w:type="dxa"/>
                  <w:vAlign w:val="center"/>
                </w:tcPr>
                <w:p>
                  <w:pPr>
                    <w:adjustRightInd w:val="0"/>
                    <w:snapToGrid w:val="0"/>
                    <w:jc w:val="center"/>
                    <w:rPr>
                      <w:rFonts w:hint="default" w:eastAsia="宋体"/>
                      <w:color w:val="000000" w:themeColor="text1"/>
                      <w:szCs w:val="21"/>
                      <w:lang w:val="en-US" w:eastAsia="zh-CN"/>
                      <w14:textFill>
                        <w14:solidFill>
                          <w14:schemeClr w14:val="tx1"/>
                        </w14:solidFill>
                      </w14:textFill>
                    </w:rPr>
                  </w:pPr>
                  <w:r>
                    <w:rPr>
                      <w:rFonts w:hint="eastAsia"/>
                      <w:color w:val="000000" w:themeColor="text1"/>
                      <w:szCs w:val="21"/>
                      <w:lang w:val="en-US" w:eastAsia="zh-CN"/>
                      <w14:textFill>
                        <w14:solidFill>
                          <w14:schemeClr w14:val="tx1"/>
                        </w14:solidFill>
                      </w14:textFill>
                    </w:rPr>
                    <w:t>用于就餐休息</w:t>
                  </w:r>
                </w:p>
              </w:tc>
              <w:tc>
                <w:tcPr>
                  <w:tcW w:w="2208" w:type="dxa"/>
                  <w:vAlign w:val="center"/>
                </w:tcPr>
                <w:p>
                  <w:pPr>
                    <w:adjustRightInd w:val="0"/>
                    <w:snapToGrid w:val="0"/>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位于生产厂房</w:t>
                  </w:r>
                  <w:r>
                    <w:rPr>
                      <w:rFonts w:hint="eastAsia"/>
                      <w:color w:val="000000" w:themeColor="text1"/>
                      <w:szCs w:val="21"/>
                      <w:lang w:eastAsia="zh-CN"/>
                      <w14:textFill>
                        <w14:solidFill>
                          <w14:schemeClr w14:val="tx1"/>
                        </w14:solidFill>
                      </w14:textFill>
                    </w:rPr>
                    <w:t>一层北侧</w:t>
                  </w:r>
                  <w:r>
                    <w:rPr>
                      <w:rFonts w:hint="eastAsia"/>
                      <w:color w:val="000000" w:themeColor="text1"/>
                      <w:szCs w:val="21"/>
                      <w14:textFill>
                        <w14:solidFill>
                          <w14:schemeClr w14:val="tx1"/>
                        </w14:solidFill>
                      </w14:textFill>
                    </w:rPr>
                    <w:t>，建筑面积约为2</w:t>
                  </w:r>
                  <w:r>
                    <w:rPr>
                      <w:rFonts w:hint="eastAsia"/>
                      <w:color w:val="000000" w:themeColor="text1"/>
                      <w:szCs w:val="21"/>
                      <w:lang w:val="en-US" w:eastAsia="zh-CN"/>
                      <w14:textFill>
                        <w14:solidFill>
                          <w14:schemeClr w14:val="tx1"/>
                        </w14:solidFill>
                      </w14:textFill>
                    </w:rPr>
                    <w:t>0</w:t>
                  </w:r>
                  <w:r>
                    <w:rPr>
                      <w:rFonts w:hint="eastAsia"/>
                      <w:color w:val="000000" w:themeColor="text1"/>
                      <w:szCs w:val="21"/>
                      <w14:textFill>
                        <w14:solidFill>
                          <w14:schemeClr w14:val="tx1"/>
                        </w14:solidFill>
                      </w14:textFill>
                    </w:rPr>
                    <w:t>0m</w:t>
                  </w:r>
                  <w:r>
                    <w:rPr>
                      <w:rFonts w:hint="eastAsia"/>
                      <w:color w:val="000000" w:themeColor="text1"/>
                      <w:szCs w:val="21"/>
                      <w:vertAlign w:val="superscript"/>
                      <w14:textFill>
                        <w14:solidFill>
                          <w14:schemeClr w14:val="tx1"/>
                        </w14:solidFill>
                      </w14:textFill>
                    </w:rPr>
                    <w:t>2</w:t>
                  </w:r>
                </w:p>
              </w:tc>
              <w:tc>
                <w:tcPr>
                  <w:tcW w:w="998" w:type="dxa"/>
                  <w:vAlign w:val="center"/>
                </w:tcPr>
                <w:p>
                  <w:pPr>
                    <w:adjustRightInd w:val="0"/>
                    <w:snapToGrid w:val="0"/>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依托现有厂房</w:t>
                  </w:r>
                  <w:r>
                    <w:rPr>
                      <w:rFonts w:hint="eastAsia"/>
                      <w:color w:val="000000" w:themeColor="text1"/>
                      <w14:textFill>
                        <w14:solidFill>
                          <w14:schemeClr w14:val="tx1"/>
                        </w14:solidFill>
                      </w14:textFill>
                    </w:rPr>
                    <w:t>新建</w:t>
                  </w:r>
                </w:p>
              </w:tc>
            </w:tr>
            <w:tr>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51" w:type="dxa"/>
                  <w:bottom w:w="0" w:type="dxa"/>
                  <w:right w:w="51" w:type="dxa"/>
                </w:tblCellMar>
              </w:tblPrEx>
              <w:trPr>
                <w:gridAfter w:val="1"/>
                <w:wAfter w:w="122" w:type="dxa"/>
                <w:trHeight w:val="81" w:hRule="atLeast"/>
                <w:jc w:val="center"/>
              </w:trPr>
              <w:tc>
                <w:tcPr>
                  <w:tcW w:w="705" w:type="dxa"/>
                  <w:vMerge w:val="restart"/>
                  <w:vAlign w:val="center"/>
                </w:tcPr>
                <w:p>
                  <w:pPr>
                    <w:snapToGrid w:val="0"/>
                    <w:spacing w:line="320" w:lineRule="exac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储运工程</w:t>
                  </w:r>
                </w:p>
              </w:tc>
              <w:tc>
                <w:tcPr>
                  <w:tcW w:w="1460" w:type="dxa"/>
                  <w:gridSpan w:val="2"/>
                  <w:vAlign w:val="center"/>
                </w:tcPr>
                <w:p>
                  <w:pPr>
                    <w:snapToGrid w:val="0"/>
                    <w:spacing w:line="320" w:lineRule="exact"/>
                    <w:jc w:val="center"/>
                    <w:rPr>
                      <w:rFonts w:hint="eastAsia" w:eastAsia="宋体"/>
                      <w:color w:val="000000" w:themeColor="text1"/>
                      <w:szCs w:val="21"/>
                      <w:lang w:eastAsia="zh-CN"/>
                      <w14:textFill>
                        <w14:solidFill>
                          <w14:schemeClr w14:val="tx1"/>
                        </w14:solidFill>
                      </w14:textFill>
                    </w:rPr>
                  </w:pPr>
                  <w:r>
                    <w:rPr>
                      <w:color w:val="000000" w:themeColor="text1"/>
                      <w:szCs w:val="21"/>
                      <w14:textFill>
                        <w14:solidFill>
                          <w14:schemeClr w14:val="tx1"/>
                        </w14:solidFill>
                      </w14:textFill>
                    </w:rPr>
                    <w:t>原料</w:t>
                  </w:r>
                  <w:r>
                    <w:rPr>
                      <w:rFonts w:hint="eastAsia"/>
                      <w:color w:val="000000" w:themeColor="text1"/>
                      <w:szCs w:val="21"/>
                      <w:lang w:eastAsia="zh-CN"/>
                      <w14:textFill>
                        <w14:solidFill>
                          <w14:schemeClr w14:val="tx1"/>
                        </w14:solidFill>
                      </w14:textFill>
                    </w:rPr>
                    <w:t>仓库</w:t>
                  </w:r>
                </w:p>
              </w:tc>
              <w:tc>
                <w:tcPr>
                  <w:tcW w:w="2941" w:type="dxa"/>
                  <w:vAlign w:val="center"/>
                </w:tcPr>
                <w:p>
                  <w:pPr>
                    <w:spacing w:line="320" w:lineRule="exact"/>
                    <w:jc w:val="center"/>
                    <w:textAlignment w:val="baseline"/>
                    <w:rPr>
                      <w:color w:val="000000" w:themeColor="text1"/>
                      <w:spacing w:val="-2"/>
                      <w:kern w:val="28"/>
                      <w:szCs w:val="21"/>
                      <w14:textFill>
                        <w14:solidFill>
                          <w14:schemeClr w14:val="tx1"/>
                        </w14:solidFill>
                      </w14:textFill>
                    </w:rPr>
                  </w:pPr>
                  <w:r>
                    <w:rPr>
                      <w:rFonts w:hint="eastAsia"/>
                      <w:color w:val="000000" w:themeColor="text1"/>
                      <w:szCs w:val="21"/>
                      <w14:textFill>
                        <w14:solidFill>
                          <w14:schemeClr w14:val="tx1"/>
                        </w14:solidFill>
                      </w14:textFill>
                    </w:rPr>
                    <w:t>用于</w:t>
                  </w:r>
                  <w:r>
                    <w:rPr>
                      <w:color w:val="000000" w:themeColor="text1"/>
                      <w:szCs w:val="21"/>
                      <w14:textFill>
                        <w14:solidFill>
                          <w14:schemeClr w14:val="tx1"/>
                        </w14:solidFill>
                      </w14:textFill>
                    </w:rPr>
                    <w:t>原料储存</w:t>
                  </w:r>
                </w:p>
              </w:tc>
              <w:tc>
                <w:tcPr>
                  <w:tcW w:w="2208" w:type="dxa"/>
                  <w:vAlign w:val="center"/>
                </w:tcPr>
                <w:p>
                  <w:pPr>
                    <w:spacing w:line="320" w:lineRule="exact"/>
                    <w:jc w:val="center"/>
                    <w:textAlignment w:val="baseline"/>
                    <w:rPr>
                      <w:color w:val="000000" w:themeColor="text1"/>
                      <w:spacing w:val="-2"/>
                      <w:kern w:val="28"/>
                      <w:szCs w:val="21"/>
                      <w14:textFill>
                        <w14:solidFill>
                          <w14:schemeClr w14:val="tx1"/>
                        </w14:solidFill>
                      </w14:textFill>
                    </w:rPr>
                  </w:pPr>
                  <w:r>
                    <w:rPr>
                      <w:rFonts w:hint="eastAsia"/>
                      <w:color w:val="000000" w:themeColor="text1"/>
                      <w:szCs w:val="21"/>
                      <w14:textFill>
                        <w14:solidFill>
                          <w14:schemeClr w14:val="tx1"/>
                        </w14:solidFill>
                      </w14:textFill>
                    </w:rPr>
                    <w:t>位于生产</w:t>
                  </w:r>
                  <w:r>
                    <w:rPr>
                      <w:rFonts w:hint="eastAsia"/>
                      <w:color w:val="000000" w:themeColor="text1"/>
                      <w:szCs w:val="21"/>
                      <w:lang w:eastAsia="zh-CN"/>
                      <w14:textFill>
                        <w14:solidFill>
                          <w14:schemeClr w14:val="tx1"/>
                        </w14:solidFill>
                      </w14:textFill>
                    </w:rPr>
                    <w:t>厂房一层</w:t>
                  </w:r>
                  <w:r>
                    <w:rPr>
                      <w:rFonts w:hint="eastAsia"/>
                      <w:color w:val="000000" w:themeColor="text1"/>
                      <w:szCs w:val="21"/>
                      <w14:textFill>
                        <w14:solidFill>
                          <w14:schemeClr w14:val="tx1"/>
                        </w14:solidFill>
                      </w14:textFill>
                    </w:rPr>
                    <w:t>，</w:t>
                  </w:r>
                  <w:r>
                    <w:rPr>
                      <w:color w:val="000000" w:themeColor="text1"/>
                      <w:spacing w:val="-2"/>
                      <w:kern w:val="28"/>
                      <w:szCs w:val="21"/>
                      <w14:textFill>
                        <w14:solidFill>
                          <w14:schemeClr w14:val="tx1"/>
                        </w14:solidFill>
                      </w14:textFill>
                    </w:rPr>
                    <w:t>建筑面积</w:t>
                  </w:r>
                  <w:r>
                    <w:rPr>
                      <w:rFonts w:hint="eastAsia"/>
                      <w:color w:val="000000" w:themeColor="text1"/>
                      <w:spacing w:val="-2"/>
                      <w:kern w:val="28"/>
                      <w:szCs w:val="21"/>
                      <w14:textFill>
                        <w14:solidFill>
                          <w14:schemeClr w14:val="tx1"/>
                        </w14:solidFill>
                      </w14:textFill>
                    </w:rPr>
                    <w:t>约</w:t>
                  </w:r>
                  <w:r>
                    <w:rPr>
                      <w:rFonts w:hint="eastAsia"/>
                      <w:color w:val="000000" w:themeColor="text1"/>
                      <w:spacing w:val="-2"/>
                      <w:kern w:val="28"/>
                      <w:szCs w:val="21"/>
                      <w:lang w:val="en-US" w:eastAsia="zh-CN"/>
                      <w14:textFill>
                        <w14:solidFill>
                          <w14:schemeClr w14:val="tx1"/>
                        </w14:solidFill>
                      </w14:textFill>
                    </w:rPr>
                    <w:t>54</w:t>
                  </w:r>
                  <w:r>
                    <w:rPr>
                      <w:color w:val="000000" w:themeColor="text1"/>
                      <w:spacing w:val="-2"/>
                      <w:kern w:val="28"/>
                      <w:szCs w:val="21"/>
                      <w14:textFill>
                        <w14:solidFill>
                          <w14:schemeClr w14:val="tx1"/>
                        </w14:solidFill>
                      </w14:textFill>
                    </w:rPr>
                    <w:t>m</w:t>
                  </w:r>
                  <w:r>
                    <w:rPr>
                      <w:color w:val="000000" w:themeColor="text1"/>
                      <w:spacing w:val="-2"/>
                      <w:kern w:val="28"/>
                      <w:szCs w:val="21"/>
                      <w:vertAlign w:val="superscript"/>
                      <w14:textFill>
                        <w14:solidFill>
                          <w14:schemeClr w14:val="tx1"/>
                        </w14:solidFill>
                      </w14:textFill>
                    </w:rPr>
                    <w:t>2</w:t>
                  </w:r>
                </w:p>
              </w:tc>
              <w:tc>
                <w:tcPr>
                  <w:tcW w:w="998" w:type="dxa"/>
                  <w:vAlign w:val="center"/>
                </w:tcPr>
                <w:p>
                  <w:pPr>
                    <w:spacing w:line="320" w:lineRule="exact"/>
                    <w:jc w:val="center"/>
                    <w:textAlignment w:val="baseline"/>
                    <w:rPr>
                      <w:color w:val="000000" w:themeColor="text1"/>
                      <w:spacing w:val="-2"/>
                      <w:kern w:val="28"/>
                      <w:szCs w:val="21"/>
                      <w14:textFill>
                        <w14:solidFill>
                          <w14:schemeClr w14:val="tx1"/>
                        </w14:solidFill>
                      </w14:textFill>
                    </w:rPr>
                  </w:pPr>
                  <w:r>
                    <w:rPr>
                      <w:rFonts w:hint="eastAsia"/>
                      <w:color w:val="000000" w:themeColor="text1"/>
                      <w:szCs w:val="21"/>
                      <w14:textFill>
                        <w14:solidFill>
                          <w14:schemeClr w14:val="tx1"/>
                        </w14:solidFill>
                      </w14:textFill>
                    </w:rPr>
                    <w:t>依托现有厂房</w:t>
                  </w:r>
                  <w:r>
                    <w:rPr>
                      <w:rFonts w:hint="eastAsia"/>
                      <w:color w:val="000000" w:themeColor="text1"/>
                      <w14:textFill>
                        <w14:solidFill>
                          <w14:schemeClr w14:val="tx1"/>
                        </w14:solidFill>
                      </w14:textFill>
                    </w:rPr>
                    <w:t>新建</w:t>
                  </w:r>
                </w:p>
              </w:tc>
            </w:tr>
            <w:tr>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51" w:type="dxa"/>
                  <w:bottom w:w="0" w:type="dxa"/>
                  <w:right w:w="51" w:type="dxa"/>
                </w:tblCellMar>
              </w:tblPrEx>
              <w:trPr>
                <w:gridAfter w:val="1"/>
                <w:wAfter w:w="122" w:type="dxa"/>
                <w:trHeight w:val="90" w:hRule="atLeast"/>
                <w:jc w:val="center"/>
              </w:trPr>
              <w:tc>
                <w:tcPr>
                  <w:tcW w:w="705" w:type="dxa"/>
                  <w:vMerge w:val="continue"/>
                  <w:vAlign w:val="center"/>
                </w:tcPr>
                <w:p>
                  <w:pPr>
                    <w:snapToGrid w:val="0"/>
                    <w:spacing w:line="320" w:lineRule="exact"/>
                    <w:jc w:val="center"/>
                    <w:rPr>
                      <w:color w:val="000000" w:themeColor="text1"/>
                      <w:szCs w:val="21"/>
                      <w14:textFill>
                        <w14:solidFill>
                          <w14:schemeClr w14:val="tx1"/>
                        </w14:solidFill>
                      </w14:textFill>
                    </w:rPr>
                  </w:pPr>
                </w:p>
              </w:tc>
              <w:tc>
                <w:tcPr>
                  <w:tcW w:w="1460" w:type="dxa"/>
                  <w:gridSpan w:val="2"/>
                  <w:vAlign w:val="center"/>
                </w:tcPr>
                <w:p>
                  <w:pPr>
                    <w:snapToGrid w:val="0"/>
                    <w:spacing w:line="320" w:lineRule="exact"/>
                    <w:jc w:val="center"/>
                    <w:rPr>
                      <w:rFonts w:hint="default" w:ascii="Times New Roman" w:hAnsi="Times New Roman" w:eastAsia="宋体" w:cs="Times New Roman"/>
                      <w:color w:val="000000" w:themeColor="text1"/>
                      <w:kern w:val="2"/>
                      <w:sz w:val="21"/>
                      <w:szCs w:val="21"/>
                      <w:lang w:val="en-US" w:eastAsia="zh-CN" w:bidi="ar-SA"/>
                      <w14:textFill>
                        <w14:solidFill>
                          <w14:schemeClr w14:val="tx1"/>
                        </w14:solidFill>
                      </w14:textFill>
                    </w:rPr>
                  </w:pPr>
                  <w:r>
                    <w:rPr>
                      <w:color w:val="000000" w:themeColor="text1"/>
                      <w:szCs w:val="21"/>
                      <w14:textFill>
                        <w14:solidFill>
                          <w14:schemeClr w14:val="tx1"/>
                        </w14:solidFill>
                      </w14:textFill>
                    </w:rPr>
                    <w:t>成品仓库</w:t>
                  </w:r>
                </w:p>
              </w:tc>
              <w:tc>
                <w:tcPr>
                  <w:tcW w:w="2941" w:type="dxa"/>
                  <w:vAlign w:val="center"/>
                </w:tcPr>
                <w:p>
                  <w:pPr>
                    <w:spacing w:line="320" w:lineRule="exact"/>
                    <w:jc w:val="center"/>
                    <w:rPr>
                      <w:rFonts w:hint="eastAsia" w:ascii="Times New Roman" w:hAnsi="Times New Roman" w:eastAsia="宋体" w:cs="Times New Roman"/>
                      <w:color w:val="000000" w:themeColor="text1"/>
                      <w:spacing w:val="-2"/>
                      <w:kern w:val="28"/>
                      <w:sz w:val="21"/>
                      <w:szCs w:val="21"/>
                      <w:lang w:val="en-US" w:eastAsia="zh-CN" w:bidi="ar-SA"/>
                      <w14:textFill>
                        <w14:solidFill>
                          <w14:schemeClr w14:val="tx1"/>
                        </w14:solidFill>
                      </w14:textFill>
                    </w:rPr>
                  </w:pPr>
                  <w:r>
                    <w:rPr>
                      <w:rFonts w:hint="eastAsia"/>
                      <w:color w:val="000000" w:themeColor="text1"/>
                      <w:szCs w:val="21"/>
                      <w14:textFill>
                        <w14:solidFill>
                          <w14:schemeClr w14:val="tx1"/>
                        </w14:solidFill>
                      </w14:textFill>
                    </w:rPr>
                    <w:t>用于成品</w:t>
                  </w:r>
                  <w:r>
                    <w:rPr>
                      <w:color w:val="000000" w:themeColor="text1"/>
                      <w:szCs w:val="21"/>
                      <w14:textFill>
                        <w14:solidFill>
                          <w14:schemeClr w14:val="tx1"/>
                        </w14:solidFill>
                      </w14:textFill>
                    </w:rPr>
                    <w:t>储存</w:t>
                  </w:r>
                </w:p>
              </w:tc>
              <w:tc>
                <w:tcPr>
                  <w:tcW w:w="2208" w:type="dxa"/>
                  <w:vAlign w:val="center"/>
                </w:tcPr>
                <w:p>
                  <w:pPr>
                    <w:spacing w:line="320" w:lineRule="exact"/>
                    <w:jc w:val="center"/>
                    <w:rPr>
                      <w:rFonts w:hint="eastAsia" w:ascii="Times New Roman" w:hAnsi="Times New Roman" w:eastAsia="宋体" w:cs="Times New Roman"/>
                      <w:color w:val="000000" w:themeColor="text1"/>
                      <w:spacing w:val="-2"/>
                      <w:kern w:val="28"/>
                      <w:sz w:val="21"/>
                      <w:szCs w:val="21"/>
                      <w:lang w:val="en-US" w:eastAsia="zh-CN" w:bidi="ar-SA"/>
                      <w14:textFill>
                        <w14:solidFill>
                          <w14:schemeClr w14:val="tx1"/>
                        </w14:solidFill>
                      </w14:textFill>
                    </w:rPr>
                  </w:pPr>
                  <w:r>
                    <w:rPr>
                      <w:rFonts w:hint="eastAsia"/>
                      <w:color w:val="000000" w:themeColor="text1"/>
                      <w:szCs w:val="21"/>
                      <w14:textFill>
                        <w14:solidFill>
                          <w14:schemeClr w14:val="tx1"/>
                        </w14:solidFill>
                      </w14:textFill>
                    </w:rPr>
                    <w:t>位于生产</w:t>
                  </w:r>
                  <w:r>
                    <w:rPr>
                      <w:rFonts w:hint="eastAsia"/>
                      <w:color w:val="000000" w:themeColor="text1"/>
                      <w:szCs w:val="21"/>
                      <w:lang w:eastAsia="zh-CN"/>
                      <w14:textFill>
                        <w14:solidFill>
                          <w14:schemeClr w14:val="tx1"/>
                        </w14:solidFill>
                      </w14:textFill>
                    </w:rPr>
                    <w:t>厂房一层</w:t>
                  </w:r>
                  <w:r>
                    <w:rPr>
                      <w:rFonts w:hint="eastAsia"/>
                      <w:color w:val="000000" w:themeColor="text1"/>
                      <w:szCs w:val="21"/>
                      <w14:textFill>
                        <w14:solidFill>
                          <w14:schemeClr w14:val="tx1"/>
                        </w14:solidFill>
                      </w14:textFill>
                    </w:rPr>
                    <w:t>，</w:t>
                  </w:r>
                  <w:r>
                    <w:rPr>
                      <w:color w:val="000000" w:themeColor="text1"/>
                      <w:spacing w:val="-2"/>
                      <w:kern w:val="28"/>
                      <w:szCs w:val="21"/>
                      <w14:textFill>
                        <w14:solidFill>
                          <w14:schemeClr w14:val="tx1"/>
                        </w14:solidFill>
                      </w14:textFill>
                    </w:rPr>
                    <w:t>建筑面积</w:t>
                  </w:r>
                  <w:r>
                    <w:rPr>
                      <w:rFonts w:hint="eastAsia"/>
                      <w:color w:val="000000" w:themeColor="text1"/>
                      <w:spacing w:val="-2"/>
                      <w:kern w:val="28"/>
                      <w:szCs w:val="21"/>
                      <w14:textFill>
                        <w14:solidFill>
                          <w14:schemeClr w14:val="tx1"/>
                        </w14:solidFill>
                      </w14:textFill>
                    </w:rPr>
                    <w:t>约</w:t>
                  </w:r>
                  <w:r>
                    <w:rPr>
                      <w:rFonts w:hint="eastAsia"/>
                      <w:color w:val="000000" w:themeColor="text1"/>
                      <w:spacing w:val="-2"/>
                      <w:kern w:val="28"/>
                      <w:szCs w:val="21"/>
                      <w:lang w:val="en-US" w:eastAsia="zh-CN"/>
                      <w14:textFill>
                        <w14:solidFill>
                          <w14:schemeClr w14:val="tx1"/>
                        </w14:solidFill>
                      </w14:textFill>
                    </w:rPr>
                    <w:t>54</w:t>
                  </w:r>
                  <w:r>
                    <w:rPr>
                      <w:color w:val="000000" w:themeColor="text1"/>
                      <w:spacing w:val="-2"/>
                      <w:kern w:val="28"/>
                      <w:szCs w:val="21"/>
                      <w14:textFill>
                        <w14:solidFill>
                          <w14:schemeClr w14:val="tx1"/>
                        </w14:solidFill>
                      </w14:textFill>
                    </w:rPr>
                    <w:t>m</w:t>
                  </w:r>
                  <w:r>
                    <w:rPr>
                      <w:color w:val="000000" w:themeColor="text1"/>
                      <w:spacing w:val="-2"/>
                      <w:kern w:val="28"/>
                      <w:szCs w:val="21"/>
                      <w:vertAlign w:val="superscript"/>
                      <w14:textFill>
                        <w14:solidFill>
                          <w14:schemeClr w14:val="tx1"/>
                        </w14:solidFill>
                      </w14:textFill>
                    </w:rPr>
                    <w:t>2</w:t>
                  </w:r>
                </w:p>
              </w:tc>
              <w:tc>
                <w:tcPr>
                  <w:tcW w:w="998" w:type="dxa"/>
                  <w:vAlign w:val="center"/>
                </w:tcPr>
                <w:p>
                  <w:pPr>
                    <w:spacing w:line="320" w:lineRule="exact"/>
                    <w:jc w:val="center"/>
                    <w:textAlignment w:val="baseline"/>
                    <w:rPr>
                      <w:rFonts w:hint="eastAsia"/>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依托现有厂房</w:t>
                  </w:r>
                  <w:r>
                    <w:rPr>
                      <w:rFonts w:hint="eastAsia"/>
                      <w:color w:val="000000" w:themeColor="text1"/>
                      <w14:textFill>
                        <w14:solidFill>
                          <w14:schemeClr w14:val="tx1"/>
                        </w14:solidFill>
                      </w14:textFill>
                    </w:rPr>
                    <w:t>新建</w:t>
                  </w:r>
                </w:p>
              </w:tc>
            </w:tr>
            <w:tr>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51" w:type="dxa"/>
                  <w:bottom w:w="0" w:type="dxa"/>
                  <w:right w:w="51" w:type="dxa"/>
                </w:tblCellMar>
              </w:tblPrEx>
              <w:trPr>
                <w:gridAfter w:val="1"/>
                <w:wAfter w:w="122" w:type="dxa"/>
                <w:trHeight w:val="90" w:hRule="atLeast"/>
                <w:jc w:val="center"/>
              </w:trPr>
              <w:tc>
                <w:tcPr>
                  <w:tcW w:w="705" w:type="dxa"/>
                  <w:vMerge w:val="continue"/>
                  <w:vAlign w:val="center"/>
                </w:tcPr>
                <w:p>
                  <w:pPr>
                    <w:snapToGrid w:val="0"/>
                    <w:spacing w:line="320" w:lineRule="exact"/>
                    <w:jc w:val="center"/>
                    <w:rPr>
                      <w:color w:val="000000" w:themeColor="text1"/>
                      <w:szCs w:val="21"/>
                      <w14:textFill>
                        <w14:solidFill>
                          <w14:schemeClr w14:val="tx1"/>
                        </w14:solidFill>
                      </w14:textFill>
                    </w:rPr>
                  </w:pPr>
                </w:p>
              </w:tc>
              <w:tc>
                <w:tcPr>
                  <w:tcW w:w="1460" w:type="dxa"/>
                  <w:gridSpan w:val="2"/>
                  <w:vAlign w:val="center"/>
                </w:tcPr>
                <w:p>
                  <w:pPr>
                    <w:snapToGrid w:val="0"/>
                    <w:spacing w:line="320" w:lineRule="exact"/>
                    <w:jc w:val="center"/>
                    <w:rPr>
                      <w:rFonts w:hint="eastAsia" w:eastAsia="宋体"/>
                      <w:color w:val="000000" w:themeColor="text1"/>
                      <w:szCs w:val="21"/>
                      <w:lang w:eastAsia="zh-CN"/>
                      <w14:textFill>
                        <w14:solidFill>
                          <w14:schemeClr w14:val="tx1"/>
                        </w14:solidFill>
                      </w14:textFill>
                    </w:rPr>
                  </w:pPr>
                  <w:r>
                    <w:rPr>
                      <w:rFonts w:hint="eastAsia"/>
                      <w:color w:val="000000" w:themeColor="text1"/>
                      <w:szCs w:val="21"/>
                      <w:lang w:eastAsia="zh-CN"/>
                      <w14:textFill>
                        <w14:solidFill>
                          <w14:schemeClr w14:val="tx1"/>
                        </w14:solidFill>
                      </w14:textFill>
                    </w:rPr>
                    <w:t>常温库、阴凉库</w:t>
                  </w:r>
                </w:p>
              </w:tc>
              <w:tc>
                <w:tcPr>
                  <w:tcW w:w="2941" w:type="dxa"/>
                  <w:vAlign w:val="center"/>
                </w:tcPr>
                <w:p>
                  <w:pPr>
                    <w:spacing w:line="320" w:lineRule="exact"/>
                    <w:jc w:val="center"/>
                    <w:rPr>
                      <w:color w:val="000000" w:themeColor="text1"/>
                      <w:spacing w:val="-2"/>
                      <w:kern w:val="28"/>
                      <w:szCs w:val="21"/>
                      <w14:textFill>
                        <w14:solidFill>
                          <w14:schemeClr w14:val="tx1"/>
                        </w14:solidFill>
                      </w14:textFill>
                    </w:rPr>
                  </w:pPr>
                  <w:r>
                    <w:rPr>
                      <w:rFonts w:hint="eastAsia"/>
                      <w:color w:val="000000" w:themeColor="text1"/>
                      <w:szCs w:val="21"/>
                      <w14:textFill>
                        <w14:solidFill>
                          <w14:schemeClr w14:val="tx1"/>
                        </w14:solidFill>
                      </w14:textFill>
                    </w:rPr>
                    <w:t>用于成品</w:t>
                  </w:r>
                  <w:r>
                    <w:rPr>
                      <w:color w:val="000000" w:themeColor="text1"/>
                      <w:szCs w:val="21"/>
                      <w14:textFill>
                        <w14:solidFill>
                          <w14:schemeClr w14:val="tx1"/>
                        </w14:solidFill>
                      </w14:textFill>
                    </w:rPr>
                    <w:t>储存</w:t>
                  </w:r>
                </w:p>
              </w:tc>
              <w:tc>
                <w:tcPr>
                  <w:tcW w:w="2208" w:type="dxa"/>
                  <w:vAlign w:val="center"/>
                </w:tcPr>
                <w:p>
                  <w:pPr>
                    <w:spacing w:line="320" w:lineRule="exact"/>
                    <w:jc w:val="center"/>
                    <w:rPr>
                      <w:color w:val="000000" w:themeColor="text1"/>
                      <w:spacing w:val="-2"/>
                      <w:kern w:val="28"/>
                      <w:szCs w:val="21"/>
                      <w14:textFill>
                        <w14:solidFill>
                          <w14:schemeClr w14:val="tx1"/>
                        </w14:solidFill>
                      </w14:textFill>
                    </w:rPr>
                  </w:pPr>
                  <w:r>
                    <w:rPr>
                      <w:rFonts w:hint="eastAsia"/>
                      <w:color w:val="000000" w:themeColor="text1"/>
                      <w:szCs w:val="21"/>
                      <w14:textFill>
                        <w14:solidFill>
                          <w14:schemeClr w14:val="tx1"/>
                        </w14:solidFill>
                      </w14:textFill>
                    </w:rPr>
                    <w:t>位于生产</w:t>
                  </w:r>
                  <w:r>
                    <w:rPr>
                      <w:rFonts w:hint="eastAsia"/>
                      <w:color w:val="000000" w:themeColor="text1"/>
                      <w:szCs w:val="21"/>
                      <w:lang w:eastAsia="zh-CN"/>
                      <w14:textFill>
                        <w14:solidFill>
                          <w14:schemeClr w14:val="tx1"/>
                        </w14:solidFill>
                      </w14:textFill>
                    </w:rPr>
                    <w:t>厂房一层</w:t>
                  </w:r>
                  <w:r>
                    <w:rPr>
                      <w:rFonts w:hint="eastAsia"/>
                      <w:color w:val="000000" w:themeColor="text1"/>
                      <w:szCs w:val="21"/>
                      <w14:textFill>
                        <w14:solidFill>
                          <w14:schemeClr w14:val="tx1"/>
                        </w14:solidFill>
                      </w14:textFill>
                    </w:rPr>
                    <w:t>，</w:t>
                  </w:r>
                  <w:r>
                    <w:rPr>
                      <w:color w:val="000000" w:themeColor="text1"/>
                      <w:spacing w:val="-2"/>
                      <w:kern w:val="28"/>
                      <w:szCs w:val="21"/>
                      <w14:textFill>
                        <w14:solidFill>
                          <w14:schemeClr w14:val="tx1"/>
                        </w14:solidFill>
                      </w14:textFill>
                    </w:rPr>
                    <w:t>建筑面积</w:t>
                  </w:r>
                  <w:r>
                    <w:rPr>
                      <w:rFonts w:hint="eastAsia"/>
                      <w:color w:val="000000" w:themeColor="text1"/>
                      <w:spacing w:val="-2"/>
                      <w:kern w:val="28"/>
                      <w:szCs w:val="21"/>
                      <w14:textFill>
                        <w14:solidFill>
                          <w14:schemeClr w14:val="tx1"/>
                        </w14:solidFill>
                      </w14:textFill>
                    </w:rPr>
                    <w:t>约</w:t>
                  </w:r>
                  <w:r>
                    <w:rPr>
                      <w:rFonts w:hint="eastAsia"/>
                      <w:color w:val="000000" w:themeColor="text1"/>
                      <w:spacing w:val="-2"/>
                      <w:kern w:val="28"/>
                      <w:szCs w:val="21"/>
                      <w:lang w:val="en-US" w:eastAsia="zh-CN"/>
                      <w14:textFill>
                        <w14:solidFill>
                          <w14:schemeClr w14:val="tx1"/>
                        </w14:solidFill>
                      </w14:textFill>
                    </w:rPr>
                    <w:t>108</w:t>
                  </w:r>
                  <w:r>
                    <w:rPr>
                      <w:color w:val="000000" w:themeColor="text1"/>
                      <w:spacing w:val="-2"/>
                      <w:kern w:val="28"/>
                      <w:szCs w:val="21"/>
                      <w14:textFill>
                        <w14:solidFill>
                          <w14:schemeClr w14:val="tx1"/>
                        </w14:solidFill>
                      </w14:textFill>
                    </w:rPr>
                    <w:t>m</w:t>
                  </w:r>
                  <w:r>
                    <w:rPr>
                      <w:color w:val="000000" w:themeColor="text1"/>
                      <w:spacing w:val="-2"/>
                      <w:kern w:val="28"/>
                      <w:szCs w:val="21"/>
                      <w:vertAlign w:val="superscript"/>
                      <w14:textFill>
                        <w14:solidFill>
                          <w14:schemeClr w14:val="tx1"/>
                        </w14:solidFill>
                      </w14:textFill>
                    </w:rPr>
                    <w:t>2</w:t>
                  </w:r>
                </w:p>
              </w:tc>
              <w:tc>
                <w:tcPr>
                  <w:tcW w:w="998" w:type="dxa"/>
                  <w:vAlign w:val="center"/>
                </w:tcPr>
                <w:p>
                  <w:pPr>
                    <w:spacing w:line="320" w:lineRule="exact"/>
                    <w:jc w:val="center"/>
                    <w:textAlignment w:val="baseline"/>
                    <w:rPr>
                      <w:color w:val="000000" w:themeColor="text1"/>
                      <w:spacing w:val="-2"/>
                      <w:kern w:val="28"/>
                      <w:szCs w:val="21"/>
                      <w14:textFill>
                        <w14:solidFill>
                          <w14:schemeClr w14:val="tx1"/>
                        </w14:solidFill>
                      </w14:textFill>
                    </w:rPr>
                  </w:pPr>
                  <w:r>
                    <w:rPr>
                      <w:rFonts w:hint="eastAsia"/>
                      <w:bCs/>
                      <w:color w:val="000000" w:themeColor="text1"/>
                      <w:szCs w:val="21"/>
                      <w14:textFill>
                        <w14:solidFill>
                          <w14:schemeClr w14:val="tx1"/>
                        </w14:solidFill>
                      </w14:textFill>
                    </w:rPr>
                    <w:t>依托现有厂房</w:t>
                  </w:r>
                  <w:r>
                    <w:rPr>
                      <w:rFonts w:hint="eastAsia"/>
                      <w:color w:val="000000" w:themeColor="text1"/>
                      <w14:textFill>
                        <w14:solidFill>
                          <w14:schemeClr w14:val="tx1"/>
                        </w14:solidFill>
                      </w14:textFill>
                    </w:rPr>
                    <w:t>新建</w:t>
                  </w:r>
                </w:p>
              </w:tc>
            </w:tr>
            <w:tr>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51" w:type="dxa"/>
                  <w:bottom w:w="0" w:type="dxa"/>
                  <w:right w:w="51" w:type="dxa"/>
                </w:tblCellMar>
              </w:tblPrEx>
              <w:trPr>
                <w:gridAfter w:val="1"/>
                <w:wAfter w:w="122" w:type="dxa"/>
                <w:trHeight w:val="340" w:hRule="atLeast"/>
                <w:jc w:val="center"/>
              </w:trPr>
              <w:tc>
                <w:tcPr>
                  <w:tcW w:w="705" w:type="dxa"/>
                  <w:vMerge w:val="restart"/>
                  <w:vAlign w:val="center"/>
                </w:tcPr>
                <w:p>
                  <w:pPr>
                    <w:snapToGrid w:val="0"/>
                    <w:spacing w:line="320" w:lineRule="exac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公用工程</w:t>
                  </w:r>
                </w:p>
              </w:tc>
              <w:tc>
                <w:tcPr>
                  <w:tcW w:w="1460" w:type="dxa"/>
                  <w:gridSpan w:val="2"/>
                  <w:vAlign w:val="center"/>
                </w:tcPr>
                <w:p>
                  <w:pPr>
                    <w:overflowPunct w:val="0"/>
                    <w:spacing w:line="320" w:lineRule="exact"/>
                    <w:jc w:val="center"/>
                    <w:rPr>
                      <w:bCs/>
                      <w:color w:val="000000" w:themeColor="text1"/>
                      <w:szCs w:val="21"/>
                      <w14:textFill>
                        <w14:solidFill>
                          <w14:schemeClr w14:val="tx1"/>
                        </w14:solidFill>
                      </w14:textFill>
                    </w:rPr>
                  </w:pPr>
                  <w:r>
                    <w:rPr>
                      <w:bCs/>
                      <w:color w:val="000000" w:themeColor="text1"/>
                      <w:szCs w:val="21"/>
                      <w14:textFill>
                        <w14:solidFill>
                          <w14:schemeClr w14:val="tx1"/>
                        </w14:solidFill>
                      </w14:textFill>
                    </w:rPr>
                    <w:t>供水系统</w:t>
                  </w:r>
                </w:p>
              </w:tc>
              <w:tc>
                <w:tcPr>
                  <w:tcW w:w="2941" w:type="dxa"/>
                  <w:vAlign w:val="center"/>
                </w:tcPr>
                <w:p>
                  <w:pPr>
                    <w:overflowPunct w:val="0"/>
                    <w:spacing w:line="320" w:lineRule="exact"/>
                    <w:jc w:val="center"/>
                    <w:rPr>
                      <w:bCs/>
                      <w:color w:val="000000" w:themeColor="text1"/>
                      <w:szCs w:val="21"/>
                      <w14:textFill>
                        <w14:solidFill>
                          <w14:schemeClr w14:val="tx1"/>
                        </w14:solidFill>
                      </w14:textFill>
                    </w:rPr>
                  </w:pPr>
                  <w:r>
                    <w:rPr>
                      <w:bCs/>
                      <w:color w:val="000000" w:themeColor="text1"/>
                      <w:szCs w:val="21"/>
                      <w14:textFill>
                        <w14:solidFill>
                          <w14:schemeClr w14:val="tx1"/>
                        </w14:solidFill>
                      </w14:textFill>
                    </w:rPr>
                    <w:t>区域给水管网供水</w:t>
                  </w:r>
                </w:p>
              </w:tc>
              <w:tc>
                <w:tcPr>
                  <w:tcW w:w="2208" w:type="dxa"/>
                  <w:vAlign w:val="center"/>
                </w:tcPr>
                <w:p>
                  <w:pPr>
                    <w:overflowPunct w:val="0"/>
                    <w:spacing w:line="320" w:lineRule="exact"/>
                    <w:jc w:val="center"/>
                    <w:rPr>
                      <w:bCs/>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供水量</w:t>
                  </w:r>
                  <w:r>
                    <w:rPr>
                      <w:rFonts w:hint="eastAsia"/>
                      <w:color w:val="000000" w:themeColor="text1"/>
                      <w:szCs w:val="21"/>
                      <w:lang w:val="en-US" w:eastAsia="zh-CN"/>
                      <w14:textFill>
                        <w14:solidFill>
                          <w14:schemeClr w14:val="tx1"/>
                        </w14:solidFill>
                      </w14:textFill>
                    </w:rPr>
                    <w:t>464</w:t>
                  </w:r>
                  <w:r>
                    <w:rPr>
                      <w:color w:val="000000" w:themeColor="text1"/>
                      <w:szCs w:val="21"/>
                      <w14:textFill>
                        <w14:solidFill>
                          <w14:schemeClr w14:val="tx1"/>
                        </w14:solidFill>
                      </w14:textFill>
                    </w:rPr>
                    <w:t>m</w:t>
                  </w:r>
                  <w:r>
                    <w:rPr>
                      <w:color w:val="000000" w:themeColor="text1"/>
                      <w:szCs w:val="21"/>
                      <w:vertAlign w:val="superscript"/>
                      <w14:textFill>
                        <w14:solidFill>
                          <w14:schemeClr w14:val="tx1"/>
                        </w14:solidFill>
                      </w14:textFill>
                    </w:rPr>
                    <w:t>3</w:t>
                  </w:r>
                  <w:r>
                    <w:rPr>
                      <w:color w:val="000000" w:themeColor="text1"/>
                      <w:szCs w:val="21"/>
                      <w14:textFill>
                        <w14:solidFill>
                          <w14:schemeClr w14:val="tx1"/>
                        </w14:solidFill>
                      </w14:textFill>
                    </w:rPr>
                    <w:t>/a</w:t>
                  </w:r>
                </w:p>
              </w:tc>
              <w:tc>
                <w:tcPr>
                  <w:tcW w:w="998" w:type="dxa"/>
                  <w:vAlign w:val="center"/>
                </w:tcPr>
                <w:p>
                  <w:pPr>
                    <w:spacing w:line="320" w:lineRule="exact"/>
                    <w:jc w:val="center"/>
                    <w:textAlignment w:val="baseline"/>
                    <w:rPr>
                      <w:color w:val="000000" w:themeColor="text1"/>
                      <w:spacing w:val="-2"/>
                      <w:kern w:val="28"/>
                      <w:szCs w:val="21"/>
                      <w14:textFill>
                        <w14:solidFill>
                          <w14:schemeClr w14:val="tx1"/>
                        </w14:solidFill>
                      </w14:textFill>
                    </w:rPr>
                  </w:pPr>
                  <w:r>
                    <w:rPr>
                      <w:color w:val="000000" w:themeColor="text1"/>
                      <w:spacing w:val="-2"/>
                      <w:kern w:val="28"/>
                      <w:szCs w:val="21"/>
                      <w14:textFill>
                        <w14:solidFill>
                          <w14:schemeClr w14:val="tx1"/>
                        </w14:solidFill>
                      </w14:textFill>
                    </w:rPr>
                    <w:t>依托厂区现有供水管网</w:t>
                  </w:r>
                </w:p>
              </w:tc>
            </w:tr>
            <w:tr>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51" w:type="dxa"/>
                  <w:bottom w:w="0" w:type="dxa"/>
                  <w:right w:w="51" w:type="dxa"/>
                </w:tblCellMar>
              </w:tblPrEx>
              <w:trPr>
                <w:gridAfter w:val="1"/>
                <w:wAfter w:w="122" w:type="dxa"/>
                <w:trHeight w:val="63" w:hRule="atLeast"/>
                <w:jc w:val="center"/>
              </w:trPr>
              <w:tc>
                <w:tcPr>
                  <w:tcW w:w="705" w:type="dxa"/>
                  <w:vMerge w:val="continue"/>
                  <w:vAlign w:val="center"/>
                </w:tcPr>
                <w:p>
                  <w:pPr>
                    <w:snapToGrid w:val="0"/>
                    <w:spacing w:line="320" w:lineRule="exact"/>
                    <w:jc w:val="center"/>
                    <w:rPr>
                      <w:color w:val="000000" w:themeColor="text1"/>
                      <w:szCs w:val="21"/>
                      <w14:textFill>
                        <w14:solidFill>
                          <w14:schemeClr w14:val="tx1"/>
                        </w14:solidFill>
                      </w14:textFill>
                    </w:rPr>
                  </w:pPr>
                </w:p>
              </w:tc>
              <w:tc>
                <w:tcPr>
                  <w:tcW w:w="1460" w:type="dxa"/>
                  <w:gridSpan w:val="2"/>
                  <w:vAlign w:val="center"/>
                </w:tcPr>
                <w:p>
                  <w:pPr>
                    <w:overflowPunct w:val="0"/>
                    <w:spacing w:line="320" w:lineRule="exact"/>
                    <w:jc w:val="center"/>
                    <w:rPr>
                      <w:bCs/>
                      <w:color w:val="000000" w:themeColor="text1"/>
                      <w:szCs w:val="21"/>
                      <w14:textFill>
                        <w14:solidFill>
                          <w14:schemeClr w14:val="tx1"/>
                        </w14:solidFill>
                      </w14:textFill>
                    </w:rPr>
                  </w:pPr>
                  <w:r>
                    <w:rPr>
                      <w:bCs/>
                      <w:color w:val="000000" w:themeColor="text1"/>
                      <w:szCs w:val="21"/>
                      <w14:textFill>
                        <w14:solidFill>
                          <w14:schemeClr w14:val="tx1"/>
                        </w14:solidFill>
                      </w14:textFill>
                    </w:rPr>
                    <w:t>排水系统</w:t>
                  </w:r>
                </w:p>
              </w:tc>
              <w:tc>
                <w:tcPr>
                  <w:tcW w:w="2941" w:type="dxa"/>
                  <w:vAlign w:val="center"/>
                </w:tcPr>
                <w:p>
                  <w:pPr>
                    <w:overflowPunct w:val="0"/>
                    <w:spacing w:line="320" w:lineRule="exact"/>
                    <w:jc w:val="center"/>
                    <w:rPr>
                      <w:bCs/>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雨污分流，雨水通过雨水管网排入附近河流</w:t>
                  </w:r>
                  <w:r>
                    <w:rPr>
                      <w:rFonts w:hint="eastAsia"/>
                      <w:color w:val="000000" w:themeColor="text1"/>
                      <w:szCs w:val="21"/>
                      <w:lang w:eastAsia="zh-CN"/>
                      <w14:textFill>
                        <w14:solidFill>
                          <w14:schemeClr w14:val="tx1"/>
                        </w14:solidFill>
                      </w14:textFill>
                    </w:rPr>
                    <w:t>尧塘河</w:t>
                  </w:r>
                  <w:r>
                    <w:rPr>
                      <w:rFonts w:hint="eastAsia"/>
                      <w:color w:val="000000" w:themeColor="text1"/>
                      <w:szCs w:val="21"/>
                      <w14:textFill>
                        <w14:solidFill>
                          <w14:schemeClr w14:val="tx1"/>
                        </w14:solidFill>
                      </w14:textFill>
                    </w:rPr>
                    <w:t>；生活污水收集后经市政污水管网排入开发区污水管网进金坛区第二污水处理厂深度处理，尾水排入尧塘河</w:t>
                  </w:r>
                </w:p>
              </w:tc>
              <w:tc>
                <w:tcPr>
                  <w:tcW w:w="2208" w:type="dxa"/>
                  <w:vAlign w:val="center"/>
                </w:tcPr>
                <w:p>
                  <w:pPr>
                    <w:overflowPunct w:val="0"/>
                    <w:spacing w:line="320" w:lineRule="exact"/>
                    <w:jc w:val="center"/>
                    <w:rPr>
                      <w:bCs/>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生活污水量3</w:t>
                  </w:r>
                  <w:r>
                    <w:rPr>
                      <w:rFonts w:hint="eastAsia"/>
                      <w:color w:val="000000" w:themeColor="text1"/>
                      <w:szCs w:val="21"/>
                      <w:lang w:val="en-US" w:eastAsia="zh-CN"/>
                      <w14:textFill>
                        <w14:solidFill>
                          <w14:schemeClr w14:val="tx1"/>
                        </w14:solidFill>
                      </w14:textFill>
                    </w:rPr>
                    <w:t>60</w:t>
                  </w:r>
                  <w:r>
                    <w:rPr>
                      <w:color w:val="000000" w:themeColor="text1"/>
                      <w:szCs w:val="21"/>
                      <w14:textFill>
                        <w14:solidFill>
                          <w14:schemeClr w14:val="tx1"/>
                        </w14:solidFill>
                      </w14:textFill>
                    </w:rPr>
                    <w:t>m</w:t>
                  </w:r>
                  <w:r>
                    <w:rPr>
                      <w:color w:val="000000" w:themeColor="text1"/>
                      <w:szCs w:val="21"/>
                      <w:vertAlign w:val="superscript"/>
                      <w14:textFill>
                        <w14:solidFill>
                          <w14:schemeClr w14:val="tx1"/>
                        </w14:solidFill>
                      </w14:textFill>
                    </w:rPr>
                    <w:t>3</w:t>
                  </w:r>
                  <w:r>
                    <w:rPr>
                      <w:color w:val="000000" w:themeColor="text1"/>
                      <w:szCs w:val="21"/>
                      <w14:textFill>
                        <w14:solidFill>
                          <w14:schemeClr w14:val="tx1"/>
                        </w14:solidFill>
                      </w14:textFill>
                    </w:rPr>
                    <w:t>/a</w:t>
                  </w:r>
                </w:p>
              </w:tc>
              <w:tc>
                <w:tcPr>
                  <w:tcW w:w="998" w:type="dxa"/>
                  <w:vAlign w:val="center"/>
                </w:tcPr>
                <w:p>
                  <w:pPr>
                    <w:spacing w:line="320" w:lineRule="exact"/>
                    <w:jc w:val="center"/>
                    <w:textAlignment w:val="baseline"/>
                    <w:rPr>
                      <w:color w:val="000000" w:themeColor="text1"/>
                      <w:spacing w:val="-2"/>
                      <w:kern w:val="28"/>
                      <w:szCs w:val="21"/>
                      <w14:textFill>
                        <w14:solidFill>
                          <w14:schemeClr w14:val="tx1"/>
                        </w14:solidFill>
                      </w14:textFill>
                    </w:rPr>
                  </w:pPr>
                  <w:r>
                    <w:rPr>
                      <w:rFonts w:hint="eastAsia"/>
                      <w:color w:val="000000" w:themeColor="text1"/>
                      <w:spacing w:val="-2"/>
                      <w:kern w:val="28"/>
                      <w:szCs w:val="21"/>
                      <w14:textFill>
                        <w14:solidFill>
                          <w14:schemeClr w14:val="tx1"/>
                        </w14:solidFill>
                      </w14:textFill>
                    </w:rPr>
                    <w:t>依托现有</w:t>
                  </w:r>
                </w:p>
              </w:tc>
            </w:tr>
            <w:tr>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51" w:type="dxa"/>
                  <w:bottom w:w="0" w:type="dxa"/>
                  <w:right w:w="51" w:type="dxa"/>
                </w:tblCellMar>
              </w:tblPrEx>
              <w:trPr>
                <w:gridAfter w:val="1"/>
                <w:wAfter w:w="122" w:type="dxa"/>
                <w:trHeight w:val="90" w:hRule="atLeast"/>
                <w:jc w:val="center"/>
              </w:trPr>
              <w:tc>
                <w:tcPr>
                  <w:tcW w:w="705" w:type="dxa"/>
                  <w:vMerge w:val="continue"/>
                  <w:vAlign w:val="center"/>
                </w:tcPr>
                <w:p>
                  <w:pPr>
                    <w:snapToGrid w:val="0"/>
                    <w:spacing w:line="320" w:lineRule="exact"/>
                    <w:jc w:val="center"/>
                    <w:rPr>
                      <w:color w:val="000000" w:themeColor="text1"/>
                      <w:szCs w:val="21"/>
                      <w14:textFill>
                        <w14:solidFill>
                          <w14:schemeClr w14:val="tx1"/>
                        </w14:solidFill>
                      </w14:textFill>
                    </w:rPr>
                  </w:pPr>
                </w:p>
              </w:tc>
              <w:tc>
                <w:tcPr>
                  <w:tcW w:w="1460" w:type="dxa"/>
                  <w:gridSpan w:val="2"/>
                  <w:vAlign w:val="center"/>
                </w:tcPr>
                <w:p>
                  <w:pPr>
                    <w:overflowPunct w:val="0"/>
                    <w:spacing w:line="320" w:lineRule="exact"/>
                    <w:jc w:val="center"/>
                    <w:rPr>
                      <w:bCs/>
                      <w:color w:val="000000" w:themeColor="text1"/>
                      <w:szCs w:val="21"/>
                      <w14:textFill>
                        <w14:solidFill>
                          <w14:schemeClr w14:val="tx1"/>
                        </w14:solidFill>
                      </w14:textFill>
                    </w:rPr>
                  </w:pPr>
                  <w:r>
                    <w:rPr>
                      <w:bCs/>
                      <w:color w:val="000000" w:themeColor="text1"/>
                      <w:szCs w:val="21"/>
                      <w14:textFill>
                        <w14:solidFill>
                          <w14:schemeClr w14:val="tx1"/>
                        </w14:solidFill>
                      </w14:textFill>
                    </w:rPr>
                    <w:t>供电系统</w:t>
                  </w:r>
                </w:p>
              </w:tc>
              <w:tc>
                <w:tcPr>
                  <w:tcW w:w="2941" w:type="dxa"/>
                  <w:vAlign w:val="center"/>
                </w:tcPr>
                <w:p>
                  <w:pPr>
                    <w:overflowPunct w:val="0"/>
                    <w:spacing w:line="320" w:lineRule="exact"/>
                    <w:jc w:val="center"/>
                    <w:rPr>
                      <w:bCs/>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市政供电</w:t>
                  </w:r>
                </w:p>
              </w:tc>
              <w:tc>
                <w:tcPr>
                  <w:tcW w:w="2208" w:type="dxa"/>
                  <w:vAlign w:val="center"/>
                </w:tcPr>
                <w:p>
                  <w:pPr>
                    <w:overflowPunct w:val="0"/>
                    <w:spacing w:line="320" w:lineRule="exact"/>
                    <w:jc w:val="center"/>
                    <w:rPr>
                      <w:bCs/>
                      <w:color w:val="000000" w:themeColor="text1"/>
                      <w:szCs w:val="21"/>
                      <w14:textFill>
                        <w14:solidFill>
                          <w14:schemeClr w14:val="tx1"/>
                        </w14:solidFill>
                      </w14:textFill>
                    </w:rPr>
                  </w:pPr>
                  <w:r>
                    <w:rPr>
                      <w:rFonts w:hint="eastAsia"/>
                      <w:color w:val="000000" w:themeColor="text1"/>
                      <w:szCs w:val="21"/>
                      <w:lang w:val="en-US" w:eastAsia="zh-CN"/>
                      <w14:textFill>
                        <w14:solidFill>
                          <w14:schemeClr w14:val="tx1"/>
                        </w14:solidFill>
                      </w14:textFill>
                    </w:rPr>
                    <w:t>20</w:t>
                  </w:r>
                  <w:r>
                    <w:rPr>
                      <w:color w:val="000000" w:themeColor="text1"/>
                      <w:szCs w:val="21"/>
                      <w14:textFill>
                        <w14:solidFill>
                          <w14:schemeClr w14:val="tx1"/>
                        </w14:solidFill>
                      </w14:textFill>
                    </w:rPr>
                    <w:t>万kWh/a</w:t>
                  </w:r>
                </w:p>
              </w:tc>
              <w:tc>
                <w:tcPr>
                  <w:tcW w:w="998" w:type="dxa"/>
                  <w:vAlign w:val="center"/>
                </w:tcPr>
                <w:p>
                  <w:pPr>
                    <w:spacing w:line="320" w:lineRule="exact"/>
                    <w:jc w:val="center"/>
                    <w:textAlignment w:val="baseline"/>
                    <w:rPr>
                      <w:color w:val="000000" w:themeColor="text1"/>
                      <w:spacing w:val="-2"/>
                      <w:kern w:val="28"/>
                      <w:szCs w:val="21"/>
                      <w14:textFill>
                        <w14:solidFill>
                          <w14:schemeClr w14:val="tx1"/>
                        </w14:solidFill>
                      </w14:textFill>
                    </w:rPr>
                  </w:pPr>
                  <w:r>
                    <w:rPr>
                      <w:color w:val="000000" w:themeColor="text1"/>
                      <w:spacing w:val="-2"/>
                      <w:kern w:val="28"/>
                      <w:szCs w:val="21"/>
                      <w14:textFill>
                        <w14:solidFill>
                          <w14:schemeClr w14:val="tx1"/>
                        </w14:solidFill>
                      </w14:textFill>
                    </w:rPr>
                    <w:t>依托厂区内现有供电管网</w:t>
                  </w:r>
                </w:p>
              </w:tc>
            </w:tr>
            <w:tr>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51" w:type="dxa"/>
                  <w:bottom w:w="0" w:type="dxa"/>
                  <w:right w:w="51" w:type="dxa"/>
                </w:tblCellMar>
              </w:tblPrEx>
              <w:trPr>
                <w:trHeight w:val="611" w:hRule="atLeast"/>
                <w:jc w:val="center"/>
              </w:trPr>
              <w:tc>
                <w:tcPr>
                  <w:tcW w:w="705" w:type="dxa"/>
                  <w:vMerge w:val="restart"/>
                  <w:vAlign w:val="center"/>
                </w:tcPr>
                <w:p>
                  <w:pPr>
                    <w:snapToGrid w:val="0"/>
                    <w:spacing w:line="320" w:lineRule="exac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环保工程</w:t>
                  </w:r>
                </w:p>
              </w:tc>
              <w:tc>
                <w:tcPr>
                  <w:tcW w:w="1460" w:type="dxa"/>
                  <w:gridSpan w:val="2"/>
                  <w:vMerge w:val="restart"/>
                  <w:vAlign w:val="center"/>
                </w:tcPr>
                <w:p>
                  <w:pPr>
                    <w:snapToGrid w:val="0"/>
                    <w:spacing w:line="320" w:lineRule="exact"/>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废气</w:t>
                  </w:r>
                </w:p>
              </w:tc>
              <w:tc>
                <w:tcPr>
                  <w:tcW w:w="5149" w:type="dxa"/>
                  <w:gridSpan w:val="2"/>
                  <w:vMerge w:val="restart"/>
                  <w:vAlign w:val="center"/>
                </w:tcPr>
                <w:p>
                  <w:pPr>
                    <w:spacing w:line="320" w:lineRule="exact"/>
                    <w:jc w:val="center"/>
                    <w:textAlignment w:val="baseline"/>
                    <w:rPr>
                      <w:rFonts w:hint="eastAsia" w:eastAsia="宋体"/>
                      <w:color w:val="000000" w:themeColor="text1"/>
                      <w:szCs w:val="21"/>
                      <w:lang w:eastAsia="zh-CN"/>
                      <w14:textFill>
                        <w14:solidFill>
                          <w14:schemeClr w14:val="tx1"/>
                        </w14:solidFill>
                      </w14:textFill>
                    </w:rPr>
                  </w:pPr>
                  <w:r>
                    <w:rPr>
                      <w:rFonts w:hint="eastAsia"/>
                      <w:color w:val="000000" w:themeColor="text1"/>
                      <w:lang w:eastAsia="zh-CN"/>
                      <w14:textFill>
                        <w14:solidFill>
                          <w14:schemeClr w14:val="tx1"/>
                        </w14:solidFill>
                      </w14:textFill>
                    </w:rPr>
                    <w:t>本项目投料工序会产生少量粉尘，经经半密闭的集气罩收集至</w:t>
                  </w:r>
                  <w:r>
                    <w:rPr>
                      <w:rFonts w:hint="eastAsia"/>
                      <w:color w:val="000000" w:themeColor="text1"/>
                      <w:lang w:val="en-US" w:eastAsia="zh-CN"/>
                      <w14:textFill>
                        <w14:solidFill>
                          <w14:schemeClr w14:val="tx1"/>
                        </w14:solidFill>
                      </w14:textFill>
                    </w:rPr>
                    <w:t>1套布袋除尘器处理后经15m排气筒DA001高空排放</w:t>
                  </w:r>
                  <w:r>
                    <w:rPr>
                      <w:rFonts w:hint="eastAsia"/>
                      <w:color w:val="000000" w:themeColor="text1"/>
                      <w:lang w:eastAsia="zh-CN"/>
                      <w14:textFill>
                        <w14:solidFill>
                          <w14:schemeClr w14:val="tx1"/>
                        </w14:solidFill>
                      </w14:textFill>
                    </w:rPr>
                    <w:t>；</w:t>
                  </w:r>
                </w:p>
                <w:p>
                  <w:pPr>
                    <w:spacing w:line="320" w:lineRule="exact"/>
                    <w:jc w:val="center"/>
                    <w:textAlignment w:val="baseline"/>
                    <w:rPr>
                      <w:rFonts w:hint="default" w:eastAsia="宋体"/>
                      <w:color w:val="000000" w:themeColor="text1"/>
                      <w:lang w:val="en-US" w:eastAsia="zh-CN"/>
                      <w14:textFill>
                        <w14:solidFill>
                          <w14:schemeClr w14:val="tx1"/>
                        </w14:solidFill>
                      </w14:textFill>
                    </w:rPr>
                  </w:pPr>
                  <w:r>
                    <w:rPr>
                      <w:rFonts w:hint="eastAsia"/>
                      <w:color w:val="000000" w:themeColor="text1"/>
                      <w:lang w:eastAsia="zh-CN"/>
                      <w14:textFill>
                        <w14:solidFill>
                          <w14:schemeClr w14:val="tx1"/>
                        </w14:solidFill>
                      </w14:textFill>
                    </w:rPr>
                    <w:t>本项目注塑废气产生的非甲烷总烃和极少量氯化氢（不定量分析）经半密闭的集气罩收集至</w:t>
                  </w:r>
                  <w:r>
                    <w:rPr>
                      <w:rFonts w:hint="eastAsia"/>
                      <w:color w:val="000000" w:themeColor="text1"/>
                      <w:lang w:val="en-US" w:eastAsia="zh-CN"/>
                      <w14:textFill>
                        <w14:solidFill>
                          <w14:schemeClr w14:val="tx1"/>
                        </w14:solidFill>
                      </w14:textFill>
                    </w:rPr>
                    <w:t>1套“二级活性炭吸附装置”处理后经15m排气筒DA001高空排放</w:t>
                  </w:r>
                </w:p>
              </w:tc>
              <w:tc>
                <w:tcPr>
                  <w:tcW w:w="1120" w:type="dxa"/>
                  <w:gridSpan w:val="2"/>
                  <w:vAlign w:val="center"/>
                </w:tcPr>
                <w:p>
                  <w:pPr>
                    <w:spacing w:line="320" w:lineRule="exact"/>
                    <w:jc w:val="center"/>
                    <w:textAlignment w:val="baseline"/>
                    <w:rPr>
                      <w:color w:val="000000" w:themeColor="text1"/>
                      <w:spacing w:val="-2"/>
                      <w:kern w:val="28"/>
                      <w:szCs w:val="21"/>
                      <w14:textFill>
                        <w14:solidFill>
                          <w14:schemeClr w14:val="tx1"/>
                        </w14:solidFill>
                      </w14:textFill>
                    </w:rPr>
                  </w:pPr>
                  <w:r>
                    <w:rPr>
                      <w:color w:val="000000" w:themeColor="text1"/>
                      <w:spacing w:val="-2"/>
                      <w:kern w:val="28"/>
                      <w:szCs w:val="21"/>
                      <w14:textFill>
                        <w14:solidFill>
                          <w14:schemeClr w14:val="tx1"/>
                        </w14:solidFill>
                      </w14:textFill>
                    </w:rPr>
                    <w:t>新建</w:t>
                  </w:r>
                </w:p>
              </w:tc>
            </w:tr>
            <w:tr>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51" w:type="dxa"/>
                  <w:bottom w:w="0" w:type="dxa"/>
                  <w:right w:w="51" w:type="dxa"/>
                </w:tblCellMar>
              </w:tblPrEx>
              <w:trPr>
                <w:trHeight w:val="950" w:hRule="atLeast"/>
                <w:jc w:val="center"/>
              </w:trPr>
              <w:tc>
                <w:tcPr>
                  <w:tcW w:w="705" w:type="dxa"/>
                  <w:vMerge w:val="continue"/>
                  <w:vAlign w:val="center"/>
                </w:tcPr>
                <w:p>
                  <w:pPr>
                    <w:snapToGrid w:val="0"/>
                    <w:spacing w:line="320" w:lineRule="exact"/>
                    <w:jc w:val="center"/>
                    <w:rPr>
                      <w:color w:val="000000" w:themeColor="text1"/>
                      <w:szCs w:val="21"/>
                      <w14:textFill>
                        <w14:solidFill>
                          <w14:schemeClr w14:val="tx1"/>
                        </w14:solidFill>
                      </w14:textFill>
                    </w:rPr>
                  </w:pPr>
                </w:p>
              </w:tc>
              <w:tc>
                <w:tcPr>
                  <w:tcW w:w="1460" w:type="dxa"/>
                  <w:gridSpan w:val="2"/>
                  <w:vMerge w:val="continue"/>
                  <w:vAlign w:val="center"/>
                </w:tcPr>
                <w:p>
                  <w:pPr>
                    <w:snapToGrid w:val="0"/>
                    <w:spacing w:line="320" w:lineRule="exact"/>
                    <w:jc w:val="center"/>
                    <w:rPr>
                      <w:rFonts w:hint="eastAsia"/>
                      <w:color w:val="000000" w:themeColor="text1"/>
                      <w:szCs w:val="21"/>
                      <w14:textFill>
                        <w14:solidFill>
                          <w14:schemeClr w14:val="tx1"/>
                        </w14:solidFill>
                      </w14:textFill>
                    </w:rPr>
                  </w:pPr>
                </w:p>
              </w:tc>
              <w:tc>
                <w:tcPr>
                  <w:tcW w:w="5149" w:type="dxa"/>
                  <w:gridSpan w:val="2"/>
                  <w:vMerge w:val="continue"/>
                  <w:vAlign w:val="center"/>
                </w:tcPr>
                <w:p>
                  <w:pPr>
                    <w:spacing w:line="320" w:lineRule="exact"/>
                    <w:jc w:val="center"/>
                    <w:textAlignment w:val="baseline"/>
                    <w:rPr>
                      <w:rFonts w:hint="default" w:eastAsia="宋体"/>
                      <w:color w:val="000000" w:themeColor="text1"/>
                      <w:lang w:val="en-US" w:eastAsia="zh-CN"/>
                      <w14:textFill>
                        <w14:solidFill>
                          <w14:schemeClr w14:val="tx1"/>
                        </w14:solidFill>
                      </w14:textFill>
                    </w:rPr>
                  </w:pPr>
                </w:p>
              </w:tc>
              <w:tc>
                <w:tcPr>
                  <w:tcW w:w="1120" w:type="dxa"/>
                  <w:gridSpan w:val="2"/>
                  <w:vAlign w:val="center"/>
                </w:tcPr>
                <w:p>
                  <w:pPr>
                    <w:spacing w:line="320" w:lineRule="exact"/>
                    <w:jc w:val="center"/>
                    <w:textAlignment w:val="baseline"/>
                    <w:rPr>
                      <w:color w:val="000000" w:themeColor="text1"/>
                      <w:spacing w:val="-2"/>
                      <w:kern w:val="28"/>
                      <w:szCs w:val="21"/>
                      <w14:textFill>
                        <w14:solidFill>
                          <w14:schemeClr w14:val="tx1"/>
                        </w14:solidFill>
                      </w14:textFill>
                    </w:rPr>
                  </w:pPr>
                  <w:r>
                    <w:rPr>
                      <w:color w:val="000000" w:themeColor="text1"/>
                      <w:spacing w:val="-2"/>
                      <w:kern w:val="28"/>
                      <w:szCs w:val="21"/>
                      <w14:textFill>
                        <w14:solidFill>
                          <w14:schemeClr w14:val="tx1"/>
                        </w14:solidFill>
                      </w14:textFill>
                    </w:rPr>
                    <w:t>新建</w:t>
                  </w:r>
                </w:p>
              </w:tc>
            </w:tr>
            <w:tr>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51" w:type="dxa"/>
                  <w:bottom w:w="0" w:type="dxa"/>
                  <w:right w:w="51" w:type="dxa"/>
                </w:tblCellMar>
              </w:tblPrEx>
              <w:trPr>
                <w:gridAfter w:val="1"/>
                <w:wAfter w:w="122" w:type="dxa"/>
                <w:trHeight w:val="90" w:hRule="atLeast"/>
                <w:jc w:val="center"/>
              </w:trPr>
              <w:tc>
                <w:tcPr>
                  <w:tcW w:w="705" w:type="dxa"/>
                  <w:vMerge w:val="continue"/>
                  <w:vAlign w:val="center"/>
                </w:tcPr>
                <w:p>
                  <w:pPr>
                    <w:snapToGrid w:val="0"/>
                    <w:spacing w:line="320" w:lineRule="exact"/>
                    <w:jc w:val="center"/>
                    <w:rPr>
                      <w:color w:val="000000" w:themeColor="text1"/>
                      <w:szCs w:val="21"/>
                      <w14:textFill>
                        <w14:solidFill>
                          <w14:schemeClr w14:val="tx1"/>
                        </w14:solidFill>
                      </w14:textFill>
                    </w:rPr>
                  </w:pPr>
                </w:p>
              </w:tc>
              <w:tc>
                <w:tcPr>
                  <w:tcW w:w="1460" w:type="dxa"/>
                  <w:gridSpan w:val="2"/>
                  <w:vAlign w:val="center"/>
                </w:tcPr>
                <w:p>
                  <w:pPr>
                    <w:snapToGrid w:val="0"/>
                    <w:spacing w:line="320" w:lineRule="exac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噪声控制</w:t>
                  </w:r>
                </w:p>
              </w:tc>
              <w:tc>
                <w:tcPr>
                  <w:tcW w:w="2941" w:type="dxa"/>
                  <w:vAlign w:val="center"/>
                </w:tcPr>
                <w:p>
                  <w:pPr>
                    <w:spacing w:line="320" w:lineRule="exact"/>
                    <w:jc w:val="center"/>
                    <w:textAlignment w:val="baseline"/>
                    <w:rPr>
                      <w:color w:val="000000" w:themeColor="text1"/>
                      <w:szCs w:val="21"/>
                      <w14:textFill>
                        <w14:solidFill>
                          <w14:schemeClr w14:val="tx1"/>
                        </w14:solidFill>
                      </w14:textFill>
                    </w:rPr>
                  </w:pPr>
                  <w:r>
                    <w:rPr>
                      <w:color w:val="000000" w:themeColor="text1"/>
                      <w:szCs w:val="21"/>
                      <w14:textFill>
                        <w14:solidFill>
                          <w14:schemeClr w14:val="tx1"/>
                        </w14:solidFill>
                      </w14:textFill>
                    </w:rPr>
                    <w:t>减震、隔声等降噪措施</w:t>
                  </w:r>
                </w:p>
              </w:tc>
              <w:tc>
                <w:tcPr>
                  <w:tcW w:w="2208" w:type="dxa"/>
                  <w:vAlign w:val="center"/>
                </w:tcPr>
                <w:p>
                  <w:pPr>
                    <w:spacing w:line="320" w:lineRule="exact"/>
                    <w:jc w:val="center"/>
                    <w:textAlignment w:val="baseline"/>
                    <w:rPr>
                      <w:color w:val="000000" w:themeColor="text1"/>
                      <w:spacing w:val="-2"/>
                      <w:kern w:val="28"/>
                      <w:szCs w:val="21"/>
                      <w14:textFill>
                        <w14:solidFill>
                          <w14:schemeClr w14:val="tx1"/>
                        </w14:solidFill>
                      </w14:textFill>
                    </w:rPr>
                  </w:pPr>
                  <w:r>
                    <w:rPr>
                      <w:rFonts w:hint="eastAsia"/>
                      <w:color w:val="000000" w:themeColor="text1"/>
                      <w:szCs w:val="21"/>
                      <w14:textFill>
                        <w14:solidFill>
                          <w14:schemeClr w14:val="tx1"/>
                        </w14:solidFill>
                      </w14:textFill>
                    </w:rPr>
                    <w:t>降噪约15-30</w:t>
                  </w:r>
                  <w:r>
                    <w:rPr>
                      <w:color w:val="000000" w:themeColor="text1"/>
                      <w:szCs w:val="21"/>
                      <w14:textFill>
                        <w14:solidFill>
                          <w14:schemeClr w14:val="tx1"/>
                        </w14:solidFill>
                      </w14:textFill>
                    </w:rPr>
                    <w:t>dB（A）</w:t>
                  </w:r>
                  <w:r>
                    <w:rPr>
                      <w:rFonts w:hint="eastAsia"/>
                      <w:color w:val="000000" w:themeColor="text1"/>
                      <w:szCs w:val="21"/>
                      <w14:textFill>
                        <w14:solidFill>
                          <w14:schemeClr w14:val="tx1"/>
                        </w14:solidFill>
                      </w14:textFill>
                    </w:rPr>
                    <w:t>，厂界外达标排放</w:t>
                  </w:r>
                </w:p>
              </w:tc>
              <w:tc>
                <w:tcPr>
                  <w:tcW w:w="998" w:type="dxa"/>
                  <w:vAlign w:val="center"/>
                </w:tcPr>
                <w:p>
                  <w:pPr>
                    <w:spacing w:line="320" w:lineRule="exact"/>
                    <w:jc w:val="center"/>
                    <w:textAlignment w:val="baseline"/>
                    <w:rPr>
                      <w:color w:val="000000" w:themeColor="text1"/>
                      <w:spacing w:val="-2"/>
                      <w:kern w:val="28"/>
                      <w:szCs w:val="21"/>
                      <w14:textFill>
                        <w14:solidFill>
                          <w14:schemeClr w14:val="tx1"/>
                        </w14:solidFill>
                      </w14:textFill>
                    </w:rPr>
                  </w:pPr>
                  <w:r>
                    <w:rPr>
                      <w:color w:val="000000" w:themeColor="text1"/>
                      <w:spacing w:val="-2"/>
                      <w:kern w:val="28"/>
                      <w:szCs w:val="21"/>
                      <w14:textFill>
                        <w14:solidFill>
                          <w14:schemeClr w14:val="tx1"/>
                        </w14:solidFill>
                      </w14:textFill>
                    </w:rPr>
                    <w:t>新建</w:t>
                  </w:r>
                </w:p>
              </w:tc>
            </w:tr>
            <w:tr>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51" w:type="dxa"/>
                  <w:bottom w:w="0" w:type="dxa"/>
                  <w:right w:w="51" w:type="dxa"/>
                </w:tblCellMar>
              </w:tblPrEx>
              <w:trPr>
                <w:gridAfter w:val="1"/>
                <w:wAfter w:w="122" w:type="dxa"/>
                <w:trHeight w:val="340" w:hRule="atLeast"/>
                <w:jc w:val="center"/>
              </w:trPr>
              <w:tc>
                <w:tcPr>
                  <w:tcW w:w="705" w:type="dxa"/>
                  <w:vMerge w:val="continue"/>
                  <w:vAlign w:val="center"/>
                </w:tcPr>
                <w:p>
                  <w:pPr>
                    <w:snapToGrid w:val="0"/>
                    <w:spacing w:line="320" w:lineRule="exact"/>
                    <w:jc w:val="center"/>
                    <w:rPr>
                      <w:color w:val="000000" w:themeColor="text1"/>
                      <w:szCs w:val="21"/>
                      <w14:textFill>
                        <w14:solidFill>
                          <w14:schemeClr w14:val="tx1"/>
                        </w14:solidFill>
                      </w14:textFill>
                    </w:rPr>
                  </w:pPr>
                </w:p>
              </w:tc>
              <w:tc>
                <w:tcPr>
                  <w:tcW w:w="1460" w:type="dxa"/>
                  <w:gridSpan w:val="2"/>
                  <w:vAlign w:val="center"/>
                </w:tcPr>
                <w:p>
                  <w:pPr>
                    <w:adjustRightInd w:val="0"/>
                    <w:snapToGrid w:val="0"/>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废水处理</w:t>
                  </w:r>
                </w:p>
              </w:tc>
              <w:tc>
                <w:tcPr>
                  <w:tcW w:w="5149" w:type="dxa"/>
                  <w:gridSpan w:val="2"/>
                  <w:vAlign w:val="center"/>
                </w:tcPr>
                <w:p>
                  <w:pPr>
                    <w:adjustRightInd w:val="0"/>
                    <w:snapToGrid w:val="0"/>
                    <w:jc w:val="center"/>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生活污水经接管市政污水管网排入金坛区第二污水处理厂深度处理</w:t>
                  </w:r>
                </w:p>
              </w:tc>
              <w:tc>
                <w:tcPr>
                  <w:tcW w:w="998" w:type="dxa"/>
                  <w:vAlign w:val="center"/>
                </w:tcPr>
                <w:p>
                  <w:pPr>
                    <w:spacing w:line="320" w:lineRule="exact"/>
                    <w:jc w:val="center"/>
                    <w:textAlignment w:val="baseline"/>
                    <w:rPr>
                      <w:color w:val="000000" w:themeColor="text1"/>
                      <w:spacing w:val="-2"/>
                      <w:kern w:val="28"/>
                      <w:szCs w:val="21"/>
                      <w14:textFill>
                        <w14:solidFill>
                          <w14:schemeClr w14:val="tx1"/>
                        </w14:solidFill>
                      </w14:textFill>
                    </w:rPr>
                  </w:pPr>
                  <w:r>
                    <w:rPr>
                      <w:color w:val="000000" w:themeColor="text1"/>
                      <w:spacing w:val="-2"/>
                      <w:kern w:val="28"/>
                      <w:szCs w:val="21"/>
                      <w14:textFill>
                        <w14:solidFill>
                          <w14:schemeClr w14:val="tx1"/>
                        </w14:solidFill>
                      </w14:textFill>
                    </w:rPr>
                    <w:t>依托厂区现有污水管网</w:t>
                  </w:r>
                </w:p>
              </w:tc>
            </w:tr>
            <w:tr>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51" w:type="dxa"/>
                  <w:bottom w:w="0" w:type="dxa"/>
                  <w:right w:w="51" w:type="dxa"/>
                </w:tblCellMar>
              </w:tblPrEx>
              <w:trPr>
                <w:gridAfter w:val="1"/>
                <w:wAfter w:w="122" w:type="dxa"/>
                <w:trHeight w:val="802" w:hRule="atLeast"/>
                <w:jc w:val="center"/>
              </w:trPr>
              <w:tc>
                <w:tcPr>
                  <w:tcW w:w="705" w:type="dxa"/>
                  <w:vMerge w:val="continue"/>
                  <w:vAlign w:val="center"/>
                </w:tcPr>
                <w:p>
                  <w:pPr>
                    <w:snapToGrid w:val="0"/>
                    <w:spacing w:line="320" w:lineRule="exact"/>
                    <w:jc w:val="center"/>
                    <w:rPr>
                      <w:color w:val="000000" w:themeColor="text1"/>
                      <w:szCs w:val="21"/>
                      <w14:textFill>
                        <w14:solidFill>
                          <w14:schemeClr w14:val="tx1"/>
                        </w14:solidFill>
                      </w14:textFill>
                    </w:rPr>
                  </w:pPr>
                </w:p>
              </w:tc>
              <w:tc>
                <w:tcPr>
                  <w:tcW w:w="1460" w:type="dxa"/>
                  <w:gridSpan w:val="2"/>
                  <w:vMerge w:val="restart"/>
                  <w:vAlign w:val="center"/>
                </w:tcPr>
                <w:p>
                  <w:pPr>
                    <w:adjustRightInd w:val="0"/>
                    <w:snapToGrid w:val="0"/>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固废堆场</w:t>
                  </w:r>
                </w:p>
              </w:tc>
              <w:tc>
                <w:tcPr>
                  <w:tcW w:w="2941" w:type="dxa"/>
                  <w:vAlign w:val="center"/>
                </w:tcPr>
                <w:p>
                  <w:pPr>
                    <w:adjustRightInd w:val="0"/>
                    <w:snapToGrid w:val="0"/>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一般固废仓库位于生产车间内，一般固废仓库</w:t>
                  </w:r>
                  <w:r>
                    <w:rPr>
                      <w:rFonts w:hint="eastAsia"/>
                      <w:color w:val="000000" w:themeColor="text1"/>
                      <w:szCs w:val="21"/>
                      <w:lang w:val="en-US" w:eastAsia="zh-CN"/>
                      <w14:textFill>
                        <w14:solidFill>
                          <w14:schemeClr w14:val="tx1"/>
                        </w14:solidFill>
                      </w14:textFill>
                    </w:rPr>
                    <w:t>15</w:t>
                  </w:r>
                  <w:r>
                    <w:rPr>
                      <w:color w:val="000000" w:themeColor="text1"/>
                      <w:szCs w:val="21"/>
                      <w14:textFill>
                        <w14:solidFill>
                          <w14:schemeClr w14:val="tx1"/>
                        </w14:solidFill>
                      </w14:textFill>
                    </w:rPr>
                    <w:t>m</w:t>
                  </w:r>
                  <w:r>
                    <w:rPr>
                      <w:color w:val="000000" w:themeColor="text1"/>
                      <w:szCs w:val="21"/>
                      <w:vertAlign w:val="superscript"/>
                      <w14:textFill>
                        <w14:solidFill>
                          <w14:schemeClr w14:val="tx1"/>
                        </w14:solidFill>
                      </w14:textFill>
                    </w:rPr>
                    <w:t>2</w:t>
                  </w:r>
                </w:p>
              </w:tc>
              <w:tc>
                <w:tcPr>
                  <w:tcW w:w="2208" w:type="dxa"/>
                  <w:vMerge w:val="restart"/>
                  <w:vAlign w:val="center"/>
                </w:tcPr>
                <w:p>
                  <w:pPr>
                    <w:adjustRightInd w:val="0"/>
                    <w:snapToGrid w:val="0"/>
                    <w:jc w:val="center"/>
                    <w:rPr>
                      <w:rFonts w:hint="eastAsia"/>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固废</w:t>
                  </w:r>
                  <w:r>
                    <w:rPr>
                      <w:color w:val="000000" w:themeColor="text1"/>
                      <w:szCs w:val="21"/>
                      <w14:textFill>
                        <w14:solidFill>
                          <w14:schemeClr w14:val="tx1"/>
                        </w14:solidFill>
                      </w14:textFill>
                    </w:rPr>
                    <w:t>分类收集、分类堆放</w:t>
                  </w:r>
                  <w:r>
                    <w:rPr>
                      <w:rFonts w:hint="eastAsia"/>
                      <w:color w:val="000000" w:themeColor="text1"/>
                      <w:szCs w:val="21"/>
                      <w14:textFill>
                        <w14:solidFill>
                          <w14:schemeClr w14:val="tx1"/>
                        </w14:solidFill>
                      </w14:textFill>
                    </w:rPr>
                    <w:t>，分类处理</w:t>
                  </w:r>
                </w:p>
                <w:p>
                  <w:pPr>
                    <w:adjustRightInd w:val="0"/>
                    <w:snapToGrid w:val="0"/>
                    <w:jc w:val="center"/>
                    <w:rPr>
                      <w:rFonts w:hint="eastAsia"/>
                      <w:color w:val="000000" w:themeColor="text1"/>
                      <w:szCs w:val="21"/>
                      <w14:textFill>
                        <w14:solidFill>
                          <w14:schemeClr w14:val="tx1"/>
                        </w14:solidFill>
                      </w14:textFill>
                    </w:rPr>
                  </w:pPr>
                </w:p>
              </w:tc>
              <w:tc>
                <w:tcPr>
                  <w:tcW w:w="998" w:type="dxa"/>
                  <w:vMerge w:val="restart"/>
                  <w:vAlign w:val="center"/>
                </w:tcPr>
                <w:p>
                  <w:pPr>
                    <w:spacing w:line="320" w:lineRule="exact"/>
                    <w:jc w:val="center"/>
                    <w:textAlignment w:val="baseline"/>
                    <w:rPr>
                      <w:color w:val="000000" w:themeColor="text1"/>
                      <w:spacing w:val="-2"/>
                      <w:kern w:val="28"/>
                      <w:szCs w:val="21"/>
                      <w14:textFill>
                        <w14:solidFill>
                          <w14:schemeClr w14:val="tx1"/>
                        </w14:solidFill>
                      </w14:textFill>
                    </w:rPr>
                  </w:pPr>
                  <w:r>
                    <w:rPr>
                      <w:rFonts w:hint="eastAsia"/>
                      <w:color w:val="000000" w:themeColor="text1"/>
                      <w:spacing w:val="-2"/>
                      <w:kern w:val="28"/>
                      <w:szCs w:val="21"/>
                      <w14:textFill>
                        <w14:solidFill>
                          <w14:schemeClr w14:val="tx1"/>
                        </w14:solidFill>
                      </w14:textFill>
                    </w:rPr>
                    <w:t>新建</w:t>
                  </w:r>
                </w:p>
              </w:tc>
            </w:tr>
            <w:tr>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51" w:type="dxa"/>
                  <w:bottom w:w="0" w:type="dxa"/>
                  <w:right w:w="51" w:type="dxa"/>
                </w:tblCellMar>
              </w:tblPrEx>
              <w:trPr>
                <w:gridAfter w:val="1"/>
                <w:wAfter w:w="122" w:type="dxa"/>
                <w:trHeight w:val="408" w:hRule="atLeast"/>
                <w:jc w:val="center"/>
              </w:trPr>
              <w:tc>
                <w:tcPr>
                  <w:tcW w:w="705" w:type="dxa"/>
                  <w:vMerge w:val="continue"/>
                  <w:vAlign w:val="center"/>
                </w:tcPr>
                <w:p>
                  <w:pPr>
                    <w:adjustRightInd w:val="0"/>
                    <w:snapToGrid w:val="0"/>
                    <w:jc w:val="center"/>
                  </w:pPr>
                </w:p>
              </w:tc>
              <w:tc>
                <w:tcPr>
                  <w:tcW w:w="1460" w:type="dxa"/>
                  <w:gridSpan w:val="2"/>
                  <w:vMerge w:val="continue"/>
                  <w:vAlign w:val="center"/>
                </w:tcPr>
                <w:p>
                  <w:pPr>
                    <w:adjustRightInd w:val="0"/>
                    <w:snapToGrid w:val="0"/>
                    <w:jc w:val="center"/>
                  </w:pPr>
                </w:p>
              </w:tc>
              <w:tc>
                <w:tcPr>
                  <w:tcW w:w="2941" w:type="dxa"/>
                  <w:vAlign w:val="center"/>
                </w:tcPr>
                <w:p>
                  <w:pPr>
                    <w:adjustRightInd w:val="0"/>
                    <w:snapToGrid w:val="0"/>
                    <w:jc w:val="center"/>
                  </w:pPr>
                  <w:r>
                    <w:rPr>
                      <w:rFonts w:hint="eastAsia"/>
                      <w:color w:val="000000" w:themeColor="text1"/>
                      <w:szCs w:val="21"/>
                      <w14:textFill>
                        <w14:solidFill>
                          <w14:schemeClr w14:val="tx1"/>
                        </w14:solidFill>
                      </w14:textFill>
                    </w:rPr>
                    <w:t>危废仓库位于生产车间内，危废仓库</w:t>
                  </w:r>
                  <w:r>
                    <w:rPr>
                      <w:rFonts w:hint="eastAsia"/>
                      <w:color w:val="000000" w:themeColor="text1"/>
                      <w:szCs w:val="21"/>
                      <w:lang w:val="en-US" w:eastAsia="zh-CN"/>
                      <w14:textFill>
                        <w14:solidFill>
                          <w14:schemeClr w14:val="tx1"/>
                        </w14:solidFill>
                      </w14:textFill>
                    </w:rPr>
                    <w:t>54</w:t>
                  </w:r>
                  <w:r>
                    <w:rPr>
                      <w:color w:val="000000" w:themeColor="text1"/>
                      <w:szCs w:val="21"/>
                      <w14:textFill>
                        <w14:solidFill>
                          <w14:schemeClr w14:val="tx1"/>
                        </w14:solidFill>
                      </w14:textFill>
                    </w:rPr>
                    <w:t>m</w:t>
                  </w:r>
                  <w:r>
                    <w:rPr>
                      <w:color w:val="000000" w:themeColor="text1"/>
                      <w:szCs w:val="21"/>
                      <w:vertAlign w:val="superscript"/>
                      <w14:textFill>
                        <w14:solidFill>
                          <w14:schemeClr w14:val="tx1"/>
                        </w14:solidFill>
                      </w14:textFill>
                    </w:rPr>
                    <w:t>2</w:t>
                  </w:r>
                </w:p>
              </w:tc>
              <w:tc>
                <w:tcPr>
                  <w:tcW w:w="2208" w:type="dxa"/>
                  <w:vMerge w:val="continue"/>
                  <w:vAlign w:val="center"/>
                </w:tcPr>
                <w:p>
                  <w:pPr>
                    <w:adjustRightInd w:val="0"/>
                    <w:snapToGrid w:val="0"/>
                    <w:jc w:val="center"/>
                  </w:pPr>
                </w:p>
              </w:tc>
              <w:tc>
                <w:tcPr>
                  <w:tcW w:w="998" w:type="dxa"/>
                  <w:vMerge w:val="continue"/>
                  <w:vAlign w:val="center"/>
                </w:tcPr>
                <w:p>
                  <w:pPr>
                    <w:adjustRightInd w:val="0"/>
                    <w:snapToGrid w:val="0"/>
                    <w:jc w:val="center"/>
                  </w:pPr>
                </w:p>
              </w:tc>
            </w:tr>
          </w:tbl>
          <w:p>
            <w:pPr>
              <w:snapToGrid w:val="0"/>
              <w:spacing w:before="156" w:beforeLines="50" w:line="360" w:lineRule="auto"/>
              <w:ind w:firstLine="480" w:firstLineChars="200"/>
              <w:rPr>
                <w:b/>
                <w:color w:val="000000" w:themeColor="text1"/>
                <w:sz w:val="24"/>
                <w14:textFill>
                  <w14:solidFill>
                    <w14:schemeClr w14:val="tx1"/>
                  </w14:solidFill>
                </w14:textFill>
              </w:rPr>
            </w:pPr>
            <w:r>
              <w:rPr>
                <w:b/>
                <w:color w:val="000000" w:themeColor="text1"/>
                <w:sz w:val="24"/>
                <w14:textFill>
                  <w14:solidFill>
                    <w14:schemeClr w14:val="tx1"/>
                  </w14:solidFill>
                </w14:textFill>
              </w:rPr>
              <w:t>3、厂区平面布置及周边环境概况</w:t>
            </w:r>
          </w:p>
          <w:p>
            <w:pPr>
              <w:pStyle w:val="235"/>
              <w:ind w:firstLine="482"/>
              <w:jc w:val="both"/>
              <w:rPr>
                <w:b/>
                <w:color w:val="000000" w:themeColor="text1"/>
                <w14:textFill>
                  <w14:solidFill>
                    <w14:schemeClr w14:val="tx1"/>
                  </w14:solidFill>
                </w14:textFill>
              </w:rPr>
            </w:pPr>
            <w:r>
              <w:rPr>
                <w:b/>
                <w:color w:val="000000" w:themeColor="text1"/>
                <w14:textFill>
                  <w14:solidFill>
                    <w14:schemeClr w14:val="tx1"/>
                  </w14:solidFill>
                </w14:textFill>
              </w:rPr>
              <w:t>项目厂区平面布置概况：</w:t>
            </w:r>
          </w:p>
          <w:p>
            <w:pPr>
              <w:pStyle w:val="235"/>
              <w:jc w:val="both"/>
              <w:rPr>
                <w:color w:val="000000" w:themeColor="text1"/>
                <w:kern w:val="2"/>
                <w14:textFill>
                  <w14:solidFill>
                    <w14:schemeClr w14:val="tx1"/>
                  </w14:solidFill>
                </w14:textFill>
              </w:rPr>
            </w:pPr>
            <w:r>
              <w:rPr>
                <w:color w:val="000000" w:themeColor="text1"/>
                <w:kern w:val="2"/>
                <w14:textFill>
                  <w14:solidFill>
                    <w14:schemeClr w14:val="tx1"/>
                  </w14:solidFill>
                </w14:textFill>
              </w:rPr>
              <w:t>本项目位于江苏省</w:t>
            </w:r>
            <w:r>
              <w:rPr>
                <w:rFonts w:hint="eastAsia"/>
                <w:color w:val="000000" w:themeColor="text1"/>
                <w:kern w:val="2"/>
                <w:lang w:eastAsia="zh-CN"/>
                <w14:textFill>
                  <w14:solidFill>
                    <w14:schemeClr w14:val="tx1"/>
                  </w14:solidFill>
                </w14:textFill>
              </w:rPr>
              <w:t>金坛经济开发区复兴路智谷科技园4号楼2楼西</w:t>
            </w:r>
            <w:r>
              <w:rPr>
                <w:color w:val="000000" w:themeColor="text1"/>
                <w:kern w:val="2"/>
                <w14:textFill>
                  <w14:solidFill>
                    <w14:schemeClr w14:val="tx1"/>
                  </w14:solidFill>
                </w14:textFill>
              </w:rPr>
              <w:t>，系租赁</w:t>
            </w:r>
            <w:r>
              <w:rPr>
                <w:rFonts w:hint="eastAsia"/>
                <w:color w:val="000000" w:themeColor="text1"/>
                <w:lang w:eastAsia="zh-CN"/>
                <w14:textFill>
                  <w14:solidFill>
                    <w14:schemeClr w14:val="tx1"/>
                  </w14:solidFill>
                </w14:textFill>
              </w:rPr>
              <w:t>智谷科技园</w:t>
            </w:r>
            <w:r>
              <w:rPr>
                <w:color w:val="000000" w:themeColor="text1"/>
                <w:kern w:val="2"/>
                <w14:textFill>
                  <w14:solidFill>
                    <w14:schemeClr w14:val="tx1"/>
                  </w14:solidFill>
                </w14:textFill>
              </w:rPr>
              <w:t>闲置</w:t>
            </w:r>
            <w:r>
              <w:rPr>
                <w:rFonts w:hint="eastAsia"/>
                <w:color w:val="000000" w:themeColor="text1"/>
                <w:kern w:val="2"/>
                <w:lang w:eastAsia="zh-CN"/>
                <w14:textFill>
                  <w14:solidFill>
                    <w14:schemeClr w14:val="tx1"/>
                  </w14:solidFill>
                </w14:textFill>
              </w:rPr>
              <w:t>标准化</w:t>
            </w:r>
            <w:r>
              <w:rPr>
                <w:rFonts w:hint="eastAsia"/>
                <w:color w:val="000000" w:themeColor="text1"/>
                <w:kern w:val="2"/>
                <w14:textFill>
                  <w14:solidFill>
                    <w14:schemeClr w14:val="tx1"/>
                  </w14:solidFill>
                </w14:textFill>
              </w:rPr>
              <w:t>生产</w:t>
            </w:r>
            <w:r>
              <w:rPr>
                <w:color w:val="000000" w:themeColor="text1"/>
                <w:kern w:val="2"/>
                <w14:textFill>
                  <w14:solidFill>
                    <w14:schemeClr w14:val="tx1"/>
                  </w14:solidFill>
                </w14:textFill>
              </w:rPr>
              <w:t>厂房</w:t>
            </w:r>
            <w:r>
              <w:rPr>
                <w:rFonts w:hint="eastAsia"/>
                <w:color w:val="000000" w:themeColor="text1"/>
                <w:kern w:val="2"/>
                <w14:textFill>
                  <w14:solidFill>
                    <w14:schemeClr w14:val="tx1"/>
                  </w14:solidFill>
                </w14:textFill>
              </w:rPr>
              <w:t>，共</w:t>
            </w:r>
            <w:r>
              <w:rPr>
                <w:rFonts w:hint="eastAsia"/>
                <w:color w:val="000000" w:themeColor="text1"/>
                <w:kern w:val="2"/>
                <w:lang w:val="en-US" w:eastAsia="zh-CN"/>
                <w14:textFill>
                  <w14:solidFill>
                    <w14:schemeClr w14:val="tx1"/>
                  </w14:solidFill>
                </w14:textFill>
              </w:rPr>
              <w:t>二</w:t>
            </w:r>
            <w:r>
              <w:rPr>
                <w:rFonts w:hint="eastAsia"/>
                <w:color w:val="000000" w:themeColor="text1"/>
                <w:kern w:val="2"/>
                <w14:textFill>
                  <w14:solidFill>
                    <w14:schemeClr w14:val="tx1"/>
                  </w14:solidFill>
                </w14:textFill>
              </w:rPr>
              <w:t>层，总建筑面积约为</w:t>
            </w:r>
            <w:r>
              <w:rPr>
                <w:rFonts w:hint="eastAsia"/>
                <w:color w:val="000000" w:themeColor="text1"/>
                <w:kern w:val="2"/>
                <w:lang w:val="en-US" w:eastAsia="zh-CN"/>
                <w14:textFill>
                  <w14:solidFill>
                    <w14:schemeClr w14:val="tx1"/>
                  </w14:solidFill>
                </w14:textFill>
              </w:rPr>
              <w:t>4428</w:t>
            </w:r>
            <w:r>
              <w:rPr>
                <w:rFonts w:hint="eastAsia"/>
                <w:color w:val="000000" w:themeColor="text1"/>
                <w:kern w:val="2"/>
                <w14:textFill>
                  <w14:solidFill>
                    <w14:schemeClr w14:val="tx1"/>
                  </w14:solidFill>
                </w14:textFill>
              </w:rPr>
              <w:t>m</w:t>
            </w:r>
            <w:r>
              <w:rPr>
                <w:rFonts w:hint="eastAsia"/>
                <w:color w:val="000000" w:themeColor="text1"/>
                <w:kern w:val="2"/>
                <w:vertAlign w:val="superscript"/>
                <w14:textFill>
                  <w14:solidFill>
                    <w14:schemeClr w14:val="tx1"/>
                  </w14:solidFill>
                </w14:textFill>
              </w:rPr>
              <w:t>2</w:t>
            </w:r>
            <w:r>
              <w:rPr>
                <w:rFonts w:hint="eastAsia"/>
                <w:color w:val="000000" w:themeColor="text1"/>
                <w:kern w:val="2"/>
                <w14:textFill>
                  <w14:solidFill>
                    <w14:schemeClr w14:val="tx1"/>
                  </w14:solidFill>
                </w14:textFill>
              </w:rPr>
              <w:t>。</w:t>
            </w:r>
          </w:p>
          <w:p>
            <w:pPr>
              <w:pStyle w:val="235"/>
              <w:jc w:val="both"/>
              <w:rPr>
                <w:rFonts w:hint="eastAsia" w:eastAsia="宋体"/>
                <w:color w:val="000000" w:themeColor="text1"/>
                <w:kern w:val="2"/>
                <w:lang w:eastAsia="zh-CN"/>
                <w14:textFill>
                  <w14:solidFill>
                    <w14:schemeClr w14:val="tx1"/>
                  </w14:solidFill>
                </w14:textFill>
              </w:rPr>
            </w:pPr>
            <w:r>
              <w:rPr>
                <w:rFonts w:hint="eastAsia"/>
                <w:color w:val="000000" w:themeColor="text1"/>
                <w:kern w:val="2"/>
                <w:lang w:eastAsia="zh-CN"/>
                <w14:textFill>
                  <w14:solidFill>
                    <w14:schemeClr w14:val="tx1"/>
                  </w14:solidFill>
                </w14:textFill>
              </w:rPr>
              <w:t>本项目生产厂房一层西侧布置了办公区，西南侧为休息区；休息区东侧为研发中心，用于检测产品；研发中心北侧为车间一和车间二，厂房东侧分别布置了经营场所、常温库、包装区、原材料仓库和成品库。二层用于办公行政，布置了布置书吧、经理办公室、财务办公室、研发办公室、市场销售办公室等。</w:t>
            </w:r>
          </w:p>
          <w:p>
            <w:pPr>
              <w:pStyle w:val="235"/>
              <w:jc w:val="both"/>
              <w:rPr>
                <w:color w:val="000000" w:themeColor="text1"/>
                <w14:textFill>
                  <w14:solidFill>
                    <w14:schemeClr w14:val="tx1"/>
                  </w14:solidFill>
                </w14:textFill>
              </w:rPr>
            </w:pPr>
            <w:r>
              <w:rPr>
                <w:rFonts w:hint="eastAsia"/>
                <w:color w:val="000000" w:themeColor="text1"/>
                <w:kern w:val="2"/>
                <w14:textFill>
                  <w14:solidFill>
                    <w14:schemeClr w14:val="tx1"/>
                  </w14:solidFill>
                </w14:textFill>
              </w:rPr>
              <w:t>本项目设置一般固废仓库一座（</w:t>
            </w:r>
            <w:r>
              <w:rPr>
                <w:rFonts w:hint="eastAsia"/>
                <w:color w:val="000000" w:themeColor="text1"/>
                <w:kern w:val="2"/>
                <w:lang w:val="en-US" w:eastAsia="zh-CN"/>
                <w14:textFill>
                  <w14:solidFill>
                    <w14:schemeClr w14:val="tx1"/>
                  </w14:solidFill>
                </w14:textFill>
              </w:rPr>
              <w:t>1</w:t>
            </w:r>
            <w:r>
              <w:rPr>
                <w:rFonts w:hint="eastAsia"/>
                <w:color w:val="000000" w:themeColor="text1"/>
                <w:kern w:val="2"/>
                <w14:textFill>
                  <w14:solidFill>
                    <w14:schemeClr w14:val="tx1"/>
                  </w14:solidFill>
                </w14:textFill>
              </w:rPr>
              <w:t>5m</w:t>
            </w:r>
            <w:r>
              <w:rPr>
                <w:rFonts w:hint="eastAsia"/>
                <w:color w:val="000000" w:themeColor="text1"/>
                <w:kern w:val="2"/>
                <w:vertAlign w:val="superscript"/>
                <w14:textFill>
                  <w14:solidFill>
                    <w14:schemeClr w14:val="tx1"/>
                  </w14:solidFill>
                </w14:textFill>
              </w:rPr>
              <w:t>3</w:t>
            </w:r>
            <w:r>
              <w:rPr>
                <w:rFonts w:hint="eastAsia"/>
                <w:color w:val="000000" w:themeColor="text1"/>
                <w:kern w:val="2"/>
                <w14:textFill>
                  <w14:solidFill>
                    <w14:schemeClr w14:val="tx1"/>
                  </w14:solidFill>
                </w14:textFill>
              </w:rPr>
              <w:t>）和危废仓库一座（</w:t>
            </w:r>
            <w:r>
              <w:rPr>
                <w:rFonts w:hint="eastAsia"/>
                <w:color w:val="000000" w:themeColor="text1"/>
                <w:kern w:val="2"/>
                <w:lang w:val="en-US" w:eastAsia="zh-CN"/>
                <w14:textFill>
                  <w14:solidFill>
                    <w14:schemeClr w14:val="tx1"/>
                  </w14:solidFill>
                </w14:textFill>
              </w:rPr>
              <w:t>54</w:t>
            </w:r>
            <w:r>
              <w:rPr>
                <w:rFonts w:hint="eastAsia"/>
                <w:color w:val="000000" w:themeColor="text1"/>
                <w:kern w:val="2"/>
                <w14:textFill>
                  <w14:solidFill>
                    <w14:schemeClr w14:val="tx1"/>
                  </w14:solidFill>
                </w14:textFill>
              </w:rPr>
              <w:t>m</w:t>
            </w:r>
            <w:r>
              <w:rPr>
                <w:rFonts w:hint="eastAsia"/>
                <w:color w:val="000000" w:themeColor="text1"/>
                <w:kern w:val="2"/>
                <w:vertAlign w:val="superscript"/>
                <w14:textFill>
                  <w14:solidFill>
                    <w14:schemeClr w14:val="tx1"/>
                  </w14:solidFill>
                </w14:textFill>
              </w:rPr>
              <w:t>3</w:t>
            </w:r>
            <w:r>
              <w:rPr>
                <w:rFonts w:hint="eastAsia"/>
                <w:color w:val="000000" w:themeColor="text1"/>
                <w:kern w:val="2"/>
                <w14:textFill>
                  <w14:solidFill>
                    <w14:schemeClr w14:val="tx1"/>
                  </w14:solidFill>
                </w14:textFill>
              </w:rPr>
              <w:t>），</w:t>
            </w:r>
            <w:r>
              <w:rPr>
                <w:rFonts w:hint="eastAsia"/>
                <w:color w:val="000000" w:themeColor="text1"/>
                <w:kern w:val="2"/>
                <w:lang w:eastAsia="zh-CN"/>
                <w14:textFill>
                  <w14:solidFill>
                    <w14:schemeClr w14:val="tx1"/>
                  </w14:solidFill>
                </w14:textFill>
              </w:rPr>
              <w:t>均位于厂房一层东北</w:t>
            </w:r>
            <w:r>
              <w:rPr>
                <w:rFonts w:hint="eastAsia"/>
                <w:color w:val="000000" w:themeColor="text1"/>
                <w:kern w:val="2"/>
                <w14:textFill>
                  <w14:solidFill>
                    <w14:schemeClr w14:val="tx1"/>
                  </w14:solidFill>
                </w14:textFill>
              </w:rPr>
              <w:t>侧。</w:t>
            </w:r>
          </w:p>
          <w:p>
            <w:pPr>
              <w:pStyle w:val="235"/>
              <w:rPr>
                <w:color w:val="000000" w:themeColor="text1"/>
                <w14:textFill>
                  <w14:solidFill>
                    <w14:schemeClr w14:val="tx1"/>
                  </w14:solidFill>
                </w14:textFill>
              </w:rPr>
            </w:pPr>
            <w:r>
              <w:rPr>
                <w:color w:val="000000" w:themeColor="text1"/>
                <w14:textFill>
                  <w14:solidFill>
                    <w14:schemeClr w14:val="tx1"/>
                  </w14:solidFill>
                </w14:textFill>
              </w:rPr>
              <w:t>项目平面布置图详见附图</w:t>
            </w:r>
            <w:r>
              <w:rPr>
                <w:rFonts w:hint="eastAsia"/>
                <w:color w:val="000000" w:themeColor="text1"/>
                <w14:textFill>
                  <w14:solidFill>
                    <w14:schemeClr w14:val="tx1"/>
                  </w14:solidFill>
                </w14:textFill>
              </w:rPr>
              <w:t>3</w:t>
            </w:r>
            <w:r>
              <w:rPr>
                <w:color w:val="000000" w:themeColor="text1"/>
                <w14:textFill>
                  <w14:solidFill>
                    <w14:schemeClr w14:val="tx1"/>
                  </w14:solidFill>
                </w14:textFill>
              </w:rPr>
              <w:t>。</w:t>
            </w:r>
          </w:p>
          <w:p>
            <w:pPr>
              <w:spacing w:line="360" w:lineRule="auto"/>
              <w:ind w:left="-42" w:firstLine="520" w:firstLineChars="217"/>
              <w:rPr>
                <w:b/>
                <w:color w:val="000000" w:themeColor="text1"/>
                <w:sz w:val="24"/>
                <w14:textFill>
                  <w14:solidFill>
                    <w14:schemeClr w14:val="tx1"/>
                  </w14:solidFill>
                </w14:textFill>
              </w:rPr>
            </w:pPr>
            <w:r>
              <w:rPr>
                <w:b/>
                <w:color w:val="000000" w:themeColor="text1"/>
                <w:sz w:val="24"/>
                <w14:textFill>
                  <w14:solidFill>
                    <w14:schemeClr w14:val="tx1"/>
                  </w14:solidFill>
                </w14:textFill>
              </w:rPr>
              <w:t>项目周边环境概况：</w:t>
            </w:r>
          </w:p>
          <w:p>
            <w:pPr>
              <w:spacing w:line="360" w:lineRule="auto"/>
              <w:ind w:left="-42" w:firstLine="520" w:firstLineChars="217"/>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本项目位于</w:t>
            </w:r>
            <w:r>
              <w:rPr>
                <w:rFonts w:hint="eastAsia"/>
                <w:color w:val="000000" w:themeColor="text1"/>
                <w:sz w:val="24"/>
                <w:szCs w:val="24"/>
                <w:lang w:eastAsia="zh-CN"/>
                <w14:textFill>
                  <w14:solidFill>
                    <w14:schemeClr w14:val="tx1"/>
                  </w14:solidFill>
                </w14:textFill>
              </w:rPr>
              <w:t>金坛经济开发区复兴路智谷科技园4号楼2楼西</w:t>
            </w:r>
            <w:r>
              <w:rPr>
                <w:rFonts w:hint="eastAsia"/>
                <w:color w:val="000000" w:themeColor="text1"/>
                <w:sz w:val="24"/>
                <w:szCs w:val="24"/>
                <w14:textFill>
                  <w14:solidFill>
                    <w14:schemeClr w14:val="tx1"/>
                  </w14:solidFill>
                </w14:textFill>
              </w:rPr>
              <w:t>。项目东侧为</w:t>
            </w:r>
            <w:r>
              <w:rPr>
                <w:rFonts w:hint="eastAsia"/>
                <w:color w:val="000000" w:themeColor="text1"/>
                <w:sz w:val="24"/>
                <w:szCs w:val="24"/>
                <w:lang w:eastAsia="zh-CN"/>
                <w14:textFill>
                  <w14:solidFill>
                    <w14:schemeClr w14:val="tx1"/>
                  </w14:solidFill>
                </w14:textFill>
              </w:rPr>
              <w:t>复兴路</w:t>
            </w:r>
            <w:r>
              <w:rPr>
                <w:rFonts w:hint="eastAsia"/>
                <w:color w:val="000000" w:themeColor="text1"/>
                <w:sz w:val="24"/>
                <w:szCs w:val="24"/>
                <w14:textFill>
                  <w14:solidFill>
                    <w14:schemeClr w14:val="tx1"/>
                  </w14:solidFill>
                </w14:textFill>
              </w:rPr>
              <w:t>，路东为距离本项目</w:t>
            </w:r>
            <w:r>
              <w:rPr>
                <w:rFonts w:hint="eastAsia"/>
                <w:color w:val="000000" w:themeColor="text1"/>
                <w:sz w:val="24"/>
                <w:szCs w:val="24"/>
                <w:lang w:eastAsia="zh-CN"/>
                <w14:textFill>
                  <w14:solidFill>
                    <w14:schemeClr w14:val="tx1"/>
                  </w14:solidFill>
                </w14:textFill>
              </w:rPr>
              <w:t>所在</w:t>
            </w:r>
            <w:r>
              <w:rPr>
                <w:rFonts w:hint="eastAsia"/>
                <w:color w:val="000000" w:themeColor="text1"/>
                <w:sz w:val="24"/>
                <w:szCs w:val="24"/>
                <w:lang w:val="en-US" w:eastAsia="zh-CN"/>
                <w14:textFill>
                  <w14:solidFill>
                    <w14:schemeClr w14:val="tx1"/>
                  </w14:solidFill>
                </w14:textFill>
              </w:rPr>
              <w:t>4#</w:t>
            </w:r>
            <w:r>
              <w:rPr>
                <w:rFonts w:hint="eastAsia"/>
                <w:color w:val="000000" w:themeColor="text1"/>
                <w:sz w:val="24"/>
                <w:szCs w:val="24"/>
                <w:lang w:eastAsia="zh-CN"/>
                <w14:textFill>
                  <w14:solidFill>
                    <w14:schemeClr w14:val="tx1"/>
                  </w14:solidFill>
                </w14:textFill>
              </w:rPr>
              <w:t>标准化厂房</w:t>
            </w:r>
            <w:r>
              <w:rPr>
                <w:rFonts w:hint="eastAsia"/>
                <w:color w:val="000000" w:themeColor="text1"/>
                <w:sz w:val="24"/>
                <w:szCs w:val="24"/>
                <w:lang w:val="en-US" w:eastAsia="zh-CN"/>
                <w14:textFill>
                  <w14:solidFill>
                    <w14:schemeClr w14:val="tx1"/>
                  </w14:solidFill>
                </w14:textFill>
              </w:rPr>
              <w:t>100</w:t>
            </w:r>
            <w:r>
              <w:rPr>
                <w:rFonts w:hint="eastAsia"/>
                <w:color w:val="000000" w:themeColor="text1"/>
                <w:sz w:val="24"/>
                <w:szCs w:val="24"/>
                <w14:textFill>
                  <w14:solidFill>
                    <w14:schemeClr w14:val="tx1"/>
                  </w14:solidFill>
                </w14:textFill>
              </w:rPr>
              <w:t>m的敏感目标</w:t>
            </w:r>
            <w:r>
              <w:rPr>
                <w:rFonts w:hint="eastAsia"/>
                <w:color w:val="000000" w:themeColor="text1"/>
                <w:sz w:val="24"/>
                <w:szCs w:val="24"/>
                <w:lang w:eastAsia="zh-CN"/>
                <w14:textFill>
                  <w14:solidFill>
                    <w14:schemeClr w14:val="tx1"/>
                  </w14:solidFill>
                </w14:textFill>
              </w:rPr>
              <w:t>珑庭花园（距本项目生产厂房为</w:t>
            </w:r>
            <w:r>
              <w:rPr>
                <w:rFonts w:hint="eastAsia"/>
                <w:color w:val="000000" w:themeColor="text1"/>
                <w:sz w:val="24"/>
                <w:szCs w:val="24"/>
                <w:lang w:val="en-US" w:eastAsia="zh-CN"/>
                <w14:textFill>
                  <w14:solidFill>
                    <w14:schemeClr w14:val="tx1"/>
                  </w14:solidFill>
                </w14:textFill>
              </w:rPr>
              <w:t>200m</w:t>
            </w:r>
            <w:r>
              <w:rPr>
                <w:rFonts w:hint="eastAsia"/>
                <w:color w:val="000000" w:themeColor="text1"/>
                <w:sz w:val="24"/>
                <w:szCs w:val="24"/>
                <w:lang w:eastAsia="zh-CN"/>
                <w14:textFill>
                  <w14:solidFill>
                    <w14:schemeClr w14:val="tx1"/>
                  </w14:solidFill>
                </w14:textFill>
              </w:rPr>
              <w:t>）</w:t>
            </w:r>
            <w:r>
              <w:rPr>
                <w:rFonts w:hint="eastAsia"/>
                <w:color w:val="000000" w:themeColor="text1"/>
                <w:sz w:val="24"/>
                <w:szCs w:val="24"/>
                <w14:textFill>
                  <w14:solidFill>
                    <w14:schemeClr w14:val="tx1"/>
                  </w14:solidFill>
                </w14:textFill>
              </w:rPr>
              <w:t>；</w:t>
            </w:r>
            <w:r>
              <w:rPr>
                <w:color w:val="000000" w:themeColor="text1"/>
                <w:sz w:val="24"/>
                <w:szCs w:val="24"/>
                <w14:textFill>
                  <w14:solidFill>
                    <w14:schemeClr w14:val="tx1"/>
                  </w14:solidFill>
                </w14:textFill>
              </w:rPr>
              <w:t>南侧为</w:t>
            </w:r>
            <w:r>
              <w:rPr>
                <w:rFonts w:hint="eastAsia"/>
                <w:color w:val="000000" w:themeColor="text1"/>
                <w:sz w:val="24"/>
                <w:szCs w:val="24"/>
                <w14:textFill>
                  <w14:solidFill>
                    <w14:schemeClr w14:val="tx1"/>
                  </w14:solidFill>
                </w14:textFill>
              </w:rPr>
              <w:t>常州市金坛区福悦包装机械科技有限公司和常州市金坛华勋机械有限公司</w:t>
            </w:r>
            <w:r>
              <w:rPr>
                <w:color w:val="000000" w:themeColor="text1"/>
                <w:sz w:val="24"/>
                <w:szCs w:val="24"/>
                <w14:textFill>
                  <w14:solidFill>
                    <w14:schemeClr w14:val="tx1"/>
                  </w14:solidFill>
                </w14:textFill>
              </w:rPr>
              <w:t>；西侧</w:t>
            </w:r>
            <w:r>
              <w:rPr>
                <w:rFonts w:hint="eastAsia"/>
                <w:color w:val="000000" w:themeColor="text1"/>
                <w:sz w:val="24"/>
                <w:szCs w:val="24"/>
                <w:lang w:eastAsia="zh-CN"/>
                <w14:textFill>
                  <w14:solidFill>
                    <w14:schemeClr w14:val="tx1"/>
                  </w14:solidFill>
                </w14:textFill>
              </w:rPr>
              <w:t>和北侧</w:t>
            </w:r>
            <w:r>
              <w:rPr>
                <w:color w:val="000000" w:themeColor="text1"/>
                <w:sz w:val="24"/>
                <w:szCs w:val="24"/>
                <w14:textFill>
                  <w14:solidFill>
                    <w14:schemeClr w14:val="tx1"/>
                  </w14:solidFill>
                </w14:textFill>
              </w:rPr>
              <w:t>为</w:t>
            </w:r>
            <w:r>
              <w:rPr>
                <w:rFonts w:hint="eastAsia"/>
                <w:color w:val="000000" w:themeColor="text1"/>
                <w:sz w:val="24"/>
                <w:szCs w:val="24"/>
                <w:lang w:eastAsia="zh-CN"/>
                <w14:textFill>
                  <w14:solidFill>
                    <w14:schemeClr w14:val="tx1"/>
                  </w14:solidFill>
                </w14:textFill>
              </w:rPr>
              <w:t>智谷科技园</w:t>
            </w:r>
            <w:r>
              <w:rPr>
                <w:rFonts w:hint="eastAsia"/>
                <w:color w:val="000000" w:themeColor="text1"/>
                <w:sz w:val="24"/>
                <w:szCs w:val="24"/>
                <w14:textFill>
                  <w14:solidFill>
                    <w14:schemeClr w14:val="tx1"/>
                  </w14:solidFill>
                </w14:textFill>
              </w:rPr>
              <w:t>其他</w:t>
            </w:r>
            <w:r>
              <w:rPr>
                <w:rFonts w:hint="eastAsia"/>
                <w:color w:val="000000" w:themeColor="text1"/>
                <w:sz w:val="24"/>
                <w:szCs w:val="24"/>
                <w:lang w:eastAsia="zh-CN"/>
                <w14:textFill>
                  <w14:solidFill>
                    <w14:schemeClr w14:val="tx1"/>
                  </w14:solidFill>
                </w14:textFill>
              </w:rPr>
              <w:t>标准化</w:t>
            </w:r>
            <w:r>
              <w:rPr>
                <w:rFonts w:hint="eastAsia"/>
                <w:color w:val="000000" w:themeColor="text1"/>
                <w:sz w:val="24"/>
                <w:szCs w:val="24"/>
                <w14:textFill>
                  <w14:solidFill>
                    <w14:schemeClr w14:val="tx1"/>
                  </w14:solidFill>
                </w14:textFill>
              </w:rPr>
              <w:t>厂房</w:t>
            </w:r>
            <w:r>
              <w:rPr>
                <w:color w:val="000000" w:themeColor="text1"/>
                <w:sz w:val="24"/>
                <w:szCs w:val="24"/>
                <w14:textFill>
                  <w14:solidFill>
                    <w14:schemeClr w14:val="tx1"/>
                  </w14:solidFill>
                </w14:textFill>
              </w:rPr>
              <w:t>。</w:t>
            </w:r>
          </w:p>
          <w:p>
            <w:pPr>
              <w:spacing w:line="360" w:lineRule="auto"/>
              <w:ind w:left="-42" w:firstLine="520" w:firstLineChars="217"/>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项目周围概况详见附图</w:t>
            </w:r>
            <w:r>
              <w:rPr>
                <w:rFonts w:hint="eastAsia"/>
                <w:color w:val="000000" w:themeColor="text1"/>
                <w:sz w:val="24"/>
                <w:szCs w:val="24"/>
                <w14:textFill>
                  <w14:solidFill>
                    <w14:schemeClr w14:val="tx1"/>
                  </w14:solidFill>
                </w14:textFill>
              </w:rPr>
              <w:t>2</w:t>
            </w:r>
            <w:r>
              <w:rPr>
                <w:color w:val="000000" w:themeColor="text1"/>
                <w:sz w:val="24"/>
                <w:szCs w:val="24"/>
                <w14:textFill>
                  <w14:solidFill>
                    <w14:schemeClr w14:val="tx1"/>
                  </w14:solidFill>
                </w14:textFill>
              </w:rPr>
              <w:t>。</w:t>
            </w:r>
          </w:p>
          <w:p>
            <w:pPr>
              <w:spacing w:line="360" w:lineRule="auto"/>
              <w:ind w:left="-42" w:firstLine="520" w:firstLineChars="217"/>
              <w:rPr>
                <w:b/>
                <w:color w:val="000000" w:themeColor="text1"/>
                <w:sz w:val="24"/>
                <w:szCs w:val="22"/>
                <w14:textFill>
                  <w14:solidFill>
                    <w14:schemeClr w14:val="tx1"/>
                  </w14:solidFill>
                </w14:textFill>
              </w:rPr>
            </w:pPr>
            <w:r>
              <w:rPr>
                <w:b/>
                <w:color w:val="000000" w:themeColor="text1"/>
                <w:sz w:val="24"/>
                <w:szCs w:val="22"/>
                <w14:textFill>
                  <w14:solidFill>
                    <w14:schemeClr w14:val="tx1"/>
                  </w14:solidFill>
                </w14:textFill>
              </w:rPr>
              <w:t>4、公用及辅助工程</w:t>
            </w:r>
          </w:p>
          <w:p>
            <w:pPr>
              <w:spacing w:line="360" w:lineRule="auto"/>
              <w:ind w:left="-42" w:firstLine="520" w:firstLineChars="217"/>
              <w:rPr>
                <w:color w:val="000000" w:themeColor="text1"/>
                <w:kern w:val="0"/>
                <w:sz w:val="24"/>
                <w:szCs w:val="22"/>
                <w14:textFill>
                  <w14:solidFill>
                    <w14:schemeClr w14:val="tx1"/>
                  </w14:solidFill>
                </w14:textFill>
              </w:rPr>
            </w:pPr>
            <w:r>
              <w:rPr>
                <w:color w:val="000000" w:themeColor="text1"/>
                <w:kern w:val="0"/>
                <w:sz w:val="24"/>
                <w:szCs w:val="22"/>
                <w14:textFill>
                  <w14:solidFill>
                    <w14:schemeClr w14:val="tx1"/>
                  </w14:solidFill>
                </w14:textFill>
              </w:rPr>
              <w:t>（1）给水</w:t>
            </w:r>
          </w:p>
          <w:p>
            <w:pPr>
              <w:spacing w:line="360" w:lineRule="auto"/>
              <w:ind w:left="-42" w:firstLine="520" w:firstLineChars="217"/>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厂区依托</w:t>
            </w:r>
            <w:r>
              <w:rPr>
                <w:rFonts w:hint="eastAsia"/>
                <w:color w:val="000000" w:themeColor="text1"/>
                <w:sz w:val="24"/>
                <w:szCs w:val="24"/>
                <w:lang w:eastAsia="zh-CN"/>
                <w14:textFill>
                  <w14:solidFill>
                    <w14:schemeClr w14:val="tx1"/>
                  </w14:solidFill>
                </w14:textFill>
              </w:rPr>
              <w:t>智谷科技园</w:t>
            </w:r>
            <w:r>
              <w:rPr>
                <w:color w:val="000000" w:themeColor="text1"/>
                <w:sz w:val="24"/>
                <w:szCs w:val="24"/>
                <w14:textFill>
                  <w14:solidFill>
                    <w14:schemeClr w14:val="tx1"/>
                  </w14:solidFill>
                </w14:textFill>
              </w:rPr>
              <w:t>现有</w:t>
            </w:r>
            <w:r>
              <w:rPr>
                <w:rFonts w:hint="eastAsia"/>
                <w:color w:val="000000" w:themeColor="text1"/>
                <w:sz w:val="24"/>
                <w:szCs w:val="24"/>
                <w14:textFill>
                  <w14:solidFill>
                    <w14:schemeClr w14:val="tx1"/>
                  </w14:solidFill>
                </w14:textFill>
              </w:rPr>
              <w:t>供</w:t>
            </w:r>
            <w:r>
              <w:rPr>
                <w:color w:val="000000" w:themeColor="text1"/>
                <w:sz w:val="24"/>
                <w:szCs w:val="24"/>
                <w14:textFill>
                  <w14:solidFill>
                    <w14:schemeClr w14:val="tx1"/>
                  </w14:solidFill>
                </w14:textFill>
              </w:rPr>
              <w:t>水管网，年用新鲜水量</w:t>
            </w:r>
            <w:r>
              <w:rPr>
                <w:rFonts w:hint="eastAsia"/>
                <w:color w:val="000000" w:themeColor="text1"/>
                <w:sz w:val="24"/>
                <w:szCs w:val="24"/>
                <w:lang w:val="en-US" w:eastAsia="zh-CN"/>
                <w14:textFill>
                  <w14:solidFill>
                    <w14:schemeClr w14:val="tx1"/>
                  </w14:solidFill>
                </w14:textFill>
              </w:rPr>
              <w:t>464</w:t>
            </w:r>
            <w:r>
              <w:rPr>
                <w:color w:val="000000" w:themeColor="text1"/>
                <w:sz w:val="24"/>
                <w:szCs w:val="24"/>
                <w14:textFill>
                  <w14:solidFill>
                    <w14:schemeClr w14:val="tx1"/>
                  </w14:solidFill>
                </w14:textFill>
              </w:rPr>
              <w:t>m</w:t>
            </w:r>
            <w:r>
              <w:rPr>
                <w:color w:val="000000" w:themeColor="text1"/>
                <w:sz w:val="24"/>
                <w:szCs w:val="24"/>
                <w:vertAlign w:val="superscript"/>
                <w14:textFill>
                  <w14:solidFill>
                    <w14:schemeClr w14:val="tx1"/>
                  </w14:solidFill>
                </w14:textFill>
              </w:rPr>
              <w:t>3</w:t>
            </w:r>
            <w:r>
              <w:rPr>
                <w:color w:val="000000" w:themeColor="text1"/>
                <w:sz w:val="24"/>
                <w:szCs w:val="24"/>
                <w14:textFill>
                  <w14:solidFill>
                    <w14:schemeClr w14:val="tx1"/>
                  </w14:solidFill>
                </w14:textFill>
              </w:rPr>
              <w:t>/a，由区域给水管网接入厂区。</w:t>
            </w:r>
          </w:p>
          <w:p>
            <w:pPr>
              <w:spacing w:line="360" w:lineRule="auto"/>
              <w:ind w:left="-42" w:firstLine="520" w:firstLineChars="217"/>
              <w:rPr>
                <w:color w:val="000000" w:themeColor="text1"/>
                <w:kern w:val="0"/>
                <w:sz w:val="24"/>
                <w:szCs w:val="22"/>
                <w14:textFill>
                  <w14:solidFill>
                    <w14:schemeClr w14:val="tx1"/>
                  </w14:solidFill>
                </w14:textFill>
              </w:rPr>
            </w:pPr>
            <w:r>
              <w:rPr>
                <w:color w:val="000000" w:themeColor="text1"/>
                <w:kern w:val="0"/>
                <w:sz w:val="24"/>
                <w:szCs w:val="22"/>
                <w14:textFill>
                  <w14:solidFill>
                    <w14:schemeClr w14:val="tx1"/>
                  </w14:solidFill>
                </w14:textFill>
              </w:rPr>
              <w:t>（2）排水</w:t>
            </w:r>
          </w:p>
          <w:p>
            <w:pPr>
              <w:spacing w:line="360" w:lineRule="auto"/>
              <w:ind w:left="-42" w:firstLine="520" w:firstLineChars="217"/>
              <w:rPr>
                <w:color w:val="000000" w:themeColor="text1"/>
                <w:kern w:val="0"/>
                <w:sz w:val="24"/>
                <w:szCs w:val="22"/>
                <w14:textFill>
                  <w14:solidFill>
                    <w14:schemeClr w14:val="tx1"/>
                  </w14:solidFill>
                </w14:textFill>
              </w:rPr>
            </w:pPr>
            <w:r>
              <w:rPr>
                <w:color w:val="000000" w:themeColor="text1"/>
                <w:sz w:val="24"/>
                <w:szCs w:val="24"/>
                <w14:textFill>
                  <w14:solidFill>
                    <w14:schemeClr w14:val="tx1"/>
                  </w14:solidFill>
                </w14:textFill>
              </w:rPr>
              <w:t>本项目雨污分流，雨水依托</w:t>
            </w:r>
            <w:r>
              <w:rPr>
                <w:rFonts w:hint="eastAsia"/>
                <w:color w:val="000000" w:themeColor="text1"/>
                <w:sz w:val="24"/>
                <w:szCs w:val="24"/>
                <w:lang w:eastAsia="zh-CN"/>
                <w14:textFill>
                  <w14:solidFill>
                    <w14:schemeClr w14:val="tx1"/>
                  </w14:solidFill>
                </w14:textFill>
              </w:rPr>
              <w:t>智谷科技园</w:t>
            </w:r>
            <w:r>
              <w:rPr>
                <w:color w:val="000000" w:themeColor="text1"/>
                <w:sz w:val="24"/>
                <w:szCs w:val="24"/>
                <w14:textFill>
                  <w14:solidFill>
                    <w14:schemeClr w14:val="tx1"/>
                  </w14:solidFill>
                </w14:textFill>
              </w:rPr>
              <w:t>厂区雨水管网排入就近河流</w:t>
            </w:r>
            <w:r>
              <w:rPr>
                <w:rFonts w:hint="eastAsia"/>
                <w:color w:val="000000" w:themeColor="text1"/>
                <w:sz w:val="24"/>
                <w:szCs w:val="24"/>
                <w:lang w:eastAsia="zh-CN"/>
                <w14:textFill>
                  <w14:solidFill>
                    <w14:schemeClr w14:val="tx1"/>
                  </w14:solidFill>
                </w14:textFill>
              </w:rPr>
              <w:t>尧塘河</w:t>
            </w:r>
            <w:r>
              <w:rPr>
                <w:rFonts w:hint="eastAsia"/>
                <w:color w:val="000000" w:themeColor="text1"/>
                <w:sz w:val="24"/>
                <w:szCs w:val="24"/>
                <w14:textFill>
                  <w14:solidFill>
                    <w14:schemeClr w14:val="tx1"/>
                  </w14:solidFill>
                </w14:textFill>
              </w:rPr>
              <w:t>；</w:t>
            </w:r>
            <w:r>
              <w:rPr>
                <w:color w:val="000000" w:themeColor="text1"/>
                <w:sz w:val="24"/>
                <w:szCs w:val="24"/>
                <w14:textFill>
                  <w14:solidFill>
                    <w14:schemeClr w14:val="tx1"/>
                  </w14:solidFill>
                </w14:textFill>
              </w:rPr>
              <w:t>生活污水排放量</w:t>
            </w:r>
            <w:r>
              <w:rPr>
                <w:rFonts w:hint="eastAsia"/>
                <w:color w:val="000000" w:themeColor="text1"/>
                <w:sz w:val="24"/>
                <w:szCs w:val="24"/>
                <w14:textFill>
                  <w14:solidFill>
                    <w14:schemeClr w14:val="tx1"/>
                  </w14:solidFill>
                </w14:textFill>
              </w:rPr>
              <w:t>约</w:t>
            </w:r>
            <w:r>
              <w:rPr>
                <w:color w:val="000000" w:themeColor="text1"/>
                <w:sz w:val="24"/>
                <w:szCs w:val="24"/>
                <w14:textFill>
                  <w14:solidFill>
                    <w14:schemeClr w14:val="tx1"/>
                  </w14:solidFill>
                </w14:textFill>
              </w:rPr>
              <w:t>为</w:t>
            </w:r>
            <w:r>
              <w:rPr>
                <w:rFonts w:hint="eastAsia"/>
                <w:color w:val="000000" w:themeColor="text1"/>
                <w:sz w:val="24"/>
                <w:szCs w:val="24"/>
                <w14:textFill>
                  <w14:solidFill>
                    <w14:schemeClr w14:val="tx1"/>
                  </w14:solidFill>
                </w14:textFill>
              </w:rPr>
              <w:t>3</w:t>
            </w:r>
            <w:r>
              <w:rPr>
                <w:rFonts w:hint="eastAsia"/>
                <w:color w:val="000000" w:themeColor="text1"/>
                <w:sz w:val="24"/>
                <w:szCs w:val="24"/>
                <w:lang w:val="en-US" w:eastAsia="zh-CN"/>
                <w14:textFill>
                  <w14:solidFill>
                    <w14:schemeClr w14:val="tx1"/>
                  </w14:solidFill>
                </w14:textFill>
              </w:rPr>
              <w:t>6</w:t>
            </w:r>
            <w:r>
              <w:rPr>
                <w:rFonts w:hint="eastAsia"/>
                <w:color w:val="000000" w:themeColor="text1"/>
                <w:sz w:val="24"/>
                <w:szCs w:val="24"/>
                <w14:textFill>
                  <w14:solidFill>
                    <w14:schemeClr w14:val="tx1"/>
                  </w14:solidFill>
                </w14:textFill>
              </w:rPr>
              <w:t>0</w:t>
            </w:r>
            <w:r>
              <w:rPr>
                <w:color w:val="000000" w:themeColor="text1"/>
                <w:sz w:val="24"/>
                <w:szCs w:val="24"/>
                <w14:textFill>
                  <w14:solidFill>
                    <w14:schemeClr w14:val="tx1"/>
                  </w14:solidFill>
                </w14:textFill>
              </w:rPr>
              <w:t>m</w:t>
            </w:r>
            <w:r>
              <w:rPr>
                <w:color w:val="000000" w:themeColor="text1"/>
                <w:sz w:val="24"/>
                <w:szCs w:val="24"/>
                <w:vertAlign w:val="superscript"/>
                <w14:textFill>
                  <w14:solidFill>
                    <w14:schemeClr w14:val="tx1"/>
                  </w14:solidFill>
                </w14:textFill>
              </w:rPr>
              <w:t>3</w:t>
            </w:r>
            <w:r>
              <w:rPr>
                <w:color w:val="000000" w:themeColor="text1"/>
                <w:sz w:val="24"/>
                <w:szCs w:val="24"/>
                <w14:textFill>
                  <w14:solidFill>
                    <w14:schemeClr w14:val="tx1"/>
                  </w14:solidFill>
                </w14:textFill>
              </w:rPr>
              <w:t>/a，依托</w:t>
            </w:r>
            <w:r>
              <w:rPr>
                <w:rFonts w:hint="eastAsia"/>
                <w:color w:val="000000" w:themeColor="text1"/>
                <w:sz w:val="24"/>
                <w:szCs w:val="24"/>
                <w:lang w:eastAsia="zh-CN"/>
                <w14:textFill>
                  <w14:solidFill>
                    <w14:schemeClr w14:val="tx1"/>
                  </w14:solidFill>
                </w14:textFill>
              </w:rPr>
              <w:t>智谷科技园</w:t>
            </w:r>
            <w:r>
              <w:rPr>
                <w:color w:val="000000" w:themeColor="text1"/>
                <w:sz w:val="24"/>
                <w:szCs w:val="24"/>
                <w14:textFill>
                  <w14:solidFill>
                    <w14:schemeClr w14:val="tx1"/>
                  </w14:solidFill>
                </w14:textFill>
              </w:rPr>
              <w:t>现有污水管网，生活污水通过</w:t>
            </w:r>
            <w:r>
              <w:rPr>
                <w:rFonts w:hint="eastAsia"/>
                <w:color w:val="000000" w:themeColor="text1"/>
                <w:sz w:val="24"/>
                <w:szCs w:val="24"/>
                <w:lang w:eastAsia="zh-CN"/>
                <w14:textFill>
                  <w14:solidFill>
                    <w14:schemeClr w14:val="tx1"/>
                  </w14:solidFill>
                </w14:textFill>
              </w:rPr>
              <w:t>智谷科技园</w:t>
            </w:r>
            <w:r>
              <w:rPr>
                <w:rFonts w:hint="eastAsia"/>
                <w:color w:val="000000" w:themeColor="text1"/>
                <w:sz w:val="24"/>
                <w:szCs w:val="24"/>
                <w14:textFill>
                  <w14:solidFill>
                    <w14:schemeClr w14:val="tx1"/>
                  </w14:solidFill>
                </w14:textFill>
              </w:rPr>
              <w:t>污水</w:t>
            </w:r>
            <w:r>
              <w:rPr>
                <w:color w:val="000000" w:themeColor="text1"/>
                <w:sz w:val="24"/>
                <w:szCs w:val="24"/>
                <w14:textFill>
                  <w14:solidFill>
                    <w14:schemeClr w14:val="tx1"/>
                  </w14:solidFill>
                </w14:textFill>
              </w:rPr>
              <w:t>总排口排入开发区污水管网，最终汇入金坛区第二污水处理厂集中处理，达标排入尧塘河</w:t>
            </w:r>
            <w:r>
              <w:rPr>
                <w:color w:val="000000" w:themeColor="text1"/>
                <w:kern w:val="0"/>
                <w:sz w:val="24"/>
                <w:szCs w:val="22"/>
                <w14:textFill>
                  <w14:solidFill>
                    <w14:schemeClr w14:val="tx1"/>
                  </w14:solidFill>
                </w14:textFill>
              </w:rPr>
              <w:t>。</w:t>
            </w:r>
          </w:p>
          <w:p>
            <w:pPr>
              <w:spacing w:line="360" w:lineRule="auto"/>
              <w:ind w:left="-42" w:firstLine="520" w:firstLineChars="217"/>
              <w:rPr>
                <w:color w:val="000000" w:themeColor="text1"/>
                <w:kern w:val="0"/>
                <w:sz w:val="24"/>
                <w:szCs w:val="22"/>
                <w14:textFill>
                  <w14:solidFill>
                    <w14:schemeClr w14:val="tx1"/>
                  </w14:solidFill>
                </w14:textFill>
              </w:rPr>
            </w:pPr>
            <w:r>
              <w:rPr>
                <w:color w:val="000000" w:themeColor="text1"/>
                <w:kern w:val="0"/>
                <w:sz w:val="24"/>
                <w:szCs w:val="22"/>
                <w14:textFill>
                  <w14:solidFill>
                    <w14:schemeClr w14:val="tx1"/>
                  </w14:solidFill>
                </w14:textFill>
              </w:rPr>
              <w:t>（3）供电</w:t>
            </w:r>
          </w:p>
          <w:p>
            <w:pPr>
              <w:spacing w:line="360" w:lineRule="auto"/>
              <w:ind w:left="-42" w:firstLine="520" w:firstLineChars="217"/>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项目年用电量为</w:t>
            </w:r>
            <w:r>
              <w:rPr>
                <w:rFonts w:hint="eastAsia"/>
                <w:color w:val="000000" w:themeColor="text1"/>
                <w:sz w:val="24"/>
                <w:szCs w:val="24"/>
                <w:lang w:val="en-US" w:eastAsia="zh-CN"/>
                <w14:textFill>
                  <w14:solidFill>
                    <w14:schemeClr w14:val="tx1"/>
                  </w14:solidFill>
                </w14:textFill>
              </w:rPr>
              <w:t>20</w:t>
            </w:r>
            <w:r>
              <w:rPr>
                <w:color w:val="000000" w:themeColor="text1"/>
                <w:sz w:val="24"/>
                <w:szCs w:val="24"/>
                <w14:textFill>
                  <w14:solidFill>
                    <w14:schemeClr w14:val="tx1"/>
                  </w14:solidFill>
                </w14:textFill>
              </w:rPr>
              <w:t>万kWh，由区域供电站提供。</w:t>
            </w:r>
          </w:p>
          <w:p>
            <w:pPr>
              <w:spacing w:line="360" w:lineRule="auto"/>
              <w:ind w:left="-42" w:firstLine="520" w:firstLineChars="217"/>
              <w:rPr>
                <w:color w:val="000000" w:themeColor="text1"/>
                <w:kern w:val="0"/>
                <w:sz w:val="24"/>
                <w:szCs w:val="22"/>
                <w14:textFill>
                  <w14:solidFill>
                    <w14:schemeClr w14:val="tx1"/>
                  </w14:solidFill>
                </w14:textFill>
              </w:rPr>
            </w:pPr>
            <w:r>
              <w:rPr>
                <w:color w:val="000000" w:themeColor="text1"/>
                <w:kern w:val="0"/>
                <w:sz w:val="24"/>
                <w:szCs w:val="22"/>
                <w14:textFill>
                  <w14:solidFill>
                    <w14:schemeClr w14:val="tx1"/>
                  </w14:solidFill>
                </w14:textFill>
              </w:rPr>
              <w:t>（4）储运工程</w:t>
            </w:r>
          </w:p>
          <w:p>
            <w:pPr>
              <w:spacing w:line="360" w:lineRule="auto"/>
              <w:ind w:firstLine="480" w:firstLineChars="200"/>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运输：厂外运输由原材料厂家配置汽车运输，不足部分由社会运输协作解决；厂内原料和成品由人工运送；运输量满足生产需求。</w:t>
            </w:r>
          </w:p>
          <w:p>
            <w:pPr>
              <w:spacing w:line="360" w:lineRule="auto"/>
              <w:ind w:firstLine="480" w:firstLineChars="200"/>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储存：本项目设有</w:t>
            </w:r>
            <w:r>
              <w:rPr>
                <w:rFonts w:hint="eastAsia"/>
                <w:color w:val="000000" w:themeColor="text1"/>
                <w:sz w:val="24"/>
                <w:szCs w:val="24"/>
                <w:lang w:eastAsia="zh-CN"/>
                <w14:textFill>
                  <w14:solidFill>
                    <w14:schemeClr w14:val="tx1"/>
                  </w14:solidFill>
                </w14:textFill>
              </w:rPr>
              <w:t>原料仓库</w:t>
            </w:r>
            <w:r>
              <w:rPr>
                <w:color w:val="000000" w:themeColor="text1"/>
                <w:sz w:val="24"/>
                <w:szCs w:val="24"/>
                <w14:textFill>
                  <w14:solidFill>
                    <w14:schemeClr w14:val="tx1"/>
                  </w14:solidFill>
                </w14:textFill>
              </w:rPr>
              <w:t>和成品</w:t>
            </w:r>
            <w:r>
              <w:rPr>
                <w:rFonts w:hint="eastAsia"/>
                <w:color w:val="000000" w:themeColor="text1"/>
                <w:sz w:val="24"/>
                <w:szCs w:val="24"/>
                <w:lang w:eastAsia="zh-CN"/>
                <w14:textFill>
                  <w14:solidFill>
                    <w14:schemeClr w14:val="tx1"/>
                  </w14:solidFill>
                </w14:textFill>
              </w:rPr>
              <w:t>仓库</w:t>
            </w:r>
            <w:r>
              <w:rPr>
                <w:color w:val="000000" w:themeColor="text1"/>
                <w:sz w:val="24"/>
                <w:szCs w:val="24"/>
                <w14:textFill>
                  <w14:solidFill>
                    <w14:schemeClr w14:val="tx1"/>
                  </w14:solidFill>
                </w14:textFill>
              </w:rPr>
              <w:t>，用于存放原辅材料及加工后的成品</w:t>
            </w:r>
            <w:r>
              <w:rPr>
                <w:rFonts w:hint="eastAsia"/>
                <w:color w:val="000000" w:themeColor="text1"/>
                <w:sz w:val="24"/>
                <w:szCs w:val="24"/>
                <w14:textFill>
                  <w14:solidFill>
                    <w14:schemeClr w14:val="tx1"/>
                  </w14:solidFill>
                </w14:textFill>
              </w:rPr>
              <w:t>，</w:t>
            </w:r>
            <w:r>
              <w:rPr>
                <w:color w:val="000000" w:themeColor="text1"/>
                <w:sz w:val="24"/>
                <w:szCs w:val="24"/>
                <w14:textFill>
                  <w14:solidFill>
                    <w14:schemeClr w14:val="tx1"/>
                  </w14:solidFill>
                </w14:textFill>
              </w:rPr>
              <w:t>均位于生产车间内。</w:t>
            </w:r>
          </w:p>
          <w:p>
            <w:pPr>
              <w:spacing w:line="360" w:lineRule="auto"/>
              <w:ind w:firstLine="352" w:firstLineChars="147"/>
              <w:rPr>
                <w:color w:val="000000" w:themeColor="text1"/>
                <w:sz w:val="24"/>
                <w:szCs w:val="24"/>
                <w14:textFill>
                  <w14:solidFill>
                    <w14:schemeClr w14:val="tx1"/>
                  </w14:solidFill>
                </w14:textFill>
              </w:rPr>
            </w:pPr>
            <w:r>
              <w:rPr>
                <w:b/>
                <w:bCs/>
                <w:color w:val="000000" w:themeColor="text1"/>
                <w:sz w:val="24"/>
                <w14:textFill>
                  <w14:solidFill>
                    <w14:schemeClr w14:val="tx1"/>
                  </w14:solidFill>
                </w14:textFill>
              </w:rPr>
              <w:t xml:space="preserve"> </w:t>
            </w:r>
            <w:r>
              <w:rPr>
                <w:bCs/>
                <w:color w:val="000000" w:themeColor="text1"/>
                <w:sz w:val="24"/>
                <w14:textFill>
                  <w14:solidFill>
                    <w14:schemeClr w14:val="tx1"/>
                  </w14:solidFill>
                </w14:textFill>
              </w:rPr>
              <w:t>（6）</w:t>
            </w:r>
            <w:r>
              <w:rPr>
                <w:color w:val="000000" w:themeColor="text1"/>
                <w:sz w:val="24"/>
                <w:szCs w:val="24"/>
                <w14:textFill>
                  <w14:solidFill>
                    <w14:schemeClr w14:val="tx1"/>
                  </w14:solidFill>
                </w14:textFill>
              </w:rPr>
              <w:t>环保工程</w:t>
            </w:r>
          </w:p>
          <w:p>
            <w:pPr>
              <w:spacing w:line="360" w:lineRule="auto"/>
              <w:ind w:firstLine="480" w:firstLineChars="200"/>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废气治理：</w:t>
            </w:r>
          </w:p>
          <w:p>
            <w:pPr>
              <w:spacing w:line="360" w:lineRule="auto"/>
              <w:ind w:firstLine="480" w:firstLineChars="200"/>
              <w:rPr>
                <w:rFonts w:hint="default" w:eastAsia="宋体"/>
                <w:color w:val="000000" w:themeColor="text1"/>
                <w:sz w:val="24"/>
                <w:szCs w:val="24"/>
                <w:lang w:val="en-US" w:eastAsia="zh-CN"/>
                <w14:textFill>
                  <w14:solidFill>
                    <w14:schemeClr w14:val="tx1"/>
                  </w14:solidFill>
                </w14:textFill>
              </w:rPr>
            </w:pPr>
            <w:r>
              <w:rPr>
                <w:rFonts w:hint="eastAsia"/>
                <w:color w:val="000000" w:themeColor="text1"/>
                <w:sz w:val="24"/>
                <w:szCs w:val="24"/>
                <w:lang w:eastAsia="zh-CN"/>
                <w14:textFill>
                  <w14:solidFill>
                    <w14:schemeClr w14:val="tx1"/>
                  </w14:solidFill>
                </w14:textFill>
              </w:rPr>
              <w:t>项目废气为投料混合工序产生的少量粉尘、注塑工序产生的非甲烷总烃和极少量的氯化氢。粉尘经经半密闭的集气罩收集至1套布袋除尘器处理后经15m排气筒DA001高空排放，非甲烷总烃和极少量氯化氢经</w:t>
            </w:r>
            <w:r>
              <w:rPr>
                <w:rFonts w:hint="eastAsia"/>
                <w:color w:val="000000" w:themeColor="text1"/>
                <w:sz w:val="24"/>
                <w:szCs w:val="24"/>
                <w14:textFill>
                  <w14:solidFill>
                    <w14:schemeClr w14:val="tx1"/>
                  </w14:solidFill>
                </w14:textFill>
              </w:rPr>
              <w:t>半密闭的集气罩收集至“二级活性炭吸附装置”（收集和处理效率为</w:t>
            </w:r>
            <w:r>
              <w:rPr>
                <w:rFonts w:hint="eastAsia"/>
                <w:color w:val="000000" w:themeColor="text1"/>
                <w:sz w:val="24"/>
                <w:szCs w:val="24"/>
                <w:lang w:val="en-US" w:eastAsia="zh-CN"/>
                <w14:textFill>
                  <w14:solidFill>
                    <w14:schemeClr w14:val="tx1"/>
                  </w14:solidFill>
                </w14:textFill>
              </w:rPr>
              <w:t>80</w:t>
            </w:r>
            <w:r>
              <w:rPr>
                <w:rFonts w:hint="eastAsia"/>
                <w:color w:val="000000" w:themeColor="text1"/>
                <w:sz w:val="24"/>
                <w:szCs w:val="24"/>
                <w14:textFill>
                  <w14:solidFill>
                    <w14:schemeClr w14:val="tx1"/>
                  </w14:solidFill>
                </w14:textFill>
              </w:rPr>
              <w:t>%）处理后通过</w:t>
            </w:r>
            <w:r>
              <w:rPr>
                <w:rFonts w:hint="eastAsia"/>
                <w:color w:val="000000" w:themeColor="text1"/>
                <w:sz w:val="24"/>
                <w:szCs w:val="24"/>
                <w:lang w:val="en-US" w:eastAsia="zh-CN"/>
                <w14:textFill>
                  <w14:solidFill>
                    <w14:schemeClr w14:val="tx1"/>
                  </w14:solidFill>
                </w14:textFill>
              </w:rPr>
              <w:t>15</w:t>
            </w:r>
            <w:r>
              <w:rPr>
                <w:rFonts w:hint="eastAsia"/>
                <w:color w:val="000000" w:themeColor="text1"/>
                <w:sz w:val="24"/>
                <w:szCs w:val="24"/>
                <w14:textFill>
                  <w14:solidFill>
                    <w14:schemeClr w14:val="tx1"/>
                  </w14:solidFill>
                </w14:textFill>
              </w:rPr>
              <w:t>m排气筒DA001高空</w:t>
            </w:r>
            <w:r>
              <w:rPr>
                <w:rFonts w:hint="eastAsia"/>
                <w:color w:val="000000" w:themeColor="text1"/>
                <w:sz w:val="24"/>
                <w:szCs w:val="24"/>
                <w:lang w:eastAsia="zh-CN"/>
                <w14:textFill>
                  <w14:solidFill>
                    <w14:schemeClr w14:val="tx1"/>
                  </w14:solidFill>
                </w14:textFill>
              </w:rPr>
              <w:t>排放，两股废气经</w:t>
            </w:r>
            <w:r>
              <w:rPr>
                <w:rFonts w:hint="eastAsia"/>
                <w:color w:val="000000" w:themeColor="text1"/>
                <w:sz w:val="24"/>
                <w:szCs w:val="24"/>
                <w:lang w:val="en-US" w:eastAsia="zh-CN"/>
                <w14:textFill>
                  <w14:solidFill>
                    <w14:schemeClr w14:val="tx1"/>
                  </w14:solidFill>
                </w14:textFill>
              </w:rPr>
              <w:t>1根排气筒排放。</w:t>
            </w:r>
          </w:p>
          <w:p>
            <w:pPr>
              <w:spacing w:line="360" w:lineRule="auto"/>
              <w:ind w:firstLine="480" w:firstLineChars="200"/>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废水治理：</w:t>
            </w:r>
            <w:r>
              <w:rPr>
                <w:rFonts w:hint="eastAsia"/>
                <w:color w:val="000000" w:themeColor="text1"/>
                <w:sz w:val="24"/>
                <w:szCs w:val="24"/>
                <w14:textFill>
                  <w14:solidFill>
                    <w14:schemeClr w14:val="tx1"/>
                  </w14:solidFill>
                </w14:textFill>
              </w:rPr>
              <w:t>本项目</w:t>
            </w:r>
            <w:r>
              <w:rPr>
                <w:color w:val="000000" w:themeColor="text1"/>
                <w:sz w:val="24"/>
                <w:szCs w:val="24"/>
                <w14:textFill>
                  <w14:solidFill>
                    <w14:schemeClr w14:val="tx1"/>
                  </w14:solidFill>
                </w14:textFill>
              </w:rPr>
              <w:t>生活污水</w:t>
            </w:r>
            <w:r>
              <w:rPr>
                <w:rFonts w:hint="eastAsia"/>
                <w:color w:val="000000" w:themeColor="text1"/>
                <w:sz w:val="24"/>
                <w:szCs w:val="24"/>
                <w14:textFill>
                  <w14:solidFill>
                    <w14:schemeClr w14:val="tx1"/>
                  </w14:solidFill>
                </w14:textFill>
              </w:rPr>
              <w:t>经接管</w:t>
            </w:r>
            <w:r>
              <w:rPr>
                <w:color w:val="000000" w:themeColor="text1"/>
                <w:sz w:val="24"/>
                <w:szCs w:val="24"/>
                <w14:textFill>
                  <w14:solidFill>
                    <w14:schemeClr w14:val="tx1"/>
                  </w14:solidFill>
                </w14:textFill>
              </w:rPr>
              <w:t>开发区污水管网纳入金坛</w:t>
            </w:r>
            <w:r>
              <w:rPr>
                <w:rFonts w:hint="eastAsia"/>
                <w:color w:val="000000" w:themeColor="text1"/>
                <w:sz w:val="24"/>
                <w:szCs w:val="24"/>
                <w14:textFill>
                  <w14:solidFill>
                    <w14:schemeClr w14:val="tx1"/>
                  </w14:solidFill>
                </w14:textFill>
              </w:rPr>
              <w:t>区</w:t>
            </w:r>
            <w:r>
              <w:rPr>
                <w:color w:val="000000" w:themeColor="text1"/>
                <w:sz w:val="24"/>
                <w:szCs w:val="24"/>
                <w14:textFill>
                  <w14:solidFill>
                    <w14:schemeClr w14:val="tx1"/>
                  </w14:solidFill>
                </w14:textFill>
              </w:rPr>
              <w:t>第二污水处理厂集中处理，达标后排入尧塘河。</w:t>
            </w:r>
          </w:p>
          <w:p>
            <w:pPr>
              <w:spacing w:line="360" w:lineRule="auto"/>
              <w:ind w:firstLine="480" w:firstLineChars="200"/>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2021年1月1日前，污水处理厂尾水水质执行《城镇污水处理厂污染物排放标准》（GB18918-2002）中一级A标准和《太湖地区城镇污水处理厂及重点工业行业主要水污染物排放限值》（DB32/1072-2007）中表2标准。2021年1月1日后，污水处理厂尾水水质执行《城镇污水处理厂污染物排放标准》（GB18918-2002）中一级 A 标准和《太湖地区城镇污水处理厂及重点工业行业主要水污染物排放限值》（DB32/1072-2018）中表2标准</w:t>
            </w:r>
            <w:r>
              <w:rPr>
                <w:color w:val="000000" w:themeColor="text1"/>
                <w:sz w:val="24"/>
                <w:szCs w:val="24"/>
                <w14:textFill>
                  <w14:solidFill>
                    <w14:schemeClr w14:val="tx1"/>
                  </w14:solidFill>
                </w14:textFill>
              </w:rPr>
              <w:t>。</w:t>
            </w:r>
          </w:p>
          <w:p>
            <w:pPr>
              <w:spacing w:line="360" w:lineRule="auto"/>
              <w:ind w:firstLine="480" w:firstLineChars="200"/>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噪声治理：</w:t>
            </w:r>
            <w:r>
              <w:rPr>
                <w:rFonts w:hint="eastAsia"/>
                <w:color w:val="000000" w:themeColor="text1"/>
                <w:sz w:val="24"/>
                <w:szCs w:val="24"/>
                <w14:textFill>
                  <w14:solidFill>
                    <w14:schemeClr w14:val="tx1"/>
                  </w14:solidFill>
                </w14:textFill>
              </w:rPr>
              <w:t>生产设备合理布局，</w:t>
            </w:r>
            <w:r>
              <w:rPr>
                <w:color w:val="000000" w:themeColor="text1"/>
                <w:sz w:val="24"/>
                <w:szCs w:val="24"/>
                <w14:textFill>
                  <w14:solidFill>
                    <w14:schemeClr w14:val="tx1"/>
                  </w14:solidFill>
                </w14:textFill>
              </w:rPr>
              <w:t>尽量采用低噪声设备，对高噪声设备采取</w:t>
            </w:r>
            <w:r>
              <w:rPr>
                <w:rFonts w:hint="eastAsia"/>
                <w:color w:val="000000" w:themeColor="text1"/>
                <w:sz w:val="24"/>
                <w:szCs w:val="24"/>
                <w14:textFill>
                  <w14:solidFill>
                    <w14:schemeClr w14:val="tx1"/>
                  </w14:solidFill>
                </w14:textFill>
              </w:rPr>
              <w:t>布置于厂区中间、</w:t>
            </w:r>
            <w:r>
              <w:rPr>
                <w:color w:val="000000" w:themeColor="text1"/>
                <w:sz w:val="24"/>
                <w:szCs w:val="24"/>
                <w14:textFill>
                  <w14:solidFill>
                    <w14:schemeClr w14:val="tx1"/>
                  </w14:solidFill>
                </w14:textFill>
              </w:rPr>
              <w:t>基础减振</w:t>
            </w:r>
            <w:r>
              <w:rPr>
                <w:rFonts w:hint="eastAsia"/>
                <w:color w:val="000000" w:themeColor="text1"/>
                <w:sz w:val="24"/>
                <w:szCs w:val="24"/>
                <w14:textFill>
                  <w14:solidFill>
                    <w14:schemeClr w14:val="tx1"/>
                  </w14:solidFill>
                </w14:textFill>
              </w:rPr>
              <w:t>等</w:t>
            </w:r>
            <w:r>
              <w:rPr>
                <w:color w:val="000000" w:themeColor="text1"/>
                <w:sz w:val="24"/>
                <w:szCs w:val="24"/>
                <w14:textFill>
                  <w14:solidFill>
                    <w14:schemeClr w14:val="tx1"/>
                  </w14:solidFill>
                </w14:textFill>
              </w:rPr>
              <w:t>隔声措施，厂界噪声</w:t>
            </w:r>
            <w:r>
              <w:rPr>
                <w:rFonts w:hint="eastAsia"/>
                <w:color w:val="000000" w:themeColor="text1"/>
                <w:sz w:val="24"/>
                <w:szCs w:val="24"/>
                <w14:textFill>
                  <w14:solidFill>
                    <w14:schemeClr w14:val="tx1"/>
                  </w14:solidFill>
                </w14:textFill>
              </w:rPr>
              <w:t>排放可</w:t>
            </w:r>
            <w:r>
              <w:rPr>
                <w:color w:val="000000" w:themeColor="text1"/>
                <w:sz w:val="24"/>
                <w:szCs w:val="24"/>
                <w14:textFill>
                  <w14:solidFill>
                    <w14:schemeClr w14:val="tx1"/>
                  </w14:solidFill>
                </w14:textFill>
              </w:rPr>
              <w:t>满足</w:t>
            </w:r>
            <w:r>
              <w:rPr>
                <w:color w:val="000000" w:themeColor="text1"/>
                <w:spacing w:val="-6"/>
                <w:sz w:val="24"/>
                <w14:textFill>
                  <w14:solidFill>
                    <w14:schemeClr w14:val="tx1"/>
                  </w14:solidFill>
                </w14:textFill>
              </w:rPr>
              <w:t>《工业企业厂界环境噪声排放标准》（GB12348-2008）表1中</w:t>
            </w:r>
            <w:r>
              <w:rPr>
                <w:rFonts w:hint="eastAsia"/>
                <w:color w:val="000000" w:themeColor="text1"/>
                <w:spacing w:val="-6"/>
                <w:sz w:val="24"/>
                <w14:textFill>
                  <w14:solidFill>
                    <w14:schemeClr w14:val="tx1"/>
                  </w14:solidFill>
                </w14:textFill>
              </w:rPr>
              <w:t>3</w:t>
            </w:r>
            <w:r>
              <w:rPr>
                <w:color w:val="000000" w:themeColor="text1"/>
                <w:spacing w:val="-6"/>
                <w:sz w:val="24"/>
                <w14:textFill>
                  <w14:solidFill>
                    <w14:schemeClr w14:val="tx1"/>
                  </w14:solidFill>
                </w14:textFill>
              </w:rPr>
              <w:t>类区</w:t>
            </w:r>
            <w:r>
              <w:rPr>
                <w:rFonts w:hint="eastAsia"/>
                <w:color w:val="000000" w:themeColor="text1"/>
                <w:spacing w:val="-6"/>
                <w:sz w:val="24"/>
                <w14:textFill>
                  <w14:solidFill>
                    <w14:schemeClr w14:val="tx1"/>
                  </w14:solidFill>
                </w14:textFill>
              </w:rPr>
              <w:t>限值</w:t>
            </w:r>
            <w:r>
              <w:rPr>
                <w:rFonts w:hint="eastAsia"/>
                <w:color w:val="000000" w:themeColor="text1"/>
                <w:sz w:val="24"/>
                <w:szCs w:val="24"/>
                <w14:textFill>
                  <w14:solidFill>
                    <w14:schemeClr w14:val="tx1"/>
                  </w14:solidFill>
                </w14:textFill>
              </w:rPr>
              <w:t>，敏感点</w:t>
            </w:r>
            <w:r>
              <w:rPr>
                <w:rFonts w:hint="eastAsia"/>
                <w:color w:val="000000" w:themeColor="text1"/>
                <w:sz w:val="24"/>
                <w:szCs w:val="24"/>
                <w:lang w:eastAsia="zh-CN"/>
                <w14:textFill>
                  <w14:solidFill>
                    <w14:schemeClr w14:val="tx1"/>
                  </w14:solidFill>
                </w14:textFill>
              </w:rPr>
              <w:t>珑庭花园</w:t>
            </w:r>
            <w:r>
              <w:rPr>
                <w:rFonts w:hint="eastAsia"/>
                <w:color w:val="000000" w:themeColor="text1"/>
                <w:sz w:val="24"/>
                <w:szCs w:val="24"/>
                <w14:textFill>
                  <w14:solidFill>
                    <w14:schemeClr w14:val="tx1"/>
                  </w14:solidFill>
                </w14:textFill>
              </w:rPr>
              <w:t>声环境预测叠加值可</w:t>
            </w:r>
            <w:r>
              <w:rPr>
                <w:color w:val="000000" w:themeColor="text1"/>
                <w:sz w:val="24"/>
                <w:szCs w:val="24"/>
                <w14:textFill>
                  <w14:solidFill>
                    <w14:schemeClr w14:val="tx1"/>
                  </w14:solidFill>
                </w14:textFill>
              </w:rPr>
              <w:t>满足</w:t>
            </w:r>
            <w:r>
              <w:rPr>
                <w:rFonts w:hint="eastAsia"/>
                <w:color w:val="000000" w:themeColor="text1"/>
                <w:spacing w:val="-6"/>
                <w:sz w:val="24"/>
                <w14:textFill>
                  <w14:solidFill>
                    <w14:schemeClr w14:val="tx1"/>
                  </w14:solidFill>
                </w14:textFill>
              </w:rPr>
              <w:t>《声环境质量标准》（GB3096-2008）中的2类区限值。</w:t>
            </w:r>
          </w:p>
          <w:p>
            <w:pPr>
              <w:spacing w:line="360" w:lineRule="auto"/>
              <w:ind w:firstLine="480" w:firstLineChars="200"/>
              <w:rPr>
                <w:color w:val="000000" w:themeColor="text1"/>
                <w:sz w:val="24"/>
                <w:szCs w:val="24"/>
                <w:vertAlign w:val="superscript"/>
                <w14:textFill>
                  <w14:solidFill>
                    <w14:schemeClr w14:val="tx1"/>
                  </w14:solidFill>
                </w14:textFill>
              </w:rPr>
            </w:pPr>
            <w:r>
              <w:rPr>
                <w:color w:val="000000" w:themeColor="text1"/>
                <w:sz w:val="24"/>
                <w:szCs w:val="24"/>
                <w14:textFill>
                  <w14:solidFill>
                    <w14:schemeClr w14:val="tx1"/>
                  </w14:solidFill>
                </w14:textFill>
              </w:rPr>
              <w:t>固废治理：</w:t>
            </w:r>
            <w:r>
              <w:rPr>
                <w:rFonts w:hint="eastAsia"/>
                <w:color w:val="000000" w:themeColor="text1"/>
                <w:sz w:val="24"/>
                <w:szCs w:val="24"/>
                <w14:textFill>
                  <w14:solidFill>
                    <w14:schemeClr w14:val="tx1"/>
                  </w14:solidFill>
                </w14:textFill>
              </w:rPr>
              <w:t>本项目一般固废包装材料、</w:t>
            </w:r>
            <w:r>
              <w:rPr>
                <w:rFonts w:hint="eastAsia"/>
                <w:color w:val="000000" w:themeColor="text1"/>
                <w:sz w:val="24"/>
                <w:szCs w:val="24"/>
                <w:lang w:eastAsia="zh-CN"/>
                <w14:textFill>
                  <w14:solidFill>
                    <w14:schemeClr w14:val="tx1"/>
                  </w14:solidFill>
                </w14:textFill>
              </w:rPr>
              <w:t>不合格品、</w:t>
            </w:r>
            <w:r>
              <w:rPr>
                <w:rFonts w:hint="eastAsia"/>
                <w:color w:val="000000" w:themeColor="text1"/>
                <w:sz w:val="24"/>
                <w:szCs w:val="24"/>
                <w14:textFill>
                  <w14:solidFill>
                    <w14:schemeClr w14:val="tx1"/>
                  </w14:solidFill>
                </w14:textFill>
              </w:rPr>
              <w:t>废</w:t>
            </w:r>
            <w:r>
              <w:rPr>
                <w:rFonts w:hint="eastAsia"/>
                <w:color w:val="000000" w:themeColor="text1"/>
                <w:sz w:val="24"/>
                <w:szCs w:val="24"/>
                <w:lang w:eastAsia="zh-CN"/>
                <w14:textFill>
                  <w14:solidFill>
                    <w14:schemeClr w14:val="tx1"/>
                  </w14:solidFill>
                </w14:textFill>
              </w:rPr>
              <w:t>金属碎屑</w:t>
            </w:r>
            <w:r>
              <w:rPr>
                <w:rFonts w:hint="eastAsia"/>
                <w:color w:val="000000" w:themeColor="text1"/>
                <w:sz w:val="24"/>
                <w:szCs w:val="24"/>
                <w14:textFill>
                  <w14:solidFill>
                    <w14:schemeClr w14:val="tx1"/>
                  </w14:solidFill>
                </w14:textFill>
              </w:rPr>
              <w:t>经收集后售卖；危险废物</w:t>
            </w:r>
            <w:r>
              <w:rPr>
                <w:rFonts w:hint="eastAsia"/>
                <w:color w:val="000000" w:themeColor="text1"/>
                <w:sz w:val="24"/>
                <w:szCs w:val="24"/>
                <w:lang w:eastAsia="zh-CN"/>
                <w14:textFill>
                  <w14:solidFill>
                    <w14:schemeClr w14:val="tx1"/>
                  </w14:solidFill>
                </w14:textFill>
              </w:rPr>
              <w:t>废切削液、废润滑油、废活性炭和废包装桶</w:t>
            </w:r>
            <w:r>
              <w:rPr>
                <w:rFonts w:hint="eastAsia"/>
                <w:color w:val="000000" w:themeColor="text1"/>
                <w:sz w:val="24"/>
                <w:szCs w:val="24"/>
                <w14:textFill>
                  <w14:solidFill>
                    <w14:schemeClr w14:val="tx1"/>
                  </w14:solidFill>
                </w14:textFill>
              </w:rPr>
              <w:t>经分类收集暂存，委托有资质单位定期处置</w:t>
            </w:r>
            <w:r>
              <w:rPr>
                <w:rFonts w:hint="eastAsia"/>
                <w:color w:val="000000" w:themeColor="text1"/>
                <w:sz w:val="24"/>
                <w:szCs w:val="24"/>
                <w:lang w:eastAsia="zh-CN"/>
                <w14:textFill>
                  <w14:solidFill>
                    <w14:schemeClr w14:val="tx1"/>
                  </w14:solidFill>
                </w14:textFill>
              </w:rPr>
              <w:t>；混入生活垃圾的废含油抹布和</w:t>
            </w:r>
            <w:r>
              <w:rPr>
                <w:rFonts w:hint="eastAsia"/>
                <w:color w:val="000000" w:themeColor="text1"/>
                <w:sz w:val="24"/>
                <w:szCs w:val="24"/>
                <w14:textFill>
                  <w14:solidFill>
                    <w14:schemeClr w14:val="tx1"/>
                  </w14:solidFill>
                </w14:textFill>
              </w:rPr>
              <w:t>生活垃圾委托环卫部门清运。本项目车间内设置一般固废仓库和危废仓库，</w:t>
            </w:r>
            <w:r>
              <w:rPr>
                <w:color w:val="000000" w:themeColor="text1"/>
                <w:sz w:val="24"/>
                <w:szCs w:val="24"/>
                <w14:textFill>
                  <w14:solidFill>
                    <w14:schemeClr w14:val="tx1"/>
                  </w14:solidFill>
                </w14:textFill>
              </w:rPr>
              <w:t>一般固废仓库建筑面积为</w:t>
            </w:r>
            <w:r>
              <w:rPr>
                <w:rFonts w:hint="eastAsia"/>
                <w:color w:val="000000" w:themeColor="text1"/>
                <w:sz w:val="24"/>
                <w:szCs w:val="24"/>
                <w:lang w:val="en-US" w:eastAsia="zh-CN"/>
                <w14:textFill>
                  <w14:solidFill>
                    <w14:schemeClr w14:val="tx1"/>
                  </w14:solidFill>
                </w14:textFill>
              </w:rPr>
              <w:t>1</w:t>
            </w:r>
            <w:r>
              <w:rPr>
                <w:rFonts w:hint="eastAsia"/>
                <w:color w:val="000000" w:themeColor="text1"/>
                <w:sz w:val="24"/>
                <w:szCs w:val="24"/>
                <w14:textFill>
                  <w14:solidFill>
                    <w14:schemeClr w14:val="tx1"/>
                  </w14:solidFill>
                </w14:textFill>
              </w:rPr>
              <w:t>5</w:t>
            </w:r>
            <w:r>
              <w:rPr>
                <w:color w:val="000000" w:themeColor="text1"/>
                <w:sz w:val="24"/>
                <w:szCs w:val="24"/>
                <w14:textFill>
                  <w14:solidFill>
                    <w14:schemeClr w14:val="tx1"/>
                  </w14:solidFill>
                </w14:textFill>
              </w:rPr>
              <w:t>m</w:t>
            </w:r>
            <w:r>
              <w:rPr>
                <w:color w:val="000000" w:themeColor="text1"/>
                <w:sz w:val="24"/>
                <w:szCs w:val="24"/>
                <w:vertAlign w:val="superscript"/>
                <w14:textFill>
                  <w14:solidFill>
                    <w14:schemeClr w14:val="tx1"/>
                  </w14:solidFill>
                </w14:textFill>
              </w:rPr>
              <w:t>2</w:t>
            </w:r>
            <w:r>
              <w:rPr>
                <w:rFonts w:hint="eastAsia"/>
                <w:color w:val="000000" w:themeColor="text1"/>
                <w:sz w:val="24"/>
                <w:szCs w:val="24"/>
                <w14:textFill>
                  <w14:solidFill>
                    <w14:schemeClr w14:val="tx1"/>
                  </w14:solidFill>
                </w14:textFill>
              </w:rPr>
              <w:t>，危险废物仓库</w:t>
            </w:r>
            <w:r>
              <w:rPr>
                <w:rFonts w:hint="eastAsia"/>
                <w:color w:val="000000" w:themeColor="text1"/>
                <w:sz w:val="24"/>
                <w:szCs w:val="24"/>
                <w:lang w:val="en-US" w:eastAsia="zh-CN"/>
                <w14:textFill>
                  <w14:solidFill>
                    <w14:schemeClr w14:val="tx1"/>
                  </w14:solidFill>
                </w14:textFill>
              </w:rPr>
              <w:t>54</w:t>
            </w:r>
            <w:r>
              <w:rPr>
                <w:rFonts w:hint="eastAsia"/>
                <w:color w:val="000000" w:themeColor="text1"/>
                <w:sz w:val="24"/>
                <w:szCs w:val="24"/>
                <w14:textFill>
                  <w14:solidFill>
                    <w14:schemeClr w14:val="tx1"/>
                  </w14:solidFill>
                </w14:textFill>
              </w:rPr>
              <w:t>m</w:t>
            </w:r>
            <w:r>
              <w:rPr>
                <w:rFonts w:hint="eastAsia"/>
                <w:color w:val="000000" w:themeColor="text1"/>
                <w:sz w:val="24"/>
                <w:szCs w:val="24"/>
                <w:vertAlign w:val="superscript"/>
                <w14:textFill>
                  <w14:solidFill>
                    <w14:schemeClr w14:val="tx1"/>
                  </w14:solidFill>
                </w14:textFill>
              </w:rPr>
              <w:t>2</w:t>
            </w:r>
            <w:r>
              <w:rPr>
                <w:rFonts w:hint="eastAsia"/>
                <w:color w:val="000000" w:themeColor="text1"/>
                <w:sz w:val="24"/>
                <w:szCs w:val="24"/>
                <w14:textFill>
                  <w14:solidFill>
                    <w14:schemeClr w14:val="tx1"/>
                  </w14:solidFill>
                </w14:textFill>
              </w:rPr>
              <w:t>。</w:t>
            </w:r>
          </w:p>
          <w:p>
            <w:pPr>
              <w:spacing w:line="360" w:lineRule="auto"/>
              <w:ind w:left="-4" w:leftChars="-2" w:firstLine="480" w:firstLineChars="200"/>
              <w:rPr>
                <w:b/>
                <w:color w:val="000000" w:themeColor="text1"/>
                <w:sz w:val="24"/>
                <w:szCs w:val="24"/>
                <w14:textFill>
                  <w14:solidFill>
                    <w14:schemeClr w14:val="tx1"/>
                  </w14:solidFill>
                </w14:textFill>
              </w:rPr>
            </w:pPr>
            <w:r>
              <w:rPr>
                <w:rFonts w:hint="eastAsia"/>
                <w:b/>
                <w:color w:val="000000" w:themeColor="text1"/>
                <w:sz w:val="24"/>
                <w:szCs w:val="24"/>
                <w14:textFill>
                  <w14:solidFill>
                    <w14:schemeClr w14:val="tx1"/>
                  </w14:solidFill>
                </w14:textFill>
              </w:rPr>
              <w:t>5</w:t>
            </w:r>
            <w:r>
              <w:rPr>
                <w:b/>
                <w:color w:val="000000" w:themeColor="text1"/>
                <w:sz w:val="24"/>
                <w:szCs w:val="24"/>
                <w14:textFill>
                  <w14:solidFill>
                    <w14:schemeClr w14:val="tx1"/>
                  </w14:solidFill>
                </w14:textFill>
              </w:rPr>
              <w:t>、职工人数及工作制度</w:t>
            </w:r>
          </w:p>
          <w:p>
            <w:pPr>
              <w:spacing w:line="360" w:lineRule="auto"/>
              <w:ind w:firstLine="480" w:firstLineChars="200"/>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职工人数：本项目劳动定员</w:t>
            </w:r>
            <w:r>
              <w:rPr>
                <w:rFonts w:hint="eastAsia"/>
                <w:color w:val="000000" w:themeColor="text1"/>
                <w:sz w:val="24"/>
                <w:szCs w:val="24"/>
                <w:lang w:val="en-US" w:eastAsia="zh-CN"/>
                <w14:textFill>
                  <w14:solidFill>
                    <w14:schemeClr w14:val="tx1"/>
                  </w14:solidFill>
                </w14:textFill>
              </w:rPr>
              <w:t>30</w:t>
            </w:r>
            <w:r>
              <w:rPr>
                <w:color w:val="000000" w:themeColor="text1"/>
                <w:sz w:val="24"/>
                <w:szCs w:val="24"/>
                <w14:textFill>
                  <w14:solidFill>
                    <w14:schemeClr w14:val="tx1"/>
                  </w14:solidFill>
                </w14:textFill>
              </w:rPr>
              <w:t>人，厂内</w:t>
            </w:r>
            <w:r>
              <w:rPr>
                <w:rFonts w:hint="eastAsia"/>
                <w:color w:val="000000" w:themeColor="text1"/>
                <w:sz w:val="24"/>
                <w:szCs w:val="24"/>
                <w14:textFill>
                  <w14:solidFill>
                    <w14:schemeClr w14:val="tx1"/>
                  </w14:solidFill>
                </w14:textFill>
              </w:rPr>
              <w:t>不提供食宿</w:t>
            </w:r>
            <w:r>
              <w:rPr>
                <w:color w:val="000000" w:themeColor="text1"/>
                <w:sz w:val="24"/>
                <w:szCs w:val="24"/>
                <w14:textFill>
                  <w14:solidFill>
                    <w14:schemeClr w14:val="tx1"/>
                  </w14:solidFill>
                </w14:textFill>
              </w:rPr>
              <w:t>。</w:t>
            </w:r>
          </w:p>
          <w:p>
            <w:pPr>
              <w:spacing w:line="360" w:lineRule="auto"/>
              <w:ind w:firstLine="480" w:firstLineChars="200"/>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工作制度：项目年生产时间为</w:t>
            </w:r>
            <w:r>
              <w:rPr>
                <w:rFonts w:hint="eastAsia"/>
                <w:color w:val="000000" w:themeColor="text1"/>
                <w:sz w:val="24"/>
                <w:szCs w:val="24"/>
                <w14:textFill>
                  <w14:solidFill>
                    <w14:schemeClr w14:val="tx1"/>
                  </w14:solidFill>
                </w14:textFill>
              </w:rPr>
              <w:t>300</w:t>
            </w:r>
            <w:r>
              <w:rPr>
                <w:color w:val="000000" w:themeColor="text1"/>
                <w:sz w:val="24"/>
                <w:szCs w:val="24"/>
                <w14:textFill>
                  <w14:solidFill>
                    <w14:schemeClr w14:val="tx1"/>
                  </w14:solidFill>
                </w14:textFill>
              </w:rPr>
              <w:t>天</w:t>
            </w:r>
            <w:r>
              <w:rPr>
                <w:rFonts w:hint="eastAsia"/>
                <w:color w:val="000000" w:themeColor="text1"/>
                <w:sz w:val="24"/>
                <w:szCs w:val="24"/>
                <w14:textFill>
                  <w14:solidFill>
                    <w14:schemeClr w14:val="tx1"/>
                  </w14:solidFill>
                </w14:textFill>
              </w:rPr>
              <w:t>，单</w:t>
            </w:r>
            <w:r>
              <w:rPr>
                <w:color w:val="000000" w:themeColor="text1"/>
                <w:sz w:val="24"/>
                <w:szCs w:val="24"/>
                <w14:textFill>
                  <w14:solidFill>
                    <w14:schemeClr w14:val="tx1"/>
                  </w14:solidFill>
                </w14:textFill>
              </w:rPr>
              <w:t>班制，每班</w:t>
            </w:r>
            <w:r>
              <w:rPr>
                <w:rFonts w:hint="eastAsia"/>
                <w:color w:val="000000" w:themeColor="text1"/>
                <w:sz w:val="24"/>
                <w:szCs w:val="24"/>
                <w:lang w:val="en-US" w:eastAsia="zh-CN"/>
                <w14:textFill>
                  <w14:solidFill>
                    <w14:schemeClr w14:val="tx1"/>
                  </w14:solidFill>
                </w14:textFill>
              </w:rPr>
              <w:t>8</w:t>
            </w:r>
            <w:r>
              <w:rPr>
                <w:color w:val="000000" w:themeColor="text1"/>
                <w:sz w:val="24"/>
                <w:szCs w:val="24"/>
                <w14:textFill>
                  <w14:solidFill>
                    <w14:schemeClr w14:val="tx1"/>
                  </w14:solidFill>
                </w14:textFill>
              </w:rPr>
              <w:t>小时制。</w:t>
            </w:r>
          </w:p>
          <w:p>
            <w:pPr>
              <w:spacing w:line="360" w:lineRule="auto"/>
              <w:ind w:firstLine="480" w:firstLineChars="200"/>
              <w:rPr>
                <w:b/>
                <w:color w:val="000000" w:themeColor="text1"/>
                <w:kern w:val="0"/>
                <w:sz w:val="24"/>
                <w:szCs w:val="22"/>
                <w14:textFill>
                  <w14:solidFill>
                    <w14:schemeClr w14:val="tx1"/>
                  </w14:solidFill>
                </w14:textFill>
              </w:rPr>
            </w:pPr>
            <w:r>
              <w:rPr>
                <w:rFonts w:hint="eastAsia"/>
                <w:b/>
                <w:color w:val="000000" w:themeColor="text1"/>
                <w:kern w:val="0"/>
                <w:sz w:val="24"/>
                <w:szCs w:val="22"/>
                <w14:textFill>
                  <w14:solidFill>
                    <w14:schemeClr w14:val="tx1"/>
                  </w14:solidFill>
                </w14:textFill>
              </w:rPr>
              <w:t>6</w:t>
            </w:r>
            <w:r>
              <w:rPr>
                <w:b/>
                <w:color w:val="000000" w:themeColor="text1"/>
                <w:kern w:val="0"/>
                <w:sz w:val="24"/>
                <w:szCs w:val="22"/>
                <w14:textFill>
                  <w14:solidFill>
                    <w14:schemeClr w14:val="tx1"/>
                  </w14:solidFill>
                </w14:textFill>
              </w:rPr>
              <w:t>、与产业政策相符性</w:t>
            </w:r>
          </w:p>
          <w:p>
            <w:pPr>
              <w:spacing w:line="360" w:lineRule="auto"/>
              <w:ind w:firstLine="480" w:firstLineChars="200"/>
              <w:rPr>
                <w:color w:val="000000" w:themeColor="text1"/>
                <w:sz w:val="24"/>
                <w14:textFill>
                  <w14:solidFill>
                    <w14:schemeClr w14:val="tx1"/>
                  </w14:solidFill>
                </w14:textFill>
              </w:rPr>
            </w:pPr>
            <w:r>
              <w:rPr>
                <w:color w:val="000000" w:themeColor="text1"/>
                <w:sz w:val="24"/>
                <w14:textFill>
                  <w14:solidFill>
                    <w14:schemeClr w14:val="tx1"/>
                  </w14:solidFill>
                </w14:textFill>
              </w:rPr>
              <w:t>本项目</w:t>
            </w:r>
            <w:r>
              <w:rPr>
                <w:rFonts w:hint="eastAsia"/>
                <w:color w:val="000000" w:themeColor="text1"/>
                <w:sz w:val="24"/>
                <w14:textFill>
                  <w14:solidFill>
                    <w14:schemeClr w14:val="tx1"/>
                  </w14:solidFill>
                </w14:textFill>
              </w:rPr>
              <w:t>属于</w:t>
            </w:r>
            <w:r>
              <w:rPr>
                <w:rFonts w:hint="eastAsia"/>
                <w:color w:val="000000" w:themeColor="text1"/>
                <w:sz w:val="24"/>
                <w:szCs w:val="24"/>
                <w14:textFill>
                  <w14:solidFill>
                    <w14:schemeClr w14:val="tx1"/>
                  </w14:solidFill>
                </w14:textFill>
              </w:rPr>
              <w:t>“十六、医疗制造业43卫生材料及医药用品制”类，</w:t>
            </w:r>
            <w:r>
              <w:rPr>
                <w:snapToGrid w:val="0"/>
                <w:color w:val="000000" w:themeColor="text1"/>
                <w:sz w:val="24"/>
                <w14:textFill>
                  <w14:solidFill>
                    <w14:schemeClr w14:val="tx1"/>
                  </w14:solidFill>
                </w14:textFill>
              </w:rPr>
              <w:t>根据《产业结构调整指导目录（20</w:t>
            </w:r>
            <w:r>
              <w:rPr>
                <w:rFonts w:hint="eastAsia"/>
                <w:snapToGrid w:val="0"/>
                <w:color w:val="000000" w:themeColor="text1"/>
                <w:sz w:val="24"/>
                <w14:textFill>
                  <w14:solidFill>
                    <w14:schemeClr w14:val="tx1"/>
                  </w14:solidFill>
                </w14:textFill>
              </w:rPr>
              <w:t>19年本）</w:t>
            </w:r>
            <w:r>
              <w:rPr>
                <w:snapToGrid w:val="0"/>
                <w:color w:val="000000" w:themeColor="text1"/>
                <w:sz w:val="24"/>
                <w14:textFill>
                  <w14:solidFill>
                    <w14:schemeClr w14:val="tx1"/>
                  </w14:solidFill>
                </w14:textFill>
              </w:rPr>
              <w:t>》，本项目不属于</w:t>
            </w:r>
            <w:r>
              <w:rPr>
                <w:color w:val="000000" w:themeColor="text1"/>
                <w:sz w:val="24"/>
                <w14:textFill>
                  <w14:solidFill>
                    <w14:schemeClr w14:val="tx1"/>
                  </w14:solidFill>
                </w14:textFill>
              </w:rPr>
              <w:t>其限制类或淘汰类项目，属于允许建设项目，因此，本项目的建设符合国家产业政策要求。</w:t>
            </w:r>
          </w:p>
          <w:p>
            <w:pPr>
              <w:spacing w:line="360" w:lineRule="auto"/>
              <w:ind w:firstLine="480" w:firstLineChars="200"/>
              <w:rPr>
                <w:color w:val="000000" w:themeColor="text1"/>
                <w:sz w:val="24"/>
                <w14:textFill>
                  <w14:solidFill>
                    <w14:schemeClr w14:val="tx1"/>
                  </w14:solidFill>
                </w14:textFill>
              </w:rPr>
            </w:pPr>
            <w:r>
              <w:rPr>
                <w:color w:val="000000" w:themeColor="text1"/>
                <w:sz w:val="24"/>
                <w14:textFill>
                  <w14:solidFill>
                    <w14:schemeClr w14:val="tx1"/>
                  </w14:solidFill>
                </w14:textFill>
              </w:rPr>
              <w:t>根据《市场准入负面清单》（20</w:t>
            </w:r>
            <w:r>
              <w:rPr>
                <w:rFonts w:hint="eastAsia"/>
                <w:color w:val="000000" w:themeColor="text1"/>
                <w:sz w:val="24"/>
                <w:lang w:val="en-US" w:eastAsia="zh-CN"/>
                <w14:textFill>
                  <w14:solidFill>
                    <w14:schemeClr w14:val="tx1"/>
                  </w14:solidFill>
                </w14:textFill>
              </w:rPr>
              <w:t>19</w:t>
            </w:r>
            <w:r>
              <w:rPr>
                <w:color w:val="000000" w:themeColor="text1"/>
                <w:sz w:val="24"/>
                <w14:textFill>
                  <w14:solidFill>
                    <w14:schemeClr w14:val="tx1"/>
                  </w14:solidFill>
                </w14:textFill>
              </w:rPr>
              <w:t>版），本项目不属于“禁止准入类”。</w:t>
            </w:r>
          </w:p>
          <w:p>
            <w:pPr>
              <w:spacing w:line="360" w:lineRule="auto"/>
              <w:ind w:firstLine="480" w:firstLineChars="200"/>
              <w:rPr>
                <w:color w:val="000000" w:themeColor="text1"/>
                <w:sz w:val="24"/>
                <w14:textFill>
                  <w14:solidFill>
                    <w14:schemeClr w14:val="tx1"/>
                  </w14:solidFill>
                </w14:textFill>
              </w:rPr>
            </w:pPr>
            <w:r>
              <w:rPr>
                <w:color w:val="000000" w:themeColor="text1"/>
                <w:sz w:val="24"/>
                <w14:textFill>
                  <w14:solidFill>
                    <w14:schemeClr w14:val="tx1"/>
                  </w14:solidFill>
                </w14:textFill>
              </w:rPr>
              <w:t>综上，本项目的建设符合相关产业政策要求。</w:t>
            </w:r>
          </w:p>
          <w:p>
            <w:pPr>
              <w:spacing w:line="360" w:lineRule="auto"/>
              <w:ind w:firstLine="480" w:firstLineChars="200"/>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建设项目已于20</w:t>
            </w:r>
            <w:r>
              <w:rPr>
                <w:rFonts w:hint="eastAsia"/>
                <w:color w:val="000000" w:themeColor="text1"/>
                <w:sz w:val="24"/>
                <w:szCs w:val="24"/>
                <w14:textFill>
                  <w14:solidFill>
                    <w14:schemeClr w14:val="tx1"/>
                  </w14:solidFill>
                </w14:textFill>
              </w:rPr>
              <w:t>20</w:t>
            </w:r>
            <w:r>
              <w:rPr>
                <w:color w:val="000000" w:themeColor="text1"/>
                <w:sz w:val="24"/>
                <w:szCs w:val="24"/>
                <w14:textFill>
                  <w14:solidFill>
                    <w14:schemeClr w14:val="tx1"/>
                  </w14:solidFill>
                </w14:textFill>
              </w:rPr>
              <w:t>年</w:t>
            </w:r>
            <w:r>
              <w:rPr>
                <w:rFonts w:hint="eastAsia"/>
                <w:color w:val="000000" w:themeColor="text1"/>
                <w:sz w:val="24"/>
                <w:szCs w:val="24"/>
                <w:lang w:val="en-US" w:eastAsia="zh-CN"/>
                <w14:textFill>
                  <w14:solidFill>
                    <w14:schemeClr w14:val="tx1"/>
                  </w14:solidFill>
                </w14:textFill>
              </w:rPr>
              <w:t>10</w:t>
            </w:r>
            <w:r>
              <w:rPr>
                <w:color w:val="000000" w:themeColor="text1"/>
                <w:sz w:val="24"/>
                <w:szCs w:val="24"/>
                <w14:textFill>
                  <w14:solidFill>
                    <w14:schemeClr w14:val="tx1"/>
                  </w14:solidFill>
                </w14:textFill>
              </w:rPr>
              <w:t>月</w:t>
            </w:r>
            <w:r>
              <w:rPr>
                <w:rFonts w:hint="eastAsia"/>
                <w:color w:val="000000" w:themeColor="text1"/>
                <w:sz w:val="24"/>
                <w:szCs w:val="24"/>
                <w:lang w:val="en-US" w:eastAsia="zh-CN"/>
                <w14:textFill>
                  <w14:solidFill>
                    <w14:schemeClr w14:val="tx1"/>
                  </w14:solidFill>
                </w14:textFill>
              </w:rPr>
              <w:t>28</w:t>
            </w:r>
            <w:r>
              <w:rPr>
                <w:color w:val="000000" w:themeColor="text1"/>
                <w:sz w:val="24"/>
                <w:szCs w:val="24"/>
                <w14:textFill>
                  <w14:solidFill>
                    <w14:schemeClr w14:val="tx1"/>
                  </w14:solidFill>
                </w14:textFill>
              </w:rPr>
              <w:t>日通过</w:t>
            </w:r>
            <w:r>
              <w:rPr>
                <w:rFonts w:hint="eastAsia"/>
                <w:color w:val="000000" w:themeColor="text1"/>
                <w:sz w:val="24"/>
                <w14:textFill>
                  <w14:solidFill>
                    <w14:schemeClr w14:val="tx1"/>
                  </w14:solidFill>
                </w14:textFill>
              </w:rPr>
              <w:t>常州市金坛区发展和改革委员会</w:t>
            </w:r>
            <w:r>
              <w:rPr>
                <w:color w:val="000000" w:themeColor="text1"/>
                <w:sz w:val="24"/>
                <w14:textFill>
                  <w14:solidFill>
                    <w14:schemeClr w14:val="tx1"/>
                  </w14:solidFill>
                </w14:textFill>
              </w:rPr>
              <w:t>备案，并准予开展有关工作</w:t>
            </w:r>
            <w:r>
              <w:rPr>
                <w:color w:val="000000" w:themeColor="text1"/>
                <w:sz w:val="24"/>
                <w:szCs w:val="24"/>
                <w14:textFill>
                  <w14:solidFill>
                    <w14:schemeClr w14:val="tx1"/>
                  </w14:solidFill>
                </w14:textFill>
              </w:rPr>
              <w:t>。</w:t>
            </w:r>
          </w:p>
          <w:p>
            <w:pPr>
              <w:tabs>
                <w:tab w:val="left" w:pos="960"/>
              </w:tabs>
              <w:spacing w:line="360" w:lineRule="auto"/>
              <w:ind w:firstLine="464" w:firstLineChars="200"/>
              <w:rPr>
                <w:b/>
                <w:bCs/>
                <w:color w:val="000000" w:themeColor="text1"/>
                <w:spacing w:val="-4"/>
                <w:sz w:val="24"/>
                <w14:textFill>
                  <w14:solidFill>
                    <w14:schemeClr w14:val="tx1"/>
                  </w14:solidFill>
                </w14:textFill>
              </w:rPr>
            </w:pPr>
            <w:r>
              <w:rPr>
                <w:rFonts w:hint="eastAsia"/>
                <w:b/>
                <w:bCs/>
                <w:color w:val="000000" w:themeColor="text1"/>
                <w:spacing w:val="-4"/>
                <w:sz w:val="24"/>
                <w:lang w:val="en-US" w:eastAsia="zh-CN"/>
                <w14:textFill>
                  <w14:solidFill>
                    <w14:schemeClr w14:val="tx1"/>
                  </w14:solidFill>
                </w14:textFill>
              </w:rPr>
              <w:t>7</w:t>
            </w:r>
            <w:r>
              <w:rPr>
                <w:b/>
                <w:bCs/>
                <w:color w:val="000000" w:themeColor="text1"/>
                <w:spacing w:val="-4"/>
                <w:sz w:val="24"/>
                <w14:textFill>
                  <w14:solidFill>
                    <w14:schemeClr w14:val="tx1"/>
                  </w14:solidFill>
                </w14:textFill>
              </w:rPr>
              <w:t>、</w:t>
            </w:r>
            <w:r>
              <w:rPr>
                <w:rFonts w:hint="eastAsia"/>
                <w:b/>
                <w:color w:val="000000" w:themeColor="text1"/>
                <w:kern w:val="0"/>
                <w:sz w:val="24"/>
                <w:szCs w:val="22"/>
                <w14:textFill>
                  <w14:solidFill>
                    <w14:schemeClr w14:val="tx1"/>
                  </w14:solidFill>
                </w14:textFill>
              </w:rPr>
              <w:t>规划选址相符性分析</w:t>
            </w:r>
          </w:p>
          <w:p>
            <w:pPr>
              <w:spacing w:line="360" w:lineRule="auto"/>
              <w:ind w:left="-4" w:leftChars="-2" w:firstLine="480" w:firstLineChars="200"/>
              <w:rPr>
                <w:color w:val="000000" w:themeColor="text1"/>
                <w:spacing w:val="-4"/>
                <w:sz w:val="24"/>
                <w14:textFill>
                  <w14:solidFill>
                    <w14:schemeClr w14:val="tx1"/>
                  </w14:solidFill>
                </w14:textFill>
              </w:rPr>
            </w:pPr>
            <w:r>
              <w:rPr>
                <w:rFonts w:hint="eastAsia"/>
                <w:color w:val="000000" w:themeColor="text1"/>
                <w:sz w:val="24"/>
                <w:szCs w:val="24"/>
                <w14:textFill>
                  <w14:solidFill>
                    <w14:schemeClr w14:val="tx1"/>
                  </w14:solidFill>
                </w14:textFill>
              </w:rPr>
              <w:t>本项目厂区位于</w:t>
            </w:r>
            <w:r>
              <w:rPr>
                <w:rFonts w:hint="eastAsia"/>
                <w:color w:val="000000" w:themeColor="text1"/>
                <w:sz w:val="24"/>
                <w:szCs w:val="24"/>
                <w:lang w:eastAsia="zh-CN"/>
                <w14:textFill>
                  <w14:solidFill>
                    <w14:schemeClr w14:val="tx1"/>
                  </w14:solidFill>
                </w14:textFill>
              </w:rPr>
              <w:t>金坛经济开发区复兴路智谷科技园4号楼2楼西</w:t>
            </w:r>
            <w:r>
              <w:rPr>
                <w:rFonts w:hint="eastAsia"/>
                <w:color w:val="000000" w:themeColor="text1"/>
                <w:sz w:val="24"/>
                <w:szCs w:val="24"/>
                <w14:textFill>
                  <w14:solidFill>
                    <w14:schemeClr w14:val="tx1"/>
                  </w14:solidFill>
                </w14:textFill>
              </w:rPr>
              <w:t>，选址在工业用地范围内</w:t>
            </w:r>
            <w:r>
              <w:rPr>
                <w:color w:val="000000" w:themeColor="text1"/>
                <w:spacing w:val="-4"/>
                <w:sz w:val="24"/>
                <w14:textFill>
                  <w14:solidFill>
                    <w14:schemeClr w14:val="tx1"/>
                  </w14:solidFill>
                </w14:textFill>
              </w:rPr>
              <w:t>。项目不属于《限制用地项目目录（2012年本）》、《禁止用地项目目录（2012年本）》、《江苏省限制用地项目目录（2013年本）》及《江苏省禁止用地项目目录（2013年本）》中的限制和禁止用地项目，且项目周边范围内无矿床、文物古迹和军事设施达到环保准入、投入强度、消防安全等相关规定，因此，本项目选址合理。</w:t>
            </w:r>
          </w:p>
          <w:p>
            <w:pPr>
              <w:spacing w:line="360" w:lineRule="auto"/>
              <w:ind w:left="-4" w:leftChars="-2" w:firstLine="464" w:firstLineChars="200"/>
              <w:rPr>
                <w:b/>
                <w:color w:val="000000" w:themeColor="text1"/>
                <w:sz w:val="24"/>
                <w:szCs w:val="24"/>
                <w14:textFill>
                  <w14:solidFill>
                    <w14:schemeClr w14:val="tx1"/>
                  </w14:solidFill>
                </w14:textFill>
              </w:rPr>
            </w:pPr>
            <w:r>
              <w:rPr>
                <w:color w:val="000000" w:themeColor="text1"/>
                <w:spacing w:val="-4"/>
                <w:sz w:val="24"/>
                <w14:textFill>
                  <w14:solidFill>
                    <w14:schemeClr w14:val="tx1"/>
                  </w14:solidFill>
                </w14:textFill>
              </w:rPr>
              <w:t>综上，本项目符合国家、地方产业政策，符合相关环保法规，项目选址符合区域总体规划。</w:t>
            </w:r>
          </w:p>
          <w:p>
            <w:pPr>
              <w:spacing w:line="360" w:lineRule="auto"/>
              <w:ind w:firstLine="480" w:firstLineChars="200"/>
              <w:rPr>
                <w:b/>
                <w:color w:val="000000" w:themeColor="text1"/>
                <w:sz w:val="24"/>
                <w14:textFill>
                  <w14:solidFill>
                    <w14:schemeClr w14:val="tx1"/>
                  </w14:solidFill>
                </w14:textFill>
              </w:rPr>
            </w:pPr>
            <w:r>
              <w:rPr>
                <w:rFonts w:hint="eastAsia"/>
                <w:b/>
                <w:color w:val="000000" w:themeColor="text1"/>
                <w:sz w:val="24"/>
                <w:lang w:val="en-US" w:eastAsia="zh-CN"/>
                <w14:textFill>
                  <w14:solidFill>
                    <w14:schemeClr w14:val="tx1"/>
                  </w14:solidFill>
                </w14:textFill>
              </w:rPr>
              <w:t>8</w:t>
            </w:r>
            <w:r>
              <w:rPr>
                <w:b/>
                <w:color w:val="000000" w:themeColor="text1"/>
                <w:sz w:val="24"/>
                <w14:textFill>
                  <w14:solidFill>
                    <w14:schemeClr w14:val="tx1"/>
                  </w14:solidFill>
                </w14:textFill>
              </w:rPr>
              <w:t>、与“金坛经济开发区”规划环评相符性分析：</w:t>
            </w:r>
          </w:p>
          <w:p>
            <w:pPr>
              <w:spacing w:line="360" w:lineRule="auto"/>
              <w:ind w:firstLine="480" w:firstLineChars="200"/>
              <w:rPr>
                <w:color w:val="000000" w:themeColor="text1"/>
                <w:sz w:val="24"/>
                <w:szCs w:val="28"/>
                <w14:textFill>
                  <w14:solidFill>
                    <w14:schemeClr w14:val="tx1"/>
                  </w14:solidFill>
                </w14:textFill>
              </w:rPr>
            </w:pPr>
            <w:r>
              <w:rPr>
                <w:color w:val="000000" w:themeColor="text1"/>
                <w:sz w:val="24"/>
                <w:szCs w:val="28"/>
                <w14:textFill>
                  <w14:solidFill>
                    <w14:schemeClr w14:val="tx1"/>
                  </w14:solidFill>
                </w14:textFill>
              </w:rPr>
              <w:t>金坛经济开发区是于1993年经江苏省人民政府批准设立的13个省级开发区之一，位于金坛区东侧，区位优越，交通便捷。首期开发面积为4.8km</w:t>
            </w:r>
            <w:r>
              <w:rPr>
                <w:color w:val="000000" w:themeColor="text1"/>
                <w:sz w:val="24"/>
                <w:szCs w:val="28"/>
                <w:vertAlign w:val="superscript"/>
                <w14:textFill>
                  <w14:solidFill>
                    <w14:schemeClr w14:val="tx1"/>
                  </w14:solidFill>
                </w14:textFill>
              </w:rPr>
              <w:t>2</w:t>
            </w:r>
            <w:r>
              <w:rPr>
                <w:color w:val="000000" w:themeColor="text1"/>
                <w:sz w:val="24"/>
                <w:szCs w:val="28"/>
                <w14:textFill>
                  <w14:solidFill>
                    <w14:schemeClr w14:val="tx1"/>
                  </w14:solidFill>
                </w14:textFill>
              </w:rPr>
              <w:t>。</w:t>
            </w:r>
          </w:p>
          <w:p>
            <w:pPr>
              <w:spacing w:line="360" w:lineRule="auto"/>
              <w:ind w:firstLine="480"/>
              <w:rPr>
                <w:color w:val="000000" w:themeColor="text1"/>
                <w:sz w:val="24"/>
                <w:szCs w:val="28"/>
                <w14:textFill>
                  <w14:solidFill>
                    <w14:schemeClr w14:val="tx1"/>
                  </w14:solidFill>
                </w14:textFill>
              </w:rPr>
            </w:pPr>
            <w:r>
              <w:rPr>
                <w:color w:val="000000" w:themeColor="text1"/>
                <w:sz w:val="24"/>
                <w:szCs w:val="28"/>
                <w14:textFill>
                  <w14:solidFill>
                    <w14:schemeClr w14:val="tx1"/>
                  </w14:solidFill>
                </w14:textFill>
              </w:rPr>
              <w:t>2002年，江苏省城市规划设计研究院对开发区东部拟开发用地编制了《金坛经济开发区分区规划》，面积47.8km</w:t>
            </w:r>
            <w:r>
              <w:rPr>
                <w:color w:val="000000" w:themeColor="text1"/>
                <w:sz w:val="24"/>
                <w:szCs w:val="28"/>
                <w:vertAlign w:val="superscript"/>
                <w14:textFill>
                  <w14:solidFill>
                    <w14:schemeClr w14:val="tx1"/>
                  </w14:solidFill>
                </w14:textFill>
              </w:rPr>
              <w:t>2</w:t>
            </w:r>
            <w:r>
              <w:rPr>
                <w:color w:val="000000" w:themeColor="text1"/>
                <w:sz w:val="24"/>
                <w:szCs w:val="28"/>
                <w14:textFill>
                  <w14:solidFill>
                    <w14:schemeClr w14:val="tx1"/>
                  </w14:solidFill>
                </w14:textFill>
              </w:rPr>
              <w:t>；2006年，江苏省环境科学研究院对47.8 km</w:t>
            </w:r>
            <w:r>
              <w:rPr>
                <w:color w:val="000000" w:themeColor="text1"/>
                <w:sz w:val="24"/>
                <w:szCs w:val="28"/>
                <w:vertAlign w:val="superscript"/>
                <w14:textFill>
                  <w14:solidFill>
                    <w14:schemeClr w14:val="tx1"/>
                  </w14:solidFill>
                </w14:textFill>
              </w:rPr>
              <w:t>2</w:t>
            </w:r>
            <w:r>
              <w:rPr>
                <w:color w:val="000000" w:themeColor="text1"/>
                <w:sz w:val="24"/>
                <w:szCs w:val="28"/>
                <w14:textFill>
                  <w14:solidFill>
                    <w14:schemeClr w14:val="tx1"/>
                  </w14:solidFill>
                </w14:textFill>
              </w:rPr>
              <w:t>的开发范围进行环境影响评价工作，编制形成了《金坛经济开发区区域环境影响报告书》，并于同年获得省环保厅《关于对金坛经济开发区区域环境影响报告书的批复》（苏环管〔2006〕142号）。</w:t>
            </w:r>
          </w:p>
          <w:p>
            <w:pPr>
              <w:spacing w:line="360" w:lineRule="auto"/>
              <w:ind w:firstLine="480"/>
              <w:rPr>
                <w:color w:val="000000" w:themeColor="text1"/>
                <w:sz w:val="24"/>
                <w:szCs w:val="28"/>
                <w14:textFill>
                  <w14:solidFill>
                    <w14:schemeClr w14:val="tx1"/>
                  </w14:solidFill>
                </w14:textFill>
              </w:rPr>
            </w:pPr>
            <w:r>
              <w:rPr>
                <w:color w:val="000000" w:themeColor="text1"/>
                <w:sz w:val="24"/>
                <w:szCs w:val="28"/>
                <w14:textFill>
                  <w14:solidFill>
                    <w14:schemeClr w14:val="tx1"/>
                  </w14:solidFill>
                </w14:textFill>
              </w:rPr>
              <w:t>2013年，金坛经济开发区管委会委托江苏常环环境科技有限公司对金坛经济开发区（上一轮环评及批复范围47.8 km</w:t>
            </w:r>
            <w:r>
              <w:rPr>
                <w:color w:val="000000" w:themeColor="text1"/>
                <w:sz w:val="24"/>
                <w:szCs w:val="28"/>
                <w:vertAlign w:val="superscript"/>
                <w14:textFill>
                  <w14:solidFill>
                    <w14:schemeClr w14:val="tx1"/>
                  </w14:solidFill>
                </w14:textFill>
              </w:rPr>
              <w:t>2</w:t>
            </w:r>
            <w:r>
              <w:rPr>
                <w:color w:val="000000" w:themeColor="text1"/>
                <w:sz w:val="24"/>
                <w:szCs w:val="28"/>
                <w14:textFill>
                  <w14:solidFill>
                    <w14:schemeClr w14:val="tx1"/>
                  </w14:solidFill>
                </w14:textFill>
              </w:rPr>
              <w:t>）进行环境影响跟踪评价工作，编制形成了《金坛经济开发区规划环境影响跟踪评价报告书》，并报江苏省环保厅，完成了专家技术咨询及行政审查。</w:t>
            </w:r>
          </w:p>
          <w:p>
            <w:pPr>
              <w:spacing w:line="360" w:lineRule="auto"/>
              <w:ind w:left="-4" w:leftChars="-2" w:firstLine="480" w:firstLineChars="200"/>
              <w:rPr>
                <w:rFonts w:hint="eastAsia" w:eastAsia="宋体"/>
                <w:b/>
                <w:color w:val="000000" w:themeColor="text1"/>
                <w:sz w:val="24"/>
                <w:szCs w:val="24"/>
                <w:lang w:eastAsia="zh-CN"/>
                <w14:textFill>
                  <w14:solidFill>
                    <w14:schemeClr w14:val="tx1"/>
                  </w14:solidFill>
                </w14:textFill>
              </w:rPr>
            </w:pPr>
            <w:r>
              <w:rPr>
                <w:color w:val="000000" w:themeColor="text1"/>
                <w:sz w:val="24"/>
                <w:szCs w:val="28"/>
                <w14:textFill>
                  <w14:solidFill>
                    <w14:schemeClr w14:val="tx1"/>
                  </w14:solidFill>
                </w14:textFill>
              </w:rPr>
              <w:t>2014年，因金坛经济开发区发展需要及规划调整的要求，同时为解决金坛经济开发区现存的环境问题，并充分预防和减轻规划实施过程中可能的不利环境影响，根据《中华人民共和国环境影响评价法》、《规划环境影响评价技术导则（试行）》（HJ/T130-2003）和《规划环境影响评价条例》（中华人民共和国国务院令第559号）等法规文件的要求，金坛经济开发区管理委员会委托江苏常环环境科技有限公司编制完成《金坛经济开发区发展规划环境影响报告书》，并于2015 年5月25日取得了省环保厅审查意见，文号为“苏环审【2015】52号”。</w:t>
            </w:r>
            <w:r>
              <w:rPr>
                <w:rFonts w:hint="eastAsia"/>
                <w:color w:val="000000" w:themeColor="text1"/>
                <w:sz w:val="24"/>
                <w:szCs w:val="28"/>
                <w14:textFill>
                  <w14:solidFill>
                    <w14:schemeClr w14:val="tx1"/>
                  </w14:solidFill>
                </w14:textFill>
              </w:rPr>
              <w:t>目前，金坛经济开发区管理委员会已委托江苏龙环环境科技有限公司做跟踪评价</w:t>
            </w:r>
            <w:r>
              <w:rPr>
                <w:rFonts w:hint="eastAsia"/>
                <w:color w:val="000000" w:themeColor="text1"/>
                <w:sz w:val="24"/>
                <w:szCs w:val="28"/>
                <w:lang w:eastAsia="zh-CN"/>
                <w14:textFill>
                  <w14:solidFill>
                    <w14:schemeClr w14:val="tx1"/>
                  </w14:solidFill>
                </w14:textFill>
              </w:rPr>
              <w:t>。</w:t>
            </w:r>
          </w:p>
          <w:p>
            <w:pPr>
              <w:spacing w:line="360" w:lineRule="auto"/>
              <w:ind w:firstLine="480"/>
              <w:rPr>
                <w:color w:val="000000" w:themeColor="text1"/>
                <w:sz w:val="24"/>
                <w:szCs w:val="28"/>
                <w14:textFill>
                  <w14:solidFill>
                    <w14:schemeClr w14:val="tx1"/>
                  </w14:solidFill>
                </w14:textFill>
              </w:rPr>
            </w:pPr>
            <w:r>
              <w:rPr>
                <w:color w:val="000000" w:themeColor="text1"/>
                <w:sz w:val="24"/>
                <w:szCs w:val="28"/>
                <w14:textFill>
                  <w14:solidFill>
                    <w14:schemeClr w14:val="tx1"/>
                  </w14:solidFill>
                </w14:textFill>
              </w:rPr>
              <w:t>本项目与金坛经济开发区发展规划环境影响评价审查意见相符性见下表：</w:t>
            </w:r>
          </w:p>
          <w:p>
            <w:pPr>
              <w:pStyle w:val="22"/>
              <w:snapToGrid/>
              <w:spacing w:before="0" w:line="240" w:lineRule="auto"/>
              <w:ind w:firstLine="0"/>
              <w:jc w:val="center"/>
              <w:rPr>
                <w:b/>
                <w:color w:val="000000" w:themeColor="text1"/>
                <w:sz w:val="21"/>
                <w:szCs w:val="21"/>
                <w14:textFill>
                  <w14:solidFill>
                    <w14:schemeClr w14:val="tx1"/>
                  </w14:solidFill>
                </w14:textFill>
              </w:rPr>
            </w:pPr>
            <w:r>
              <w:rPr>
                <w:b/>
                <w:color w:val="000000" w:themeColor="text1"/>
                <w:sz w:val="21"/>
                <w:szCs w:val="21"/>
                <w14:textFill>
                  <w14:solidFill>
                    <w14:schemeClr w14:val="tx1"/>
                  </w14:solidFill>
                </w14:textFill>
              </w:rPr>
              <w:t>表1-</w:t>
            </w:r>
            <w:r>
              <w:rPr>
                <w:rFonts w:hint="eastAsia"/>
                <w:b/>
                <w:color w:val="000000" w:themeColor="text1"/>
                <w:sz w:val="21"/>
                <w:szCs w:val="21"/>
                <w14:textFill>
                  <w14:solidFill>
                    <w14:schemeClr w14:val="tx1"/>
                  </w14:solidFill>
                </w14:textFill>
              </w:rPr>
              <w:t>7</w:t>
            </w:r>
            <w:r>
              <w:rPr>
                <w:b/>
                <w:color w:val="000000" w:themeColor="text1"/>
                <w:sz w:val="21"/>
                <w:szCs w:val="21"/>
                <w14:textFill>
                  <w14:solidFill>
                    <w14:schemeClr w14:val="tx1"/>
                  </w14:solidFill>
                </w14:textFill>
              </w:rPr>
              <w:t xml:space="preserve"> 本项目与规划环评审查意见相符性分析一览表</w:t>
            </w:r>
          </w:p>
          <w:tbl>
            <w:tblPr>
              <w:tblStyle w:val="56"/>
              <w:tblW w:w="8312" w:type="dxa"/>
              <w:jc w:val="center"/>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710"/>
              <w:gridCol w:w="3169"/>
              <w:gridCol w:w="3492"/>
              <w:gridCol w:w="941"/>
            </w:tblGrid>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10" w:type="dxa"/>
                  <w:vAlign w:val="center"/>
                </w:tcPr>
                <w:p>
                  <w:pPr>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序号</w:t>
                  </w:r>
                </w:p>
              </w:tc>
              <w:tc>
                <w:tcPr>
                  <w:tcW w:w="3169" w:type="dxa"/>
                  <w:vAlign w:val="center"/>
                </w:tcPr>
                <w:p>
                  <w:pPr>
                    <w:jc w:val="center"/>
                    <w:rPr>
                      <w:b/>
                      <w:color w:val="000000" w:themeColor="text1"/>
                      <w:szCs w:val="21"/>
                      <w14:textFill>
                        <w14:solidFill>
                          <w14:schemeClr w14:val="tx1"/>
                        </w14:solidFill>
                      </w14:textFill>
                    </w:rPr>
                  </w:pPr>
                  <w:r>
                    <w:rPr>
                      <w:rFonts w:hint="eastAsia"/>
                      <w:b/>
                      <w:bCs w:val="0"/>
                      <w:color w:val="000000" w:themeColor="text1"/>
                      <w:szCs w:val="21"/>
                      <w:lang w:eastAsia="zh-CN"/>
                      <w14:textFill>
                        <w14:solidFill>
                          <w14:schemeClr w14:val="tx1"/>
                        </w14:solidFill>
                      </w14:textFill>
                    </w:rPr>
                    <w:t>报告书</w:t>
                  </w:r>
                  <w:r>
                    <w:rPr>
                      <w:rFonts w:hint="eastAsia"/>
                      <w:b/>
                      <w:bCs w:val="0"/>
                      <w:color w:val="000000" w:themeColor="text1"/>
                      <w:szCs w:val="21"/>
                      <w:lang w:val="en-US" w:eastAsia="zh-CN"/>
                      <w14:textFill>
                        <w14:solidFill>
                          <w14:schemeClr w14:val="tx1"/>
                        </w14:solidFill>
                      </w14:textFill>
                    </w:rPr>
                    <w:t>/</w:t>
                  </w:r>
                  <w:r>
                    <w:rPr>
                      <w:b/>
                      <w:bCs w:val="0"/>
                      <w:color w:val="000000" w:themeColor="text1"/>
                      <w:szCs w:val="21"/>
                      <w14:textFill>
                        <w14:solidFill>
                          <w14:schemeClr w14:val="tx1"/>
                        </w14:solidFill>
                      </w14:textFill>
                    </w:rPr>
                    <w:t>审查意见要求</w:t>
                  </w:r>
                </w:p>
              </w:tc>
              <w:tc>
                <w:tcPr>
                  <w:tcW w:w="3492" w:type="dxa"/>
                  <w:vAlign w:val="center"/>
                </w:tcPr>
                <w:p>
                  <w:pPr>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本项目</w:t>
                  </w:r>
                </w:p>
              </w:tc>
              <w:tc>
                <w:tcPr>
                  <w:tcW w:w="941" w:type="dxa"/>
                  <w:vAlign w:val="center"/>
                </w:tcPr>
                <w:p>
                  <w:pPr>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相符性</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216" w:hRule="atLeast"/>
                <w:jc w:val="center"/>
              </w:trPr>
              <w:tc>
                <w:tcPr>
                  <w:tcW w:w="710" w:type="dxa"/>
                  <w:vAlign w:val="center"/>
                </w:tcPr>
                <w:p>
                  <w:pPr>
                    <w:jc w:val="center"/>
                    <w:rPr>
                      <w:rFonts w:hint="eastAsia" w:eastAsia="宋体"/>
                      <w:color w:val="000000" w:themeColor="text1"/>
                      <w:szCs w:val="21"/>
                      <w:lang w:val="en-US" w:eastAsia="zh-CN"/>
                      <w14:textFill>
                        <w14:solidFill>
                          <w14:schemeClr w14:val="tx1"/>
                        </w14:solidFill>
                      </w14:textFill>
                    </w:rPr>
                  </w:pPr>
                  <w:r>
                    <w:rPr>
                      <w:rFonts w:hint="eastAsia"/>
                      <w:color w:val="000000" w:themeColor="text1"/>
                      <w:szCs w:val="21"/>
                      <w:lang w:val="en-US" w:eastAsia="zh-CN"/>
                      <w14:textFill>
                        <w14:solidFill>
                          <w14:schemeClr w14:val="tx1"/>
                        </w14:solidFill>
                      </w14:textFill>
                    </w:rPr>
                    <w:t>1</w:t>
                  </w:r>
                </w:p>
              </w:tc>
              <w:tc>
                <w:tcPr>
                  <w:tcW w:w="3169" w:type="dxa"/>
                  <w:vAlign w:val="center"/>
                </w:tcPr>
                <w:p>
                  <w:pPr>
                    <w:jc w:val="both"/>
                    <w:rPr>
                      <w:rFonts w:hint="eastAsia"/>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废水经预处理可达到开发区污水处理厂的接管标准，并确保不影响污水处理厂的处理效果， “三废”排放能实现稳定达标排放</w:t>
                  </w:r>
                  <w:r>
                    <w:rPr>
                      <w:rFonts w:hint="eastAsia"/>
                      <w:color w:val="000000" w:themeColor="text1"/>
                      <w:szCs w:val="21"/>
                      <w:lang w:eastAsia="zh-CN"/>
                      <w14:textFill>
                        <w14:solidFill>
                          <w14:schemeClr w14:val="tx1"/>
                        </w14:solidFill>
                      </w14:textFill>
                    </w:rPr>
                    <w:t>；</w:t>
                  </w:r>
                  <w:r>
                    <w:rPr>
                      <w:rFonts w:hint="eastAsia"/>
                      <w:color w:val="000000" w:themeColor="text1"/>
                      <w:szCs w:val="21"/>
                      <w14:textFill>
                        <w14:solidFill>
                          <w14:schemeClr w14:val="tx1"/>
                        </w14:solidFill>
                      </w14:textFill>
                    </w:rPr>
                    <w:t>采用有效的回收、回用技术，包括余热利用、物料回收套用、各类废水回用等。</w:t>
                  </w:r>
                </w:p>
                <w:p>
                  <w:pPr>
                    <w:jc w:val="both"/>
                    <w:rPr>
                      <w:color w:val="000000" w:themeColor="text1"/>
                      <w:szCs w:val="21"/>
                      <w14:textFill>
                        <w14:solidFill>
                          <w14:schemeClr w14:val="tx1"/>
                        </w14:solidFill>
                      </w14:textFill>
                    </w:rPr>
                  </w:pPr>
                </w:p>
              </w:tc>
              <w:tc>
                <w:tcPr>
                  <w:tcW w:w="3492" w:type="dxa"/>
                  <w:vAlign w:val="center"/>
                </w:tcPr>
                <w:p>
                  <w:pPr>
                    <w:jc w:val="center"/>
                    <w:rPr>
                      <w:rFonts w:hint="default" w:eastAsia="宋体"/>
                      <w:color w:val="000000" w:themeColor="text1"/>
                      <w:szCs w:val="21"/>
                      <w:lang w:val="en-US" w:eastAsia="zh-CN"/>
                      <w14:textFill>
                        <w14:solidFill>
                          <w14:schemeClr w14:val="tx1"/>
                        </w14:solidFill>
                      </w14:textFill>
                    </w:rPr>
                  </w:pPr>
                  <w:r>
                    <w:rPr>
                      <w:rFonts w:hint="eastAsia"/>
                      <w:color w:val="000000" w:themeColor="text1"/>
                      <w:szCs w:val="21"/>
                      <w14:textFill>
                        <w14:solidFill>
                          <w14:schemeClr w14:val="tx1"/>
                        </w14:solidFill>
                      </w14:textFill>
                    </w:rPr>
                    <w:t>本项目</w:t>
                  </w:r>
                  <w:r>
                    <w:rPr>
                      <w:rFonts w:hint="eastAsia"/>
                      <w:color w:val="000000" w:themeColor="text1"/>
                      <w:szCs w:val="21"/>
                      <w:lang w:eastAsia="zh-CN"/>
                      <w14:textFill>
                        <w14:solidFill>
                          <w14:schemeClr w14:val="tx1"/>
                        </w14:solidFill>
                      </w14:textFill>
                    </w:rPr>
                    <w:t>生活</w:t>
                  </w:r>
                  <w:r>
                    <w:rPr>
                      <w:rFonts w:hint="eastAsia"/>
                      <w:color w:val="000000" w:themeColor="text1"/>
                      <w:szCs w:val="21"/>
                      <w14:textFill>
                        <w14:solidFill>
                          <w14:schemeClr w14:val="tx1"/>
                        </w14:solidFill>
                      </w14:textFill>
                    </w:rPr>
                    <w:t>废水达标接管入金坛第二污水处理厂，废气达标排放。项目营运期东、南、北各厂界</w:t>
                  </w:r>
                  <w:r>
                    <w:rPr>
                      <w:rFonts w:hint="eastAsia"/>
                      <w:color w:val="000000" w:themeColor="text1"/>
                      <w:szCs w:val="21"/>
                      <w:lang w:eastAsia="zh-CN"/>
                      <w14:textFill>
                        <w14:solidFill>
                          <w14:schemeClr w14:val="tx1"/>
                        </w14:solidFill>
                      </w14:textFill>
                    </w:rPr>
                    <w:t>和敏感点</w:t>
                  </w:r>
                  <w:r>
                    <w:rPr>
                      <w:rFonts w:hint="eastAsia"/>
                      <w:color w:val="000000" w:themeColor="text1"/>
                      <w:szCs w:val="21"/>
                      <w14:textFill>
                        <w14:solidFill>
                          <w14:schemeClr w14:val="tx1"/>
                        </w14:solidFill>
                      </w14:textFill>
                    </w:rPr>
                    <w:t>昼间噪声值均符合《工业企业厂界环境噪声排放标准》中</w:t>
                  </w:r>
                  <w:r>
                    <w:rPr>
                      <w:rFonts w:hint="eastAsia"/>
                      <w:color w:val="000000" w:themeColor="text1"/>
                      <w:szCs w:val="21"/>
                      <w:lang w:val="en-US" w:eastAsia="zh-CN"/>
                      <w14:textFill>
                        <w14:solidFill>
                          <w14:schemeClr w14:val="tx1"/>
                        </w14:solidFill>
                      </w14:textFill>
                    </w:rPr>
                    <w:t>3</w:t>
                  </w:r>
                  <w:r>
                    <w:rPr>
                      <w:rFonts w:hint="eastAsia"/>
                      <w:color w:val="000000" w:themeColor="text1"/>
                      <w:szCs w:val="21"/>
                      <w14:textFill>
                        <w14:solidFill>
                          <w14:schemeClr w14:val="tx1"/>
                        </w14:solidFill>
                      </w14:textFill>
                    </w:rPr>
                    <w:t>类</w:t>
                  </w:r>
                  <w:r>
                    <w:rPr>
                      <w:rFonts w:hint="eastAsia"/>
                      <w:color w:val="000000" w:themeColor="text1"/>
                      <w:szCs w:val="21"/>
                      <w:lang w:eastAsia="zh-CN"/>
                      <w14:textFill>
                        <w14:solidFill>
                          <w14:schemeClr w14:val="tx1"/>
                        </w14:solidFill>
                      </w14:textFill>
                    </w:rPr>
                    <w:t>和</w:t>
                  </w:r>
                  <w:r>
                    <w:rPr>
                      <w:rFonts w:hint="eastAsia"/>
                      <w:color w:val="000000" w:themeColor="text1"/>
                      <w:szCs w:val="21"/>
                      <w:lang w:val="en-US" w:eastAsia="zh-CN"/>
                      <w14:textFill>
                        <w14:solidFill>
                          <w14:schemeClr w14:val="tx1"/>
                        </w14:solidFill>
                      </w14:textFill>
                    </w:rPr>
                    <w:t>2类限值，</w:t>
                  </w:r>
                </w:p>
                <w:p>
                  <w:pPr>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固废100%处理处置，不外排。</w:t>
                  </w:r>
                </w:p>
              </w:tc>
              <w:tc>
                <w:tcPr>
                  <w:tcW w:w="941" w:type="dxa"/>
                  <w:vAlign w:val="center"/>
                </w:tcPr>
                <w:p>
                  <w:pPr>
                    <w:jc w:val="center"/>
                    <w:rPr>
                      <w:color w:val="000000" w:themeColor="text1"/>
                      <w:szCs w:val="21"/>
                      <w14:textFill>
                        <w14:solidFill>
                          <w14:schemeClr w14:val="tx1"/>
                        </w14:solidFill>
                      </w14:textFill>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10" w:type="dxa"/>
                  <w:vAlign w:val="center"/>
                </w:tcPr>
                <w:p>
                  <w:pPr>
                    <w:jc w:val="center"/>
                    <w:rPr>
                      <w:rFonts w:hint="eastAsia" w:eastAsia="宋体"/>
                      <w:color w:val="000000" w:themeColor="text1"/>
                      <w:szCs w:val="21"/>
                      <w:lang w:eastAsia="zh-CN"/>
                      <w14:textFill>
                        <w14:solidFill>
                          <w14:schemeClr w14:val="tx1"/>
                        </w14:solidFill>
                      </w14:textFill>
                    </w:rPr>
                  </w:pPr>
                  <w:r>
                    <w:rPr>
                      <w:rFonts w:hint="eastAsia"/>
                      <w:color w:val="000000" w:themeColor="text1"/>
                      <w:szCs w:val="21"/>
                      <w:lang w:val="en-US" w:eastAsia="zh-CN"/>
                      <w14:textFill>
                        <w14:solidFill>
                          <w14:schemeClr w14:val="tx1"/>
                        </w14:solidFill>
                      </w14:textFill>
                    </w:rPr>
                    <w:t>2</w:t>
                  </w:r>
                </w:p>
              </w:tc>
              <w:tc>
                <w:tcPr>
                  <w:tcW w:w="3169" w:type="dxa"/>
                  <w:vAlign w:val="center"/>
                </w:tcPr>
                <w:p>
                  <w:pPr>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进区项目应是科技含量高、产品附加值高、无污染或者污染很轻的项目，其生产工艺、设备和环保设施应达到同类国际先进水平，至少是国内先进水平</w:t>
                  </w:r>
                </w:p>
              </w:tc>
              <w:tc>
                <w:tcPr>
                  <w:tcW w:w="3492" w:type="dxa"/>
                  <w:vAlign w:val="center"/>
                </w:tcPr>
                <w:p>
                  <w:pPr>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本项目</w:t>
                  </w:r>
                  <w:r>
                    <w:rPr>
                      <w:rFonts w:hint="eastAsia"/>
                      <w:color w:val="000000" w:themeColor="text1"/>
                      <w:szCs w:val="21"/>
                      <w14:textFill>
                        <w14:solidFill>
                          <w14:schemeClr w14:val="tx1"/>
                        </w14:solidFill>
                      </w14:textFill>
                    </w:rPr>
                    <w:t>产品为</w:t>
                  </w:r>
                  <w:r>
                    <w:rPr>
                      <w:rFonts w:hint="eastAsia"/>
                      <w:color w:val="000000" w:themeColor="text1"/>
                      <w:szCs w:val="21"/>
                      <w:lang w:eastAsia="zh-CN"/>
                      <w14:textFill>
                        <w14:solidFill>
                          <w14:schemeClr w14:val="tx1"/>
                        </w14:solidFill>
                      </w14:textFill>
                    </w:rPr>
                    <w:t>根锉管</w:t>
                  </w:r>
                  <w:r>
                    <w:rPr>
                      <w:rFonts w:hint="eastAsia"/>
                      <w:color w:val="000000" w:themeColor="text1"/>
                      <w:szCs w:val="21"/>
                      <w14:textFill>
                        <w14:solidFill>
                          <w14:schemeClr w14:val="tx1"/>
                        </w14:solidFill>
                      </w14:textFill>
                    </w:rPr>
                    <w:t>，且本项目生产工艺成熟</w:t>
                  </w:r>
                  <w:r>
                    <w:rPr>
                      <w:rFonts w:hint="eastAsia"/>
                      <w:color w:val="000000" w:themeColor="text1"/>
                      <w:szCs w:val="21"/>
                      <w:lang w:eastAsia="zh-CN"/>
                      <w14:textFill>
                        <w14:solidFill>
                          <w14:schemeClr w14:val="tx1"/>
                        </w14:solidFill>
                      </w14:textFill>
                    </w:rPr>
                    <w:t>、</w:t>
                  </w:r>
                  <w:r>
                    <w:rPr>
                      <w:rFonts w:hint="eastAsia"/>
                      <w:color w:val="000000" w:themeColor="text1"/>
                      <w:szCs w:val="21"/>
                      <w14:textFill>
                        <w14:solidFill>
                          <w14:schemeClr w14:val="tx1"/>
                        </w14:solidFill>
                      </w14:textFill>
                    </w:rPr>
                    <w:t>简单，根据建设单位提供的资料，本项目投产后年产值约</w:t>
                  </w:r>
                  <w:r>
                    <w:rPr>
                      <w:rFonts w:hint="eastAsia"/>
                      <w:color w:val="000000" w:themeColor="text1"/>
                      <w:szCs w:val="21"/>
                      <w:lang w:val="en-US" w:eastAsia="zh-CN"/>
                      <w14:textFill>
                        <w14:solidFill>
                          <w14:schemeClr w14:val="tx1"/>
                        </w14:solidFill>
                      </w14:textFill>
                    </w:rPr>
                    <w:t>2000</w:t>
                  </w:r>
                  <w:r>
                    <w:rPr>
                      <w:rFonts w:hint="eastAsia"/>
                      <w:color w:val="000000" w:themeColor="text1"/>
                      <w:szCs w:val="21"/>
                      <w14:textFill>
                        <w14:solidFill>
                          <w14:schemeClr w14:val="tx1"/>
                        </w14:solidFill>
                      </w14:textFill>
                    </w:rPr>
                    <w:t>万元。经计算，本项目单位GDP水耗为0.</w:t>
                  </w:r>
                  <w:r>
                    <w:rPr>
                      <w:rFonts w:hint="eastAsia"/>
                      <w:color w:val="000000" w:themeColor="text1"/>
                      <w:szCs w:val="21"/>
                      <w:lang w:val="en-US" w:eastAsia="zh-CN"/>
                      <w14:textFill>
                        <w14:solidFill>
                          <w14:schemeClr w14:val="tx1"/>
                        </w14:solidFill>
                      </w14:textFill>
                    </w:rPr>
                    <w:t>23</w:t>
                  </w:r>
                  <w:r>
                    <w:rPr>
                      <w:rFonts w:hint="eastAsia"/>
                      <w:color w:val="000000" w:themeColor="text1"/>
                      <w:szCs w:val="21"/>
                      <w14:textFill>
                        <w14:solidFill>
                          <w14:schemeClr w14:val="tx1"/>
                        </w14:solidFill>
                      </w14:textFill>
                    </w:rPr>
                    <w:t>m</w:t>
                  </w:r>
                  <w:r>
                    <w:rPr>
                      <w:rFonts w:hint="eastAsia"/>
                      <w:color w:val="000000" w:themeColor="text1"/>
                      <w:szCs w:val="21"/>
                      <w:vertAlign w:val="superscript"/>
                      <w14:textFill>
                        <w14:solidFill>
                          <w14:schemeClr w14:val="tx1"/>
                        </w14:solidFill>
                      </w14:textFill>
                    </w:rPr>
                    <w:t>3</w:t>
                  </w:r>
                  <w:r>
                    <w:rPr>
                      <w:rFonts w:hint="eastAsia"/>
                      <w:color w:val="000000" w:themeColor="text1"/>
                      <w:szCs w:val="21"/>
                      <w14:textFill>
                        <w14:solidFill>
                          <w14:schemeClr w14:val="tx1"/>
                        </w14:solidFill>
                      </w14:textFill>
                    </w:rPr>
                    <w:t>/万元，单位GDP能耗为0.0</w:t>
                  </w:r>
                  <w:r>
                    <w:rPr>
                      <w:rFonts w:hint="eastAsia"/>
                      <w:color w:val="000000" w:themeColor="text1"/>
                      <w:szCs w:val="21"/>
                      <w:lang w:val="en-US" w:eastAsia="zh-CN"/>
                      <w14:textFill>
                        <w14:solidFill>
                          <w14:schemeClr w14:val="tx1"/>
                        </w14:solidFill>
                      </w14:textFill>
                    </w:rPr>
                    <w:t>12</w:t>
                  </w:r>
                  <w:r>
                    <w:rPr>
                      <w:rFonts w:hint="eastAsia"/>
                      <w:color w:val="000000" w:themeColor="text1"/>
                      <w:szCs w:val="21"/>
                      <w14:textFill>
                        <w14:solidFill>
                          <w14:schemeClr w14:val="tx1"/>
                        </w14:solidFill>
                      </w14:textFill>
                    </w:rPr>
                    <w:t>吨标准煤/万元，均低于《金坛经济开发区发展规划环境影响报告书》中的设计值（参考2030年），即单位GDP水耗为6m</w:t>
                  </w:r>
                  <w:r>
                    <w:rPr>
                      <w:rFonts w:hint="eastAsia"/>
                      <w:color w:val="000000" w:themeColor="text1"/>
                      <w:szCs w:val="21"/>
                      <w:vertAlign w:val="superscript"/>
                      <w14:textFill>
                        <w14:solidFill>
                          <w14:schemeClr w14:val="tx1"/>
                        </w14:solidFill>
                      </w14:textFill>
                    </w:rPr>
                    <w:t>3</w:t>
                  </w:r>
                  <w:r>
                    <w:rPr>
                      <w:rFonts w:hint="eastAsia"/>
                      <w:color w:val="000000" w:themeColor="text1"/>
                      <w:szCs w:val="21"/>
                      <w14:textFill>
                        <w14:solidFill>
                          <w14:schemeClr w14:val="tx1"/>
                        </w14:solidFill>
                      </w14:textFill>
                    </w:rPr>
                    <w:t>/万元，单位GDP能耗≤0.25吨标准煤/万元，满足开发区的资源指标要求。污染程度较低，装备水平、污染治理技术以及单位产品能耗、物耗</w:t>
                  </w:r>
                  <w:r>
                    <w:rPr>
                      <w:rFonts w:hint="eastAsia"/>
                      <w:color w:val="000000" w:themeColor="text1"/>
                      <w:szCs w:val="21"/>
                      <w:lang w:eastAsia="zh-CN"/>
                      <w14:textFill>
                        <w14:solidFill>
                          <w14:schemeClr w14:val="tx1"/>
                        </w14:solidFill>
                      </w14:textFill>
                    </w:rPr>
                    <w:t>，</w:t>
                  </w:r>
                  <w:r>
                    <w:rPr>
                      <w:rFonts w:hint="eastAsia"/>
                      <w:color w:val="000000" w:themeColor="text1"/>
                      <w:szCs w:val="21"/>
                      <w14:textFill>
                        <w14:solidFill>
                          <w14:schemeClr w14:val="tx1"/>
                        </w14:solidFill>
                      </w14:textFill>
                    </w:rPr>
                    <w:t>污染物排放</w:t>
                  </w:r>
                  <w:r>
                    <w:rPr>
                      <w:rFonts w:hint="eastAsia"/>
                      <w:color w:val="000000" w:themeColor="text1"/>
                      <w:szCs w:val="21"/>
                      <w:lang w:eastAsia="zh-CN"/>
                      <w14:textFill>
                        <w14:solidFill>
                          <w14:schemeClr w14:val="tx1"/>
                        </w14:solidFill>
                      </w14:textFill>
                    </w:rPr>
                    <w:t>较低</w:t>
                  </w:r>
                  <w:r>
                    <w:rPr>
                      <w:rFonts w:hint="eastAsia"/>
                      <w:color w:val="000000" w:themeColor="text1"/>
                      <w:szCs w:val="21"/>
                      <w14:textFill>
                        <w14:solidFill>
                          <w14:schemeClr w14:val="tx1"/>
                        </w14:solidFill>
                      </w14:textFill>
                    </w:rPr>
                    <w:t>和资源利用率</w:t>
                  </w:r>
                  <w:r>
                    <w:rPr>
                      <w:rFonts w:hint="eastAsia"/>
                      <w:color w:val="000000" w:themeColor="text1"/>
                      <w:szCs w:val="21"/>
                      <w:lang w:eastAsia="zh-CN"/>
                      <w14:textFill>
                        <w14:solidFill>
                          <w14:schemeClr w14:val="tx1"/>
                        </w14:solidFill>
                      </w14:textFill>
                    </w:rPr>
                    <w:t>较低</w:t>
                  </w:r>
                  <w:r>
                    <w:rPr>
                      <w:rFonts w:hint="eastAsia"/>
                      <w:color w:val="000000" w:themeColor="text1"/>
                      <w:szCs w:val="21"/>
                      <w14:textFill>
                        <w14:solidFill>
                          <w14:schemeClr w14:val="tx1"/>
                        </w14:solidFill>
                      </w14:textFill>
                    </w:rPr>
                    <w:t>，符合金坛经济开发区产业定位</w:t>
                  </w:r>
                </w:p>
              </w:tc>
              <w:tc>
                <w:tcPr>
                  <w:tcW w:w="941" w:type="dxa"/>
                  <w:vAlign w:val="center"/>
                </w:tcPr>
                <w:p>
                  <w:pPr>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相符</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10" w:type="dxa"/>
                  <w:vAlign w:val="center"/>
                </w:tcPr>
                <w:p>
                  <w:pPr>
                    <w:jc w:val="center"/>
                    <w:rPr>
                      <w:rFonts w:hint="eastAsia" w:eastAsia="宋体"/>
                      <w:color w:val="000000" w:themeColor="text1"/>
                      <w:szCs w:val="21"/>
                      <w:lang w:eastAsia="zh-CN"/>
                      <w14:textFill>
                        <w14:solidFill>
                          <w14:schemeClr w14:val="tx1"/>
                        </w14:solidFill>
                      </w14:textFill>
                    </w:rPr>
                  </w:pPr>
                  <w:r>
                    <w:rPr>
                      <w:rFonts w:hint="eastAsia"/>
                      <w:color w:val="000000" w:themeColor="text1"/>
                      <w:szCs w:val="21"/>
                      <w:lang w:val="en-US" w:eastAsia="zh-CN"/>
                      <w14:textFill>
                        <w14:solidFill>
                          <w14:schemeClr w14:val="tx1"/>
                        </w14:solidFill>
                      </w14:textFill>
                    </w:rPr>
                    <w:t>3</w:t>
                  </w:r>
                </w:p>
              </w:tc>
              <w:tc>
                <w:tcPr>
                  <w:tcW w:w="3169" w:type="dxa"/>
                  <w:vAlign w:val="center"/>
                </w:tcPr>
                <w:p>
                  <w:pPr>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强化恶臭、VOCs等特征污染物的控制与治理，严格控制SO</w:t>
                  </w:r>
                  <w:r>
                    <w:rPr>
                      <w:color w:val="000000" w:themeColor="text1"/>
                      <w:szCs w:val="21"/>
                      <w:vertAlign w:val="subscript"/>
                      <w14:textFill>
                        <w14:solidFill>
                          <w14:schemeClr w14:val="tx1"/>
                        </w14:solidFill>
                      </w14:textFill>
                    </w:rPr>
                    <w:t>2</w:t>
                  </w:r>
                  <w:r>
                    <w:rPr>
                      <w:color w:val="000000" w:themeColor="text1"/>
                      <w:szCs w:val="21"/>
                      <w14:textFill>
                        <w14:solidFill>
                          <w14:schemeClr w14:val="tx1"/>
                        </w14:solidFill>
                      </w14:textFill>
                    </w:rPr>
                    <w:t>、NO</w:t>
                  </w:r>
                  <w:r>
                    <w:rPr>
                      <w:color w:val="000000" w:themeColor="text1"/>
                      <w:szCs w:val="21"/>
                      <w:vertAlign w:val="subscript"/>
                      <w14:textFill>
                        <w14:solidFill>
                          <w14:schemeClr w14:val="tx1"/>
                        </w14:solidFill>
                      </w14:textFill>
                    </w:rPr>
                    <w:t>x</w:t>
                  </w:r>
                  <w:r>
                    <w:rPr>
                      <w:color w:val="000000" w:themeColor="text1"/>
                      <w:szCs w:val="21"/>
                      <w14:textFill>
                        <w14:solidFill>
                          <w14:schemeClr w14:val="tx1"/>
                        </w14:solidFill>
                      </w14:textFill>
                    </w:rPr>
                    <w:t>、VOCs等大气污染物排放总量，确保重点区域大气环境质量如期改善与稳定达标。</w:t>
                  </w:r>
                </w:p>
              </w:tc>
              <w:tc>
                <w:tcPr>
                  <w:tcW w:w="3492" w:type="dxa"/>
                  <w:vAlign w:val="center"/>
                </w:tcPr>
                <w:p>
                  <w:pPr>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本项目不涉及SO</w:t>
                  </w:r>
                  <w:r>
                    <w:rPr>
                      <w:color w:val="000000" w:themeColor="text1"/>
                      <w:szCs w:val="21"/>
                      <w:vertAlign w:val="subscript"/>
                      <w14:textFill>
                        <w14:solidFill>
                          <w14:schemeClr w14:val="tx1"/>
                        </w14:solidFill>
                      </w14:textFill>
                    </w:rPr>
                    <w:t>2</w:t>
                  </w:r>
                  <w:r>
                    <w:rPr>
                      <w:color w:val="000000" w:themeColor="text1"/>
                      <w:szCs w:val="21"/>
                      <w14:textFill>
                        <w14:solidFill>
                          <w14:schemeClr w14:val="tx1"/>
                        </w14:solidFill>
                      </w14:textFill>
                    </w:rPr>
                    <w:t>、NO</w:t>
                  </w:r>
                  <w:r>
                    <w:rPr>
                      <w:color w:val="000000" w:themeColor="text1"/>
                      <w:szCs w:val="21"/>
                      <w:vertAlign w:val="subscript"/>
                      <w14:textFill>
                        <w14:solidFill>
                          <w14:schemeClr w14:val="tx1"/>
                        </w14:solidFill>
                      </w14:textFill>
                    </w:rPr>
                    <w:t>x</w:t>
                  </w:r>
                  <w:r>
                    <w:rPr>
                      <w:color w:val="000000" w:themeColor="text1"/>
                      <w:szCs w:val="21"/>
                      <w14:textFill>
                        <w14:solidFill>
                          <w14:schemeClr w14:val="tx1"/>
                        </w14:solidFill>
                      </w14:textFill>
                    </w:rPr>
                    <w:t>的排放</w:t>
                  </w:r>
                  <w:r>
                    <w:rPr>
                      <w:rFonts w:hint="eastAsia"/>
                      <w:color w:val="000000" w:themeColor="text1"/>
                      <w:szCs w:val="21"/>
                      <w14:textFill>
                        <w14:solidFill>
                          <w14:schemeClr w14:val="tx1"/>
                        </w14:solidFill>
                      </w14:textFill>
                    </w:rPr>
                    <w:t>，本项目</w:t>
                  </w:r>
                  <w:r>
                    <w:rPr>
                      <w:color w:val="000000" w:themeColor="text1"/>
                      <w:szCs w:val="21"/>
                      <w14:textFill>
                        <w14:solidFill>
                          <w14:schemeClr w14:val="tx1"/>
                        </w14:solidFill>
                      </w14:textFill>
                    </w:rPr>
                    <w:t>有机废气经“</w:t>
                  </w:r>
                  <w:r>
                    <w:rPr>
                      <w:rFonts w:hint="eastAsia"/>
                      <w:color w:val="000000" w:themeColor="text1"/>
                      <w:szCs w:val="21"/>
                      <w14:textFill>
                        <w14:solidFill>
                          <w14:schemeClr w14:val="tx1"/>
                        </w14:solidFill>
                      </w14:textFill>
                    </w:rPr>
                    <w:t>二级</w:t>
                  </w:r>
                  <w:r>
                    <w:rPr>
                      <w:color w:val="000000" w:themeColor="text1"/>
                      <w:szCs w:val="21"/>
                      <w14:textFill>
                        <w14:solidFill>
                          <w14:schemeClr w14:val="tx1"/>
                        </w14:solidFill>
                      </w14:textFill>
                    </w:rPr>
                    <w:t>活性炭吸附装置”治</w:t>
                  </w:r>
                  <w:r>
                    <w:rPr>
                      <w:rFonts w:hint="eastAsia"/>
                      <w:color w:val="000000" w:themeColor="text1"/>
                      <w:szCs w:val="21"/>
                      <w14:textFill>
                        <w14:solidFill>
                          <w14:schemeClr w14:val="tx1"/>
                        </w14:solidFill>
                      </w14:textFill>
                    </w:rPr>
                    <w:t>处理</w:t>
                  </w:r>
                  <w:r>
                    <w:rPr>
                      <w:color w:val="000000" w:themeColor="text1"/>
                      <w:szCs w:val="21"/>
                      <w14:textFill>
                        <w14:solidFill>
                          <w14:schemeClr w14:val="tx1"/>
                        </w14:solidFill>
                      </w14:textFill>
                    </w:rPr>
                    <w:t>后通过15米高排气筒排放。</w:t>
                  </w:r>
                  <w:r>
                    <w:rPr>
                      <w:rFonts w:hint="eastAsia"/>
                      <w:color w:val="000000" w:themeColor="text1"/>
                      <w:szCs w:val="21"/>
                      <w14:textFill>
                        <w14:solidFill>
                          <w14:schemeClr w14:val="tx1"/>
                        </w14:solidFill>
                      </w14:textFill>
                    </w:rPr>
                    <w:t>本项目废气经预测可以达标排放，且排放总量低，</w:t>
                  </w:r>
                  <w:r>
                    <w:rPr>
                      <w:color w:val="000000" w:themeColor="text1"/>
                      <w:szCs w:val="21"/>
                      <w14:textFill>
                        <w14:solidFill>
                          <w14:schemeClr w14:val="tx1"/>
                        </w14:solidFill>
                      </w14:textFill>
                    </w:rPr>
                    <w:t>不会对区域大气环境质量造成明显</w:t>
                  </w:r>
                </w:p>
              </w:tc>
              <w:tc>
                <w:tcPr>
                  <w:tcW w:w="941" w:type="dxa"/>
                  <w:vAlign w:val="center"/>
                </w:tcPr>
                <w:p>
                  <w:pPr>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相符</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10" w:type="dxa"/>
                  <w:vAlign w:val="center"/>
                </w:tcPr>
                <w:p>
                  <w:pPr>
                    <w:jc w:val="center"/>
                    <w:rPr>
                      <w:rFonts w:hint="eastAsia" w:eastAsia="宋体"/>
                      <w:color w:val="000000" w:themeColor="text1"/>
                      <w:szCs w:val="21"/>
                      <w:lang w:eastAsia="zh-CN"/>
                      <w14:textFill>
                        <w14:solidFill>
                          <w14:schemeClr w14:val="tx1"/>
                        </w14:solidFill>
                      </w14:textFill>
                    </w:rPr>
                  </w:pPr>
                  <w:r>
                    <w:rPr>
                      <w:rFonts w:hint="eastAsia"/>
                      <w:color w:val="000000" w:themeColor="text1"/>
                      <w:szCs w:val="21"/>
                      <w:lang w:val="en-US" w:eastAsia="zh-CN"/>
                      <w14:textFill>
                        <w14:solidFill>
                          <w14:schemeClr w14:val="tx1"/>
                        </w14:solidFill>
                      </w14:textFill>
                    </w:rPr>
                    <w:t>4</w:t>
                  </w:r>
                </w:p>
              </w:tc>
              <w:tc>
                <w:tcPr>
                  <w:tcW w:w="3169" w:type="dxa"/>
                  <w:vAlign w:val="center"/>
                </w:tcPr>
                <w:p>
                  <w:pPr>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与钱资荡生态红线区边界邻近2000米内布置为污染程度低的工业项目。</w:t>
                  </w:r>
                </w:p>
              </w:tc>
              <w:tc>
                <w:tcPr>
                  <w:tcW w:w="3492" w:type="dxa"/>
                  <w:vAlign w:val="center"/>
                </w:tcPr>
                <w:p>
                  <w:pPr>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本项目距离钱资荡生态红线区边界</w:t>
                  </w:r>
                  <w:r>
                    <w:rPr>
                      <w:rFonts w:hint="eastAsia"/>
                      <w:color w:val="000000" w:themeColor="text1"/>
                      <w:szCs w:val="21"/>
                      <w:lang w:val="en-US" w:eastAsia="zh-CN"/>
                      <w14:textFill>
                        <w14:solidFill>
                          <w14:schemeClr w14:val="tx1"/>
                        </w14:solidFill>
                      </w14:textFill>
                    </w:rPr>
                    <w:t>7200</w:t>
                  </w:r>
                  <w:r>
                    <w:rPr>
                      <w:color w:val="000000" w:themeColor="text1"/>
                      <w:szCs w:val="21"/>
                      <w14:textFill>
                        <w14:solidFill>
                          <w14:schemeClr w14:val="tx1"/>
                        </w14:solidFill>
                      </w14:textFill>
                    </w:rPr>
                    <w:t>米，</w:t>
                  </w:r>
                  <w:r>
                    <w:rPr>
                      <w:rFonts w:hint="eastAsia"/>
                      <w:color w:val="000000" w:themeColor="text1"/>
                      <w:szCs w:val="21"/>
                      <w14:textFill>
                        <w14:solidFill>
                          <w14:schemeClr w14:val="tx1"/>
                        </w14:solidFill>
                      </w14:textFill>
                    </w:rPr>
                    <w:t>项目排放污染物均得到有效处置，污染物排放总量降为最低，满足环保主管部门指标的要求。项目不涉及重金属排放。生活污水达标排入市政污水处理厂。项目属于“污染程度低的工业项目”。</w:t>
                  </w:r>
                </w:p>
              </w:tc>
              <w:tc>
                <w:tcPr>
                  <w:tcW w:w="941" w:type="dxa"/>
                  <w:vAlign w:val="center"/>
                </w:tcPr>
                <w:p>
                  <w:pPr>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相符</w:t>
                  </w:r>
                </w:p>
              </w:tc>
            </w:tr>
          </w:tbl>
          <w:p>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center"/>
              <w:textAlignment w:val="auto"/>
              <w:rPr>
                <w:rFonts w:hint="eastAsia"/>
                <w:b/>
                <w:color w:val="000000" w:themeColor="text1"/>
                <w:sz w:val="21"/>
                <w:szCs w:val="21"/>
                <w:lang w:val="en-US" w:eastAsia="zh-CN"/>
                <w14:textFill>
                  <w14:solidFill>
                    <w14:schemeClr w14:val="tx1"/>
                  </w14:solidFill>
                </w14:textFill>
              </w:rPr>
            </w:pPr>
            <w:r>
              <w:rPr>
                <w:rFonts w:hint="eastAsia"/>
                <w:b/>
                <w:color w:val="000000" w:themeColor="text1"/>
                <w:sz w:val="21"/>
                <w:szCs w:val="21"/>
                <w:lang w:val="en-US" w:eastAsia="zh-CN"/>
                <w14:textFill>
                  <w14:solidFill>
                    <w14:schemeClr w14:val="tx1"/>
                  </w14:solidFill>
                </w14:textFill>
              </w:rPr>
              <w:t>表1-8 金坛开发区禁止项目清单</w:t>
            </w:r>
          </w:p>
          <w:tbl>
            <w:tblPr>
              <w:tblStyle w:val="56"/>
              <w:tblW w:w="4998" w:type="pct"/>
              <w:jc w:val="center"/>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801"/>
              <w:gridCol w:w="4059"/>
              <w:gridCol w:w="3463"/>
            </w:tblGrid>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PrEx>
              <w:trPr>
                <w:trHeight w:val="340" w:hRule="atLeast"/>
                <w:jc w:val="center"/>
              </w:trPr>
              <w:tc>
                <w:tcPr>
                  <w:tcW w:w="481" w:type="pct"/>
                  <w:vAlign w:val="center"/>
                </w:tcPr>
                <w:p>
                  <w:pPr>
                    <w:jc w:val="center"/>
                    <w:rPr>
                      <w:rFonts w:hint="eastAsia" w:eastAsia="宋体"/>
                      <w:b/>
                      <w:color w:val="000000" w:themeColor="text1"/>
                      <w:szCs w:val="21"/>
                      <w:lang w:eastAsia="zh-CN"/>
                      <w14:textFill>
                        <w14:solidFill>
                          <w14:schemeClr w14:val="tx1"/>
                        </w14:solidFill>
                      </w14:textFill>
                    </w:rPr>
                  </w:pPr>
                  <w:r>
                    <w:rPr>
                      <w:rFonts w:hint="eastAsia"/>
                      <w:b/>
                      <w:color w:val="000000" w:themeColor="text1"/>
                      <w:szCs w:val="21"/>
                      <w:lang w:eastAsia="zh-CN"/>
                      <w14:textFill>
                        <w14:solidFill>
                          <w14:schemeClr w14:val="tx1"/>
                        </w14:solidFill>
                      </w14:textFill>
                    </w:rPr>
                    <w:t>主导行业</w:t>
                  </w:r>
                </w:p>
              </w:tc>
              <w:tc>
                <w:tcPr>
                  <w:tcW w:w="2438" w:type="pct"/>
                  <w:vAlign w:val="center"/>
                </w:tcPr>
                <w:p>
                  <w:pPr>
                    <w:jc w:val="center"/>
                    <w:rPr>
                      <w:b/>
                      <w:color w:val="000000" w:themeColor="text1"/>
                      <w:szCs w:val="21"/>
                      <w14:textFill>
                        <w14:solidFill>
                          <w14:schemeClr w14:val="tx1"/>
                        </w14:solidFill>
                      </w14:textFill>
                    </w:rPr>
                  </w:pPr>
                  <w:r>
                    <w:rPr>
                      <w:rFonts w:hint="eastAsia"/>
                      <w:b/>
                      <w:bCs w:val="0"/>
                      <w:color w:val="000000" w:themeColor="text1"/>
                      <w:szCs w:val="21"/>
                      <w:lang w:eastAsia="zh-CN"/>
                      <w14:textFill>
                        <w14:solidFill>
                          <w14:schemeClr w14:val="tx1"/>
                        </w14:solidFill>
                      </w14:textFill>
                    </w:rPr>
                    <w:t>优先引入类别</w:t>
                  </w:r>
                </w:p>
              </w:tc>
              <w:tc>
                <w:tcPr>
                  <w:tcW w:w="2080" w:type="pct"/>
                  <w:vAlign w:val="center"/>
                </w:tcPr>
                <w:p>
                  <w:pPr>
                    <w:jc w:val="center"/>
                    <w:rPr>
                      <w:rFonts w:hint="eastAsia" w:eastAsia="宋体"/>
                      <w:b/>
                      <w:color w:val="000000" w:themeColor="text1"/>
                      <w:szCs w:val="21"/>
                      <w:lang w:eastAsia="zh-CN"/>
                      <w14:textFill>
                        <w14:solidFill>
                          <w14:schemeClr w14:val="tx1"/>
                        </w14:solidFill>
                      </w14:textFill>
                    </w:rPr>
                  </w:pPr>
                  <w:r>
                    <w:rPr>
                      <w:rFonts w:hint="eastAsia"/>
                      <w:b/>
                      <w:color w:val="000000" w:themeColor="text1"/>
                      <w:szCs w:val="21"/>
                      <w:lang w:eastAsia="zh-CN"/>
                      <w14:textFill>
                        <w14:solidFill>
                          <w14:schemeClr w14:val="tx1"/>
                        </w14:solidFill>
                      </w14:textFill>
                    </w:rPr>
                    <w:t>禁止引入类别</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481" w:type="pct"/>
                  <w:vAlign w:val="center"/>
                </w:tcPr>
                <w:p>
                  <w:pPr>
                    <w:jc w:val="center"/>
                    <w:rPr>
                      <w:rFonts w:hint="eastAsia" w:eastAsia="宋体"/>
                      <w:color w:val="000000" w:themeColor="text1"/>
                      <w:szCs w:val="21"/>
                      <w:lang w:val="en-US" w:eastAsia="zh-CN"/>
                      <w14:textFill>
                        <w14:solidFill>
                          <w14:schemeClr w14:val="tx1"/>
                        </w14:solidFill>
                      </w14:textFill>
                    </w:rPr>
                  </w:pPr>
                  <w:r>
                    <w:rPr>
                      <w:rFonts w:hint="eastAsia"/>
                      <w:color w:val="000000" w:themeColor="text1"/>
                      <w:szCs w:val="21"/>
                      <w:lang w:val="en-US" w:eastAsia="zh-CN"/>
                      <w14:textFill>
                        <w14:solidFill>
                          <w14:schemeClr w14:val="tx1"/>
                        </w14:solidFill>
                      </w14:textFill>
                    </w:rPr>
                    <w:t>纺织服装</w:t>
                  </w:r>
                </w:p>
              </w:tc>
              <w:tc>
                <w:tcPr>
                  <w:tcW w:w="2438" w:type="pct"/>
                  <w:vAlign w:val="center"/>
                </w:tcPr>
                <w:p>
                  <w:pPr>
                    <w:jc w:val="both"/>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废旧纺织品回收再利用技术与产品生产、服装企业计算机集成制造及数字化、信息化、自动化技术和装备的应用</w:t>
                  </w:r>
                </w:p>
              </w:tc>
              <w:tc>
                <w:tcPr>
                  <w:tcW w:w="2080" w:type="pct"/>
                  <w:vAlign w:val="center"/>
                </w:tcPr>
                <w:p>
                  <w:pPr>
                    <w:jc w:val="center"/>
                    <w:rPr>
                      <w:rFonts w:hint="eastAsia"/>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废水排放量较大的纯印染和纯</w:t>
                  </w:r>
                </w:p>
                <w:p>
                  <w:pPr>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染整类企业</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481" w:type="pct"/>
                  <w:vAlign w:val="center"/>
                </w:tcPr>
                <w:p>
                  <w:pPr>
                    <w:jc w:val="center"/>
                    <w:rPr>
                      <w:rFonts w:hint="eastAsia" w:eastAsia="宋体"/>
                      <w:color w:val="000000" w:themeColor="text1"/>
                      <w:szCs w:val="21"/>
                      <w:lang w:eastAsia="zh-CN"/>
                      <w14:textFill>
                        <w14:solidFill>
                          <w14:schemeClr w14:val="tx1"/>
                        </w14:solidFill>
                      </w14:textFill>
                    </w:rPr>
                  </w:pPr>
                  <w:r>
                    <w:rPr>
                      <w:rFonts w:hint="eastAsia"/>
                      <w:color w:val="000000" w:themeColor="text1"/>
                      <w:szCs w:val="21"/>
                      <w:lang w:eastAsia="zh-CN"/>
                      <w14:textFill>
                        <w14:solidFill>
                          <w14:schemeClr w14:val="tx1"/>
                        </w14:solidFill>
                      </w14:textFill>
                    </w:rPr>
                    <w:t>机械电子、高端装备制造业</w:t>
                  </w:r>
                </w:p>
              </w:tc>
              <w:tc>
                <w:tcPr>
                  <w:tcW w:w="2438" w:type="pct"/>
                  <w:vAlign w:val="center"/>
                </w:tcPr>
                <w:p>
                  <w:pPr>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轨道交通、通用航空交通、智能化制造装备、电子设备和系统、输配电及控制设备、海洋工程装备等成套设备及其零部件、工程机械系列、矿山机械系列、建材机械系列、农林机械系列、环保机械设备、关键零部件(发动机、液压传输设备)、其它在传统产业基础上应用的新工艺、新技术，汽车关键零部件、新能源汽车关键零部件、车载充电机、非车载充电设备、汽车电子控制系统</w:t>
                  </w:r>
                  <w:r>
                    <w:rPr>
                      <w:rFonts w:hint="eastAsia"/>
                      <w:color w:val="000000" w:themeColor="text1"/>
                      <w:szCs w:val="21"/>
                      <w:lang w:eastAsia="zh-CN"/>
                      <w14:textFill>
                        <w14:solidFill>
                          <w14:schemeClr w14:val="tx1"/>
                        </w14:solidFill>
                      </w14:textFill>
                    </w:rPr>
                    <w:t>、</w:t>
                  </w:r>
                  <w:r>
                    <w:rPr>
                      <w:rFonts w:hint="eastAsia"/>
                      <w:color w:val="000000" w:themeColor="text1"/>
                      <w:szCs w:val="21"/>
                      <w14:textFill>
                        <w14:solidFill>
                          <w14:schemeClr w14:val="tx1"/>
                        </w14:solidFill>
                      </w14:textFill>
                    </w:rPr>
                    <w:t>汽车产品开发、试验、检测设备及设施建设</w:t>
                  </w:r>
                </w:p>
              </w:tc>
              <w:tc>
                <w:tcPr>
                  <w:tcW w:w="2080" w:type="pct"/>
                  <w:vAlign w:val="center"/>
                </w:tcPr>
                <w:p>
                  <w:pPr>
                    <w:jc w:val="center"/>
                    <w:rPr>
                      <w:rFonts w:hint="eastAsia"/>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电镀、表面处理类企业，淘汰、限制类的如普通高速钢钻头、铣刀、锯片、丝锥、板牙项目、普通微小型球轴承制造项目</w:t>
                  </w:r>
                  <w:r>
                    <w:rPr>
                      <w:rFonts w:hint="eastAsia"/>
                      <w:color w:val="000000" w:themeColor="text1"/>
                      <w:szCs w:val="21"/>
                      <w:lang w:eastAsia="zh-CN"/>
                      <w14:textFill>
                        <w14:solidFill>
                          <w14:schemeClr w14:val="tx1"/>
                        </w14:solidFill>
                      </w14:textFill>
                    </w:rPr>
                    <w:t>；</w:t>
                  </w:r>
                  <w:r>
                    <w:rPr>
                      <w:rFonts w:hint="eastAsia"/>
                      <w:color w:val="000000" w:themeColor="text1"/>
                      <w:szCs w:val="21"/>
                      <w14:textFill>
                        <w14:solidFill>
                          <w14:schemeClr w14:val="tx1"/>
                        </w14:solidFill>
                      </w14:textFill>
                    </w:rPr>
                    <w:t>禁止生产国家禁止或公告停止销售的车辆</w:t>
                  </w:r>
                  <w:r>
                    <w:rPr>
                      <w:rFonts w:hint="eastAsia"/>
                      <w:color w:val="000000" w:themeColor="text1"/>
                      <w:szCs w:val="21"/>
                      <w:lang w:eastAsia="zh-CN"/>
                      <w14:textFill>
                        <w14:solidFill>
                          <w14:schemeClr w14:val="tx1"/>
                        </w14:solidFill>
                      </w14:textFill>
                    </w:rPr>
                    <w:t>；</w:t>
                  </w:r>
                  <w:r>
                    <w:rPr>
                      <w:rFonts w:hint="eastAsia"/>
                      <w:color w:val="000000" w:themeColor="text1"/>
                      <w:szCs w:val="21"/>
                      <w14:textFill>
                        <w14:solidFill>
                          <w14:schemeClr w14:val="tx1"/>
                        </w14:solidFill>
                      </w14:textFill>
                    </w:rPr>
                    <w:t>有害物质含量超标准的汽车</w:t>
                  </w:r>
                </w:p>
                <w:p>
                  <w:pPr>
                    <w:jc w:val="center"/>
                    <w:rPr>
                      <w:color w:val="000000" w:themeColor="text1"/>
                      <w:szCs w:val="21"/>
                      <w14:textFill>
                        <w14:solidFill>
                          <w14:schemeClr w14:val="tx1"/>
                        </w14:solidFill>
                      </w14:textFill>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481" w:type="pct"/>
                  <w:vAlign w:val="center"/>
                </w:tcPr>
                <w:p>
                  <w:pPr>
                    <w:jc w:val="center"/>
                    <w:rPr>
                      <w:rFonts w:hint="eastAsia" w:eastAsia="宋体"/>
                      <w:color w:val="000000" w:themeColor="text1"/>
                      <w:szCs w:val="21"/>
                      <w:lang w:eastAsia="zh-CN"/>
                      <w14:textFill>
                        <w14:solidFill>
                          <w14:schemeClr w14:val="tx1"/>
                        </w14:solidFill>
                      </w14:textFill>
                    </w:rPr>
                  </w:pPr>
                  <w:r>
                    <w:rPr>
                      <w:rFonts w:hint="eastAsia"/>
                      <w:color w:val="000000" w:themeColor="text1"/>
                      <w:szCs w:val="21"/>
                      <w:lang w:eastAsia="zh-CN"/>
                      <w14:textFill>
                        <w14:solidFill>
                          <w14:schemeClr w14:val="tx1"/>
                        </w14:solidFill>
                      </w14:textFill>
                    </w:rPr>
                    <w:t>新能源产业</w:t>
                  </w:r>
                </w:p>
              </w:tc>
              <w:tc>
                <w:tcPr>
                  <w:tcW w:w="2438" w:type="pct"/>
                  <w:vAlign w:val="center"/>
                </w:tcPr>
                <w:p>
                  <w:pPr>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太阳能热发电集热系统、太阳能光伏发电系统集成技术开发应用、逆变控制系统开发制造、风电与光伏发电互补系统技术开发与应用</w:t>
                  </w:r>
                </w:p>
              </w:tc>
              <w:tc>
                <w:tcPr>
                  <w:tcW w:w="2080" w:type="pct"/>
                  <w:vAlign w:val="center"/>
                </w:tcPr>
                <w:p>
                  <w:pPr>
                    <w:jc w:val="center"/>
                    <w:rPr>
                      <w:rFonts w:hint="eastAsia" w:eastAsia="宋体"/>
                      <w:color w:val="000000" w:themeColor="text1"/>
                      <w:szCs w:val="21"/>
                      <w:lang w:val="en-US" w:eastAsia="zh-CN"/>
                      <w14:textFill>
                        <w14:solidFill>
                          <w14:schemeClr w14:val="tx1"/>
                        </w14:solidFill>
                      </w14:textFill>
                    </w:rPr>
                  </w:pPr>
                  <w:r>
                    <w:rPr>
                      <w:rFonts w:hint="eastAsia"/>
                      <w:color w:val="000000" w:themeColor="text1"/>
                      <w:szCs w:val="21"/>
                      <w:lang w:val="en-US" w:eastAsia="zh-CN"/>
                      <w14:textFill>
                        <w14:solidFill>
                          <w14:schemeClr w14:val="tx1"/>
                        </w14:solidFill>
                      </w14:textFill>
                    </w:rPr>
                    <w:t>/</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481" w:type="pct"/>
                  <w:vAlign w:val="center"/>
                </w:tcPr>
                <w:p>
                  <w:pPr>
                    <w:jc w:val="center"/>
                    <w:rPr>
                      <w:rFonts w:hint="eastAsia" w:eastAsia="宋体"/>
                      <w:color w:val="000000" w:themeColor="text1"/>
                      <w:szCs w:val="21"/>
                      <w:lang w:eastAsia="zh-CN"/>
                      <w14:textFill>
                        <w14:solidFill>
                          <w14:schemeClr w14:val="tx1"/>
                        </w14:solidFill>
                      </w14:textFill>
                    </w:rPr>
                  </w:pPr>
                  <w:r>
                    <w:rPr>
                      <w:rFonts w:hint="eastAsia"/>
                      <w:color w:val="000000" w:themeColor="text1"/>
                      <w:szCs w:val="21"/>
                      <w:lang w:eastAsia="zh-CN"/>
                      <w14:textFill>
                        <w14:solidFill>
                          <w14:schemeClr w14:val="tx1"/>
                        </w14:solidFill>
                      </w14:textFill>
                    </w:rPr>
                    <w:t>新材料产业</w:t>
                  </w:r>
                </w:p>
              </w:tc>
              <w:tc>
                <w:tcPr>
                  <w:tcW w:w="2438" w:type="pct"/>
                  <w:vAlign w:val="center"/>
                </w:tcPr>
                <w:p>
                  <w:pPr>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直径200mm以上的硅单晶及抛光片、各类晶体硅和薄膜太阳能光伏电池生产设备、先进的各类太阳能光伏电池及高纯晶体硅材料、硅材料下游项目，光电板、太阳能电池组件、光电子科学和光机电一体化技术，新型墙体和屋面材料、绝热隔音材料、建筑防水和密封等材料的开发与生产，新型节能环保材料</w:t>
                  </w:r>
                </w:p>
              </w:tc>
              <w:tc>
                <w:tcPr>
                  <w:tcW w:w="2080" w:type="pct"/>
                  <w:vAlign w:val="center"/>
                </w:tcPr>
                <w:p>
                  <w:pPr>
                    <w:jc w:val="center"/>
                    <w:rPr>
                      <w:rFonts w:hint="eastAsia"/>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太阳能电池切片生产项目</w:t>
                  </w:r>
                </w:p>
                <w:p>
                  <w:pPr>
                    <w:jc w:val="center"/>
                    <w:rPr>
                      <w:color w:val="000000" w:themeColor="text1"/>
                      <w:szCs w:val="21"/>
                      <w14:textFill>
                        <w14:solidFill>
                          <w14:schemeClr w14:val="tx1"/>
                        </w14:solidFill>
                      </w14:textFill>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481" w:type="pct"/>
                  <w:vAlign w:val="center"/>
                </w:tcPr>
                <w:p>
                  <w:pPr>
                    <w:jc w:val="center"/>
                    <w:rPr>
                      <w:rFonts w:hint="eastAsia"/>
                      <w:color w:val="000000" w:themeColor="text1"/>
                      <w:szCs w:val="21"/>
                      <w:lang w:eastAsia="zh-CN"/>
                      <w14:textFill>
                        <w14:solidFill>
                          <w14:schemeClr w14:val="tx1"/>
                        </w14:solidFill>
                      </w14:textFill>
                    </w:rPr>
                  </w:pPr>
                  <w:r>
                    <w:rPr>
                      <w:rFonts w:hint="eastAsia"/>
                      <w:color w:val="000000" w:themeColor="text1"/>
                      <w:szCs w:val="21"/>
                      <w:lang w:eastAsia="zh-CN"/>
                      <w14:textFill>
                        <w14:solidFill>
                          <w14:schemeClr w14:val="tx1"/>
                        </w14:solidFill>
                      </w14:textFill>
                    </w:rPr>
                    <w:t>节能环保产业</w:t>
                  </w:r>
                </w:p>
              </w:tc>
              <w:tc>
                <w:tcPr>
                  <w:tcW w:w="2438" w:type="pct"/>
                  <w:vAlign w:val="center"/>
                </w:tcPr>
                <w:p>
                  <w:pPr>
                    <w:jc w:val="center"/>
                    <w:rPr>
                      <w:rFonts w:hint="eastAsia"/>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高效节能、先进环保和资源循环利用、半导体照明、太阳能利用技术、风力发电等新技术装备与产品、新型墙体材料、节能建筑材料</w:t>
                  </w:r>
                </w:p>
                <w:p>
                  <w:pPr>
                    <w:jc w:val="center"/>
                    <w:rPr>
                      <w:color w:val="000000" w:themeColor="text1"/>
                      <w:szCs w:val="21"/>
                      <w14:textFill>
                        <w14:solidFill>
                          <w14:schemeClr w14:val="tx1"/>
                        </w14:solidFill>
                      </w14:textFill>
                    </w:rPr>
                  </w:pPr>
                </w:p>
              </w:tc>
              <w:tc>
                <w:tcPr>
                  <w:tcW w:w="2080" w:type="pct"/>
                  <w:vAlign w:val="center"/>
                </w:tcPr>
                <w:p>
                  <w:pPr>
                    <w:jc w:val="center"/>
                    <w:rPr>
                      <w:rFonts w:hint="eastAsia" w:eastAsia="宋体"/>
                      <w:color w:val="000000" w:themeColor="text1"/>
                      <w:szCs w:val="21"/>
                      <w:lang w:val="en-US" w:eastAsia="zh-CN"/>
                      <w14:textFill>
                        <w14:solidFill>
                          <w14:schemeClr w14:val="tx1"/>
                        </w14:solidFill>
                      </w14:textFill>
                    </w:rPr>
                  </w:pPr>
                  <w:r>
                    <w:rPr>
                      <w:rFonts w:hint="eastAsia"/>
                      <w:color w:val="000000" w:themeColor="text1"/>
                      <w:szCs w:val="21"/>
                      <w:lang w:val="en-US" w:eastAsia="zh-CN"/>
                      <w14:textFill>
                        <w14:solidFill>
                          <w14:schemeClr w14:val="tx1"/>
                        </w14:solidFill>
                      </w14:textFill>
                    </w:rPr>
                    <w:t>/</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481" w:type="pct"/>
                  <w:vAlign w:val="center"/>
                </w:tcPr>
                <w:p>
                  <w:pPr>
                    <w:jc w:val="center"/>
                    <w:rPr>
                      <w:rFonts w:hint="eastAsia"/>
                      <w:color w:val="000000" w:themeColor="text1"/>
                      <w:szCs w:val="21"/>
                      <w:lang w:eastAsia="zh-CN"/>
                      <w14:textFill>
                        <w14:solidFill>
                          <w14:schemeClr w14:val="tx1"/>
                        </w14:solidFill>
                      </w14:textFill>
                    </w:rPr>
                  </w:pPr>
                  <w:r>
                    <w:rPr>
                      <w:rFonts w:hint="eastAsia"/>
                      <w:color w:val="000000" w:themeColor="text1"/>
                      <w:szCs w:val="21"/>
                      <w:lang w:eastAsia="zh-CN"/>
                      <w14:textFill>
                        <w14:solidFill>
                          <w14:schemeClr w14:val="tx1"/>
                        </w14:solidFill>
                      </w14:textFill>
                    </w:rPr>
                    <w:t>化工新材料</w:t>
                  </w:r>
                </w:p>
              </w:tc>
              <w:tc>
                <w:tcPr>
                  <w:tcW w:w="2438" w:type="pct"/>
                  <w:vAlign w:val="center"/>
                </w:tcPr>
                <w:p>
                  <w:pPr>
                    <w:jc w:val="center"/>
                    <w:rPr>
                      <w:rFonts w:hint="eastAsia"/>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有机硅材料、有机氟材料、工程塑料、高性能聚氨酯、高性能纤维、生物基化工新材料</w:t>
                  </w:r>
                </w:p>
                <w:p>
                  <w:pPr>
                    <w:jc w:val="center"/>
                    <w:rPr>
                      <w:color w:val="000000" w:themeColor="text1"/>
                      <w:szCs w:val="21"/>
                      <w14:textFill>
                        <w14:solidFill>
                          <w14:schemeClr w14:val="tx1"/>
                        </w14:solidFill>
                      </w14:textFill>
                    </w:rPr>
                  </w:pPr>
                </w:p>
              </w:tc>
              <w:tc>
                <w:tcPr>
                  <w:tcW w:w="2080" w:type="pct"/>
                  <w:vAlign w:val="center"/>
                </w:tcPr>
                <w:p>
                  <w:pPr>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钢铁等传统型金属材料</w:t>
                  </w:r>
                  <w:r>
                    <w:rPr>
                      <w:rFonts w:hint="eastAsia"/>
                      <w:color w:val="000000" w:themeColor="text1"/>
                      <w:szCs w:val="21"/>
                      <w:lang w:eastAsia="zh-CN"/>
                      <w14:textFill>
                        <w14:solidFill>
                          <w14:schemeClr w14:val="tx1"/>
                        </w14:solidFill>
                      </w14:textFill>
                    </w:rPr>
                    <w:t>；</w:t>
                  </w:r>
                  <w:r>
                    <w:rPr>
                      <w:rFonts w:hint="eastAsia"/>
                      <w:color w:val="000000" w:themeColor="text1"/>
                      <w:szCs w:val="21"/>
                      <w14:textFill>
                        <w14:solidFill>
                          <w14:schemeClr w14:val="tx1"/>
                        </w14:solidFill>
                      </w14:textFill>
                    </w:rPr>
                    <w:t>水泥等传统型非金属材料</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481" w:type="pct"/>
                  <w:vAlign w:val="center"/>
                </w:tcPr>
                <w:p>
                  <w:pPr>
                    <w:jc w:val="center"/>
                    <w:rPr>
                      <w:rFonts w:hint="eastAsia"/>
                      <w:color w:val="000000" w:themeColor="text1"/>
                      <w:szCs w:val="21"/>
                      <w:lang w:eastAsia="zh-CN"/>
                      <w14:textFill>
                        <w14:solidFill>
                          <w14:schemeClr w14:val="tx1"/>
                        </w14:solidFill>
                      </w14:textFill>
                    </w:rPr>
                  </w:pPr>
                  <w:r>
                    <w:rPr>
                      <w:rFonts w:hint="eastAsia"/>
                      <w:color w:val="000000" w:themeColor="text1"/>
                      <w:szCs w:val="21"/>
                      <w:lang w:eastAsia="zh-CN"/>
                      <w14:textFill>
                        <w14:solidFill>
                          <w14:schemeClr w14:val="tx1"/>
                        </w14:solidFill>
                      </w14:textFill>
                    </w:rPr>
                    <w:t>新医药产业</w:t>
                  </w:r>
                </w:p>
              </w:tc>
              <w:tc>
                <w:tcPr>
                  <w:tcW w:w="2438" w:type="pct"/>
                  <w:vAlign w:val="center"/>
                </w:tcPr>
                <w:p>
                  <w:pPr>
                    <w:jc w:val="center"/>
                    <w:rPr>
                      <w:rFonts w:hint="eastAsia"/>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生物制药、化学药品、医疗器械与卫生材料、中药、生物工业、生物农业、生物环保、生物能源</w:t>
                  </w:r>
                </w:p>
                <w:p>
                  <w:pPr>
                    <w:jc w:val="center"/>
                    <w:rPr>
                      <w:color w:val="000000" w:themeColor="text1"/>
                      <w:szCs w:val="21"/>
                      <w14:textFill>
                        <w14:solidFill>
                          <w14:schemeClr w14:val="tx1"/>
                        </w14:solidFill>
                      </w14:textFill>
                    </w:rPr>
                  </w:pPr>
                </w:p>
              </w:tc>
              <w:tc>
                <w:tcPr>
                  <w:tcW w:w="2080" w:type="pct"/>
                  <w:vAlign w:val="center"/>
                </w:tcPr>
                <w:p>
                  <w:pPr>
                    <w:jc w:val="both"/>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不符合GMP要求的安瓿拉丝灌封机、劳动保护、安瓿灌装注射用无菌粉末、非易折安瓿等，以及《产业结构调整指导目录(2011年本)》(2013年修正)规定的淘汰类产业及工艺</w:t>
                  </w:r>
                </w:p>
              </w:tc>
            </w:tr>
          </w:tbl>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b w:val="0"/>
                <w:bCs/>
                <w:color w:val="000000" w:themeColor="text1"/>
                <w:sz w:val="24"/>
                <w:szCs w:val="24"/>
                <w:lang w:val="en-US" w:eastAsia="zh-CN"/>
                <w14:textFill>
                  <w14:solidFill>
                    <w14:schemeClr w14:val="tx1"/>
                  </w14:solidFill>
                </w14:textFill>
              </w:rPr>
            </w:pPr>
            <w:r>
              <w:rPr>
                <w:rFonts w:hint="eastAsia"/>
                <w:b w:val="0"/>
                <w:bCs/>
                <w:color w:val="000000" w:themeColor="text1"/>
                <w:sz w:val="24"/>
                <w:szCs w:val="24"/>
                <w:lang w:val="en-US" w:eastAsia="zh-CN"/>
                <w14:textFill>
                  <w14:solidFill>
                    <w14:schemeClr w14:val="tx1"/>
                  </w14:solidFill>
                </w14:textFill>
              </w:rPr>
              <w:t>本项目属于C2770卫生材料及医药用品制造，营运期内无生产废水排放，废气、废水、噪声、固废均配套相应的污染防治措施，符合金坛经济开发区产业定位。</w:t>
            </w:r>
          </w:p>
          <w:p>
            <w:pPr>
              <w:spacing w:line="360" w:lineRule="auto"/>
              <w:ind w:firstLine="480" w:firstLineChars="200"/>
              <w:rPr>
                <w:b/>
                <w:color w:val="000000" w:themeColor="text1"/>
                <w:sz w:val="24"/>
                <w:szCs w:val="24"/>
                <w14:textFill>
                  <w14:solidFill>
                    <w14:schemeClr w14:val="tx1"/>
                  </w14:solidFill>
                </w14:textFill>
              </w:rPr>
            </w:pPr>
            <w:r>
              <w:rPr>
                <w:rFonts w:hint="eastAsia"/>
                <w:b/>
                <w:color w:val="000000" w:themeColor="text1"/>
                <w:sz w:val="24"/>
                <w:szCs w:val="24"/>
                <w14:textFill>
                  <w14:solidFill>
                    <w14:schemeClr w14:val="tx1"/>
                  </w14:solidFill>
                </w14:textFill>
              </w:rPr>
              <w:t>10、与相关文件相符性分析：</w:t>
            </w:r>
          </w:p>
          <w:p>
            <w:pPr>
              <w:ind w:firstLine="482"/>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表1-</w:t>
            </w:r>
            <w:r>
              <w:rPr>
                <w:rFonts w:hint="eastAsia"/>
                <w:b/>
                <w:color w:val="000000" w:themeColor="text1"/>
                <w:szCs w:val="21"/>
                <w14:textFill>
                  <w14:solidFill>
                    <w14:schemeClr w14:val="tx1"/>
                  </w14:solidFill>
                </w14:textFill>
              </w:rPr>
              <w:t>8</w:t>
            </w:r>
            <w:r>
              <w:rPr>
                <w:b/>
                <w:color w:val="000000" w:themeColor="text1"/>
                <w:szCs w:val="21"/>
                <w14:textFill>
                  <w14:solidFill>
                    <w14:schemeClr w14:val="tx1"/>
                  </w14:solidFill>
                </w14:textFill>
              </w:rPr>
              <w:t xml:space="preserve"> 本项目与相关文件的相符性分析</w:t>
            </w:r>
          </w:p>
          <w:tbl>
            <w:tblPr>
              <w:tblStyle w:val="56"/>
              <w:tblW w:w="8312" w:type="dxa"/>
              <w:jc w:val="center"/>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1069"/>
              <w:gridCol w:w="3301"/>
              <w:gridCol w:w="2854"/>
              <w:gridCol w:w="1088"/>
            </w:tblGrid>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69" w:type="dxa"/>
                  <w:vAlign w:val="center"/>
                </w:tcPr>
                <w:p>
                  <w:pPr>
                    <w:pStyle w:val="386"/>
                    <w:spacing w:line="240" w:lineRule="auto"/>
                    <w:rPr>
                      <w:rFonts w:eastAsia="宋体"/>
                      <w:b/>
                      <w:color w:val="000000" w:themeColor="text1"/>
                      <w:szCs w:val="21"/>
                      <w14:textFill>
                        <w14:solidFill>
                          <w14:schemeClr w14:val="tx1"/>
                        </w14:solidFill>
                      </w14:textFill>
                    </w:rPr>
                  </w:pPr>
                  <w:r>
                    <w:rPr>
                      <w:rFonts w:eastAsia="宋体"/>
                      <w:b/>
                      <w:color w:val="000000" w:themeColor="text1"/>
                      <w:szCs w:val="21"/>
                      <w14:textFill>
                        <w14:solidFill>
                          <w14:schemeClr w14:val="tx1"/>
                        </w14:solidFill>
                      </w14:textFill>
                    </w:rPr>
                    <w:t>文件</w:t>
                  </w:r>
                </w:p>
              </w:tc>
              <w:tc>
                <w:tcPr>
                  <w:tcW w:w="3301" w:type="dxa"/>
                  <w:vAlign w:val="center"/>
                </w:tcPr>
                <w:p>
                  <w:pPr>
                    <w:pStyle w:val="386"/>
                    <w:spacing w:line="240" w:lineRule="auto"/>
                    <w:rPr>
                      <w:rFonts w:eastAsia="宋体"/>
                      <w:b/>
                      <w:color w:val="000000" w:themeColor="text1"/>
                      <w:szCs w:val="21"/>
                      <w14:textFill>
                        <w14:solidFill>
                          <w14:schemeClr w14:val="tx1"/>
                        </w14:solidFill>
                      </w14:textFill>
                    </w:rPr>
                  </w:pPr>
                  <w:r>
                    <w:rPr>
                      <w:rFonts w:eastAsia="宋体"/>
                      <w:b/>
                      <w:color w:val="000000" w:themeColor="text1"/>
                      <w:szCs w:val="21"/>
                      <w14:textFill>
                        <w14:solidFill>
                          <w14:schemeClr w14:val="tx1"/>
                        </w14:solidFill>
                      </w14:textFill>
                    </w:rPr>
                    <w:t>与项目相关要求</w:t>
                  </w:r>
                </w:p>
              </w:tc>
              <w:tc>
                <w:tcPr>
                  <w:tcW w:w="2854" w:type="dxa"/>
                  <w:vAlign w:val="center"/>
                </w:tcPr>
                <w:p>
                  <w:pPr>
                    <w:pStyle w:val="386"/>
                    <w:spacing w:line="240" w:lineRule="auto"/>
                    <w:rPr>
                      <w:rFonts w:eastAsia="宋体"/>
                      <w:b/>
                      <w:color w:val="000000" w:themeColor="text1"/>
                      <w:szCs w:val="21"/>
                      <w14:textFill>
                        <w14:solidFill>
                          <w14:schemeClr w14:val="tx1"/>
                        </w14:solidFill>
                      </w14:textFill>
                    </w:rPr>
                  </w:pPr>
                  <w:r>
                    <w:rPr>
                      <w:rFonts w:eastAsia="宋体"/>
                      <w:b/>
                      <w:color w:val="000000" w:themeColor="text1"/>
                      <w:szCs w:val="21"/>
                      <w14:textFill>
                        <w14:solidFill>
                          <w14:schemeClr w14:val="tx1"/>
                        </w14:solidFill>
                      </w14:textFill>
                    </w:rPr>
                    <w:t>本项目相符性分析</w:t>
                  </w:r>
                </w:p>
              </w:tc>
              <w:tc>
                <w:tcPr>
                  <w:tcW w:w="1088" w:type="dxa"/>
                  <w:vAlign w:val="center"/>
                </w:tcPr>
                <w:p>
                  <w:pPr>
                    <w:pStyle w:val="386"/>
                    <w:spacing w:line="240" w:lineRule="auto"/>
                    <w:rPr>
                      <w:rFonts w:eastAsia="宋体"/>
                      <w:b/>
                      <w:color w:val="000000" w:themeColor="text1"/>
                      <w:szCs w:val="21"/>
                      <w14:textFill>
                        <w14:solidFill>
                          <w14:schemeClr w14:val="tx1"/>
                        </w14:solidFill>
                      </w14:textFill>
                    </w:rPr>
                  </w:pPr>
                  <w:r>
                    <w:rPr>
                      <w:rFonts w:eastAsia="宋体"/>
                      <w:b/>
                      <w:color w:val="000000" w:themeColor="text1"/>
                      <w:szCs w:val="21"/>
                      <w14:textFill>
                        <w14:solidFill>
                          <w14:schemeClr w14:val="tx1"/>
                        </w14:solidFill>
                      </w14:textFill>
                    </w:rPr>
                    <w:t>是否相符</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1723" w:hRule="atLeast"/>
                <w:jc w:val="center"/>
              </w:trPr>
              <w:tc>
                <w:tcPr>
                  <w:tcW w:w="1069" w:type="dxa"/>
                  <w:vMerge w:val="restart"/>
                  <w:vAlign w:val="center"/>
                </w:tcPr>
                <w:p>
                  <w:pPr>
                    <w:pStyle w:val="386"/>
                    <w:spacing w:line="240" w:lineRule="auto"/>
                    <w:jc w:val="both"/>
                    <w:rPr>
                      <w:rFonts w:eastAsia="宋体"/>
                      <w:b/>
                      <w:color w:val="000000" w:themeColor="text1"/>
                      <w:szCs w:val="21"/>
                      <w14:textFill>
                        <w14:solidFill>
                          <w14:schemeClr w14:val="tx1"/>
                        </w14:solidFill>
                      </w14:textFill>
                    </w:rPr>
                  </w:pPr>
                  <w:r>
                    <w:rPr>
                      <w:rFonts w:hint="eastAsia" w:eastAsia="宋体"/>
                      <w:b/>
                      <w:color w:val="000000" w:themeColor="text1"/>
                      <w:szCs w:val="21"/>
                      <w14:textFill>
                        <w14:solidFill>
                          <w14:schemeClr w14:val="tx1"/>
                        </w14:solidFill>
                      </w14:textFill>
                    </w:rPr>
                    <w:t>江苏省大气污染物防治条例</w:t>
                  </w:r>
                </w:p>
              </w:tc>
              <w:tc>
                <w:tcPr>
                  <w:tcW w:w="3301" w:type="dxa"/>
                  <w:vAlign w:val="center"/>
                </w:tcPr>
                <w:p>
                  <w:pPr>
                    <w:pStyle w:val="386"/>
                    <w:spacing w:line="240" w:lineRule="auto"/>
                    <w:jc w:val="both"/>
                    <w:rPr>
                      <w:rFonts w:eastAsia="宋体"/>
                      <w:color w:val="000000" w:themeColor="text1"/>
                      <w:szCs w:val="21"/>
                      <w14:textFill>
                        <w14:solidFill>
                          <w14:schemeClr w14:val="tx1"/>
                        </w14:solidFill>
                      </w14:textFill>
                    </w:rPr>
                  </w:pPr>
                  <w:r>
                    <w:rPr>
                      <w:rFonts w:hint="eastAsia" w:eastAsia="宋体"/>
                      <w:color w:val="000000" w:themeColor="text1"/>
                      <w:szCs w:val="21"/>
                      <w14:textFill>
                        <w14:solidFill>
                          <w14:schemeClr w14:val="tx1"/>
                        </w14:solidFill>
                      </w14:textFill>
                    </w:rPr>
                    <w:t>禁止使用列入淘汰名录的高污染工艺设备。淘汰的高污染工艺设备，企业不得转让给他人使用</w:t>
                  </w:r>
                </w:p>
              </w:tc>
              <w:tc>
                <w:tcPr>
                  <w:tcW w:w="2854" w:type="dxa"/>
                  <w:vAlign w:val="center"/>
                </w:tcPr>
                <w:p>
                  <w:pPr>
                    <w:pStyle w:val="386"/>
                    <w:spacing w:line="240" w:lineRule="auto"/>
                    <w:jc w:val="both"/>
                    <w:rPr>
                      <w:rFonts w:eastAsia="宋体"/>
                      <w:color w:val="000000" w:themeColor="text1"/>
                      <w:szCs w:val="21"/>
                      <w14:textFill>
                        <w14:solidFill>
                          <w14:schemeClr w14:val="tx1"/>
                        </w14:solidFill>
                      </w14:textFill>
                    </w:rPr>
                  </w:pPr>
                  <w:r>
                    <w:rPr>
                      <w:rFonts w:hint="eastAsia" w:eastAsia="宋体"/>
                      <w:color w:val="000000" w:themeColor="text1"/>
                      <w:szCs w:val="21"/>
                      <w14:textFill>
                        <w14:solidFill>
                          <w14:schemeClr w14:val="tx1"/>
                        </w14:solidFill>
                      </w14:textFill>
                    </w:rPr>
                    <w:t>本项目设备不属于高污染、淘汰的工艺设备</w:t>
                  </w:r>
                </w:p>
              </w:tc>
              <w:tc>
                <w:tcPr>
                  <w:tcW w:w="1088" w:type="dxa"/>
                  <w:vAlign w:val="center"/>
                </w:tcPr>
                <w:p>
                  <w:pPr>
                    <w:pStyle w:val="386"/>
                    <w:spacing w:line="240" w:lineRule="auto"/>
                    <w:rPr>
                      <w:rFonts w:eastAsia="宋体"/>
                      <w:color w:val="000000" w:themeColor="text1"/>
                      <w:szCs w:val="21"/>
                      <w14:textFill>
                        <w14:solidFill>
                          <w14:schemeClr w14:val="tx1"/>
                        </w14:solidFill>
                      </w14:textFill>
                    </w:rPr>
                  </w:pPr>
                  <w:r>
                    <w:rPr>
                      <w:rFonts w:eastAsia="宋体"/>
                      <w:color w:val="000000" w:themeColor="text1"/>
                      <w:szCs w:val="21"/>
                      <w14:textFill>
                        <w14:solidFill>
                          <w14:schemeClr w14:val="tx1"/>
                        </w14:solidFill>
                      </w14:textFill>
                    </w:rPr>
                    <w:t>相符</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69" w:type="dxa"/>
                  <w:vMerge w:val="continue"/>
                  <w:vAlign w:val="center"/>
                </w:tcPr>
                <w:p>
                  <w:pPr>
                    <w:pStyle w:val="386"/>
                    <w:spacing w:line="240" w:lineRule="auto"/>
                    <w:jc w:val="both"/>
                    <w:rPr>
                      <w:rFonts w:eastAsia="宋体"/>
                      <w:b/>
                      <w:color w:val="000000" w:themeColor="text1"/>
                      <w:szCs w:val="21"/>
                      <w14:textFill>
                        <w14:solidFill>
                          <w14:schemeClr w14:val="tx1"/>
                        </w14:solidFill>
                      </w14:textFill>
                    </w:rPr>
                  </w:pPr>
                </w:p>
              </w:tc>
              <w:tc>
                <w:tcPr>
                  <w:tcW w:w="3301" w:type="dxa"/>
                  <w:vAlign w:val="center"/>
                </w:tcPr>
                <w:p>
                  <w:pPr>
                    <w:pStyle w:val="386"/>
                    <w:spacing w:line="240" w:lineRule="auto"/>
                    <w:jc w:val="both"/>
                    <w:rPr>
                      <w:rFonts w:eastAsia="宋体"/>
                      <w:color w:val="000000" w:themeColor="text1"/>
                      <w:szCs w:val="21"/>
                      <w14:textFill>
                        <w14:solidFill>
                          <w14:schemeClr w14:val="tx1"/>
                        </w14:solidFill>
                      </w14:textFill>
                    </w:rPr>
                  </w:pPr>
                  <w:r>
                    <w:rPr>
                      <w:rFonts w:hint="eastAsia" w:eastAsia="宋体"/>
                      <w:color w:val="000000" w:themeColor="text1"/>
                      <w:szCs w:val="21"/>
                      <w14:textFill>
                        <w14:solidFill>
                          <w14:schemeClr w14:val="tx1"/>
                        </w14:solidFill>
                      </w14:textFill>
                    </w:rPr>
                    <w:t>企业应当使用资源利用率高、污染物排放量少的工艺、设备，采用最佳实用大气污染控制技术，减少大气污染物的产生</w:t>
                  </w:r>
                </w:p>
              </w:tc>
              <w:tc>
                <w:tcPr>
                  <w:tcW w:w="2854" w:type="dxa"/>
                  <w:vMerge w:val="restart"/>
                  <w:vAlign w:val="center"/>
                </w:tcPr>
                <w:p>
                  <w:pPr>
                    <w:pStyle w:val="386"/>
                    <w:spacing w:line="240" w:lineRule="auto"/>
                    <w:jc w:val="both"/>
                    <w:rPr>
                      <w:rFonts w:hint="eastAsia" w:eastAsia="宋体"/>
                      <w:color w:val="000000" w:themeColor="text1"/>
                      <w:szCs w:val="21"/>
                      <w:lang w:eastAsia="zh-CN"/>
                      <w14:textFill>
                        <w14:solidFill>
                          <w14:schemeClr w14:val="tx1"/>
                        </w14:solidFill>
                      </w14:textFill>
                    </w:rPr>
                  </w:pPr>
                  <w:r>
                    <w:rPr>
                      <w:rFonts w:hint="eastAsia" w:eastAsia="宋体"/>
                      <w:color w:val="000000" w:themeColor="text1"/>
                      <w:szCs w:val="21"/>
                      <w:lang w:eastAsia="zh-CN"/>
                      <w14:textFill>
                        <w14:solidFill>
                          <w14:schemeClr w14:val="tx1"/>
                        </w14:solidFill>
                      </w14:textFill>
                    </w:rPr>
                    <w:t>本目</w:t>
                  </w:r>
                  <w:r>
                    <w:rPr>
                      <w:rFonts w:hint="eastAsia" w:eastAsia="宋体"/>
                      <w:color w:val="000000" w:themeColor="text1"/>
                      <w:szCs w:val="21"/>
                      <w14:textFill>
                        <w14:solidFill>
                          <w14:schemeClr w14:val="tx1"/>
                        </w14:solidFill>
                      </w14:textFill>
                    </w:rPr>
                    <w:t>粉尘经经半密闭的集气罩收集至1套布袋除尘器处理后经15m排气筒DA001高空排放，非甲烷总烃和极少量氯化氢经半密闭的集气罩收集至“二级活性炭吸附装置”（收集和处理效率为80%）处理后通过15m排气筒DA001高空排放，两股废气经1根排气筒排放</w:t>
                  </w:r>
                  <w:r>
                    <w:rPr>
                      <w:rFonts w:hint="eastAsia" w:eastAsia="宋体"/>
                      <w:color w:val="000000" w:themeColor="text1"/>
                      <w:szCs w:val="21"/>
                      <w:lang w:eastAsia="zh-CN"/>
                      <w14:textFill>
                        <w14:solidFill>
                          <w14:schemeClr w14:val="tx1"/>
                        </w14:solidFill>
                      </w14:textFill>
                    </w:rPr>
                    <w:t>。</w:t>
                  </w:r>
                </w:p>
                <w:p>
                  <w:pPr>
                    <w:pStyle w:val="386"/>
                    <w:spacing w:line="240" w:lineRule="auto"/>
                    <w:jc w:val="both"/>
                    <w:rPr>
                      <w:rFonts w:eastAsia="宋体"/>
                      <w:color w:val="000000" w:themeColor="text1"/>
                      <w:szCs w:val="21"/>
                      <w14:textFill>
                        <w14:solidFill>
                          <w14:schemeClr w14:val="tx1"/>
                        </w14:solidFill>
                      </w14:textFill>
                    </w:rPr>
                  </w:pPr>
                  <w:r>
                    <w:rPr>
                      <w:rFonts w:hint="eastAsia" w:eastAsia="宋体"/>
                      <w:color w:val="000000" w:themeColor="text1"/>
                      <w:szCs w:val="21"/>
                      <w14:textFill>
                        <w14:solidFill>
                          <w14:schemeClr w14:val="tx1"/>
                        </w14:solidFill>
                      </w14:textFill>
                    </w:rPr>
                    <w:t>本项目要求车间门窗关闭生产</w:t>
                  </w:r>
                  <w:r>
                    <w:rPr>
                      <w:rFonts w:hint="eastAsia" w:eastAsia="宋体"/>
                      <w:color w:val="000000" w:themeColor="text1"/>
                      <w:szCs w:val="21"/>
                      <w:lang w:eastAsia="zh-CN"/>
                      <w14:textFill>
                        <w14:solidFill>
                          <w14:schemeClr w14:val="tx1"/>
                        </w14:solidFill>
                      </w14:textFill>
                    </w:rPr>
                    <w:t>。</w:t>
                  </w:r>
                  <w:r>
                    <w:rPr>
                      <w:rFonts w:hint="eastAsia" w:eastAsia="宋体"/>
                      <w:color w:val="000000" w:themeColor="text1"/>
                      <w:szCs w:val="21"/>
                      <w14:textFill>
                        <w14:solidFill>
                          <w14:schemeClr w14:val="tx1"/>
                        </w14:solidFill>
                      </w14:textFill>
                    </w:rPr>
                    <w:t>生产线工作时，建设单位必须保持环保设备正常使用</w:t>
                  </w:r>
                </w:p>
              </w:tc>
              <w:tc>
                <w:tcPr>
                  <w:tcW w:w="1088" w:type="dxa"/>
                  <w:vMerge w:val="restart"/>
                  <w:vAlign w:val="center"/>
                </w:tcPr>
                <w:p>
                  <w:pPr>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相符</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69" w:type="dxa"/>
                  <w:vMerge w:val="continue"/>
                  <w:vAlign w:val="center"/>
                </w:tcPr>
                <w:p>
                  <w:pPr>
                    <w:pStyle w:val="386"/>
                    <w:spacing w:line="240" w:lineRule="auto"/>
                    <w:jc w:val="both"/>
                    <w:rPr>
                      <w:rFonts w:eastAsia="宋体"/>
                      <w:b/>
                      <w:color w:val="000000" w:themeColor="text1"/>
                      <w:szCs w:val="21"/>
                      <w14:textFill>
                        <w14:solidFill>
                          <w14:schemeClr w14:val="tx1"/>
                        </w14:solidFill>
                      </w14:textFill>
                    </w:rPr>
                  </w:pPr>
                </w:p>
              </w:tc>
              <w:tc>
                <w:tcPr>
                  <w:tcW w:w="3301" w:type="dxa"/>
                  <w:vAlign w:val="center"/>
                </w:tcPr>
                <w:p>
                  <w:pPr>
                    <w:pStyle w:val="386"/>
                    <w:spacing w:line="240" w:lineRule="auto"/>
                    <w:jc w:val="both"/>
                    <w:rPr>
                      <w:rFonts w:eastAsia="宋体"/>
                      <w:color w:val="000000" w:themeColor="text1"/>
                      <w:szCs w:val="21"/>
                      <w14:textFill>
                        <w14:solidFill>
                          <w14:schemeClr w14:val="tx1"/>
                        </w14:solidFill>
                      </w14:textFill>
                    </w:rPr>
                  </w:pPr>
                  <w:r>
                    <w:rPr>
                      <w:rFonts w:hint="eastAsia" w:eastAsia="宋体"/>
                      <w:color w:val="000000" w:themeColor="text1"/>
                      <w:szCs w:val="21"/>
                      <w14:textFill>
                        <w14:solidFill>
                          <w14:schemeClr w14:val="tx1"/>
                        </w14:solidFill>
                      </w14:textFill>
                    </w:rPr>
                    <w:t>产生挥发性有机物废气的生产经营活动，应当在密闭空间或者设备中进行，并设置废气收集和处理系统等污染防治设施，保持其正常使用</w:t>
                  </w:r>
                </w:p>
              </w:tc>
              <w:tc>
                <w:tcPr>
                  <w:tcW w:w="2854" w:type="dxa"/>
                  <w:vMerge w:val="continue"/>
                  <w:vAlign w:val="center"/>
                </w:tcPr>
                <w:p>
                  <w:pPr>
                    <w:pStyle w:val="386"/>
                    <w:spacing w:line="240" w:lineRule="auto"/>
                    <w:jc w:val="both"/>
                    <w:rPr>
                      <w:rFonts w:eastAsia="宋体"/>
                      <w:color w:val="000000" w:themeColor="text1"/>
                      <w:szCs w:val="21"/>
                      <w14:textFill>
                        <w14:solidFill>
                          <w14:schemeClr w14:val="tx1"/>
                        </w14:solidFill>
                      </w14:textFill>
                    </w:rPr>
                  </w:pPr>
                </w:p>
              </w:tc>
              <w:tc>
                <w:tcPr>
                  <w:tcW w:w="1088" w:type="dxa"/>
                  <w:vMerge w:val="continue"/>
                  <w:vAlign w:val="center"/>
                </w:tcPr>
                <w:p>
                  <w:pPr>
                    <w:jc w:val="center"/>
                    <w:rPr>
                      <w:color w:val="000000" w:themeColor="text1"/>
                      <w:szCs w:val="21"/>
                      <w14:textFill>
                        <w14:solidFill>
                          <w14:schemeClr w14:val="tx1"/>
                        </w14:solidFill>
                      </w14:textFill>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069" w:type="dxa"/>
                  <w:vMerge w:val="restart"/>
                  <w:vAlign w:val="center"/>
                </w:tcPr>
                <w:p>
                  <w:pPr>
                    <w:pStyle w:val="386"/>
                    <w:spacing w:line="240" w:lineRule="auto"/>
                    <w:jc w:val="both"/>
                    <w:rPr>
                      <w:rFonts w:eastAsia="宋体"/>
                      <w:b/>
                      <w:color w:val="000000" w:themeColor="text1"/>
                      <w:szCs w:val="21"/>
                      <w14:textFill>
                        <w14:solidFill>
                          <w14:schemeClr w14:val="tx1"/>
                        </w14:solidFill>
                      </w14:textFill>
                    </w:rPr>
                  </w:pPr>
                  <w:r>
                    <w:rPr>
                      <w:rFonts w:hint="eastAsia" w:eastAsia="宋体"/>
                      <w:b/>
                      <w:color w:val="000000" w:themeColor="text1"/>
                      <w:szCs w:val="21"/>
                      <w14:textFill>
                        <w14:solidFill>
                          <w14:schemeClr w14:val="tx1"/>
                        </w14:solidFill>
                      </w14:textFill>
                    </w:rPr>
                    <w:t>《江苏省打赢蓝天保卫战三年行动计划实施方案》的通知</w:t>
                  </w:r>
                </w:p>
              </w:tc>
              <w:tc>
                <w:tcPr>
                  <w:tcW w:w="3301" w:type="dxa"/>
                  <w:vAlign w:val="center"/>
                </w:tcPr>
                <w:p>
                  <w:pPr>
                    <w:pStyle w:val="386"/>
                    <w:spacing w:line="240" w:lineRule="auto"/>
                    <w:jc w:val="both"/>
                    <w:rPr>
                      <w:rFonts w:eastAsia="宋体"/>
                      <w:color w:val="000000" w:themeColor="text1"/>
                      <w:szCs w:val="21"/>
                      <w14:textFill>
                        <w14:solidFill>
                          <w14:schemeClr w14:val="tx1"/>
                        </w14:solidFill>
                      </w14:textFill>
                    </w:rPr>
                  </w:pPr>
                  <w:r>
                    <w:rPr>
                      <w:rFonts w:hint="eastAsia" w:eastAsia="宋体"/>
                      <w:color w:val="000000" w:themeColor="text1"/>
                      <w:szCs w:val="21"/>
                      <w14:textFill>
                        <w14:solidFill>
                          <w14:schemeClr w14:val="tx1"/>
                        </w14:solidFill>
                      </w14:textFill>
                    </w:rPr>
                    <w:t>深化工业污染治理。持续推进工业污染源全面达标排放，加大超标处罚和联合惩戒力度，未达标排放的企业一律依法停产整治。建立覆盖所有固定污染源的企业排放许可制度，2020年底前完成排污许可分类管理名录规定的行业许可证核发</w:t>
                  </w:r>
                </w:p>
              </w:tc>
              <w:tc>
                <w:tcPr>
                  <w:tcW w:w="2854" w:type="dxa"/>
                  <w:vAlign w:val="center"/>
                </w:tcPr>
                <w:p>
                  <w:pPr>
                    <w:pStyle w:val="386"/>
                    <w:spacing w:line="240" w:lineRule="auto"/>
                    <w:jc w:val="both"/>
                    <w:rPr>
                      <w:rFonts w:eastAsia="宋体"/>
                      <w:color w:val="000000" w:themeColor="text1"/>
                      <w:szCs w:val="21"/>
                      <w14:textFill>
                        <w14:solidFill>
                          <w14:schemeClr w14:val="tx1"/>
                        </w14:solidFill>
                      </w14:textFill>
                    </w:rPr>
                  </w:pPr>
                  <w:r>
                    <w:rPr>
                      <w:rFonts w:hint="eastAsia" w:eastAsia="宋体"/>
                      <w:color w:val="000000" w:themeColor="text1"/>
                      <w:szCs w:val="21"/>
                      <w14:textFill>
                        <w14:solidFill>
                          <w14:schemeClr w14:val="tx1"/>
                        </w14:solidFill>
                      </w14:textFill>
                    </w:rPr>
                    <w:t>本项目正在进行环境影响评价，本次环评要求建设单位及时完成排污许可分类管理名录规定的行业许可证核发</w:t>
                  </w:r>
                </w:p>
              </w:tc>
              <w:tc>
                <w:tcPr>
                  <w:tcW w:w="1088" w:type="dxa"/>
                  <w:vAlign w:val="center"/>
                </w:tcPr>
                <w:p>
                  <w:pPr>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相符</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69" w:type="dxa"/>
                  <w:vMerge w:val="continue"/>
                  <w:vAlign w:val="center"/>
                </w:tcPr>
                <w:p>
                  <w:pPr>
                    <w:pStyle w:val="386"/>
                    <w:spacing w:line="240" w:lineRule="auto"/>
                    <w:jc w:val="both"/>
                    <w:rPr>
                      <w:rFonts w:eastAsia="宋体"/>
                      <w:b/>
                      <w:color w:val="000000" w:themeColor="text1"/>
                      <w:szCs w:val="21"/>
                      <w14:textFill>
                        <w14:solidFill>
                          <w14:schemeClr w14:val="tx1"/>
                        </w14:solidFill>
                      </w14:textFill>
                    </w:rPr>
                  </w:pPr>
                </w:p>
              </w:tc>
              <w:tc>
                <w:tcPr>
                  <w:tcW w:w="3301" w:type="dxa"/>
                  <w:vAlign w:val="center"/>
                </w:tcPr>
                <w:p>
                  <w:pPr>
                    <w:pStyle w:val="386"/>
                    <w:spacing w:line="240" w:lineRule="auto"/>
                    <w:jc w:val="both"/>
                    <w:rPr>
                      <w:rFonts w:eastAsia="宋体"/>
                      <w:color w:val="000000" w:themeColor="text1"/>
                      <w:szCs w:val="21"/>
                      <w14:textFill>
                        <w14:solidFill>
                          <w14:schemeClr w14:val="tx1"/>
                        </w14:solidFill>
                      </w14:textFill>
                    </w:rPr>
                  </w:pPr>
                  <w:r>
                    <w:rPr>
                      <w:rFonts w:hint="eastAsia" w:eastAsia="宋体"/>
                      <w:color w:val="000000" w:themeColor="text1"/>
                      <w:szCs w:val="21"/>
                      <w14:textFill>
                        <w14:solidFill>
                          <w14:schemeClr w14:val="tx1"/>
                        </w14:solidFill>
                      </w14:textFill>
                    </w:rPr>
                    <w:t>全省范围内二氧化硫、氮氧化物、颗粒物、VOCs全面执行大气污染物特别排放限值</w:t>
                  </w:r>
                </w:p>
              </w:tc>
              <w:tc>
                <w:tcPr>
                  <w:tcW w:w="2854" w:type="dxa"/>
                  <w:vAlign w:val="center"/>
                </w:tcPr>
                <w:p>
                  <w:pPr>
                    <w:pStyle w:val="386"/>
                    <w:spacing w:line="240" w:lineRule="auto"/>
                    <w:jc w:val="both"/>
                    <w:rPr>
                      <w:rFonts w:eastAsia="宋体"/>
                      <w:color w:val="000000" w:themeColor="text1"/>
                      <w:szCs w:val="21"/>
                      <w14:textFill>
                        <w14:solidFill>
                          <w14:schemeClr w14:val="tx1"/>
                        </w14:solidFill>
                      </w14:textFill>
                    </w:rPr>
                  </w:pPr>
                  <w:r>
                    <w:rPr>
                      <w:rFonts w:hint="eastAsia" w:eastAsia="宋体"/>
                      <w:color w:val="000000" w:themeColor="text1"/>
                      <w:szCs w:val="21"/>
                      <w14:textFill>
                        <w14:solidFill>
                          <w14:schemeClr w14:val="tx1"/>
                        </w14:solidFill>
                      </w14:textFill>
                    </w:rPr>
                    <w:t>本项目不涉及SO</w:t>
                  </w:r>
                  <w:r>
                    <w:rPr>
                      <w:rFonts w:hint="eastAsia" w:eastAsia="宋体"/>
                      <w:color w:val="000000" w:themeColor="text1"/>
                      <w:szCs w:val="21"/>
                      <w:vertAlign w:val="subscript"/>
                      <w14:textFill>
                        <w14:solidFill>
                          <w14:schemeClr w14:val="tx1"/>
                        </w14:solidFill>
                      </w14:textFill>
                    </w:rPr>
                    <w:t>2</w:t>
                  </w:r>
                  <w:r>
                    <w:rPr>
                      <w:rFonts w:hint="eastAsia" w:eastAsia="宋体"/>
                      <w:color w:val="000000" w:themeColor="text1"/>
                      <w:szCs w:val="21"/>
                      <w14:textFill>
                        <w14:solidFill>
                          <w14:schemeClr w14:val="tx1"/>
                        </w14:solidFill>
                      </w14:textFill>
                    </w:rPr>
                    <w:t>、NOx的排放，</w:t>
                  </w:r>
                  <w:r>
                    <w:rPr>
                      <w:rFonts w:eastAsia="宋体"/>
                      <w:color w:val="000000" w:themeColor="text1"/>
                      <w:szCs w:val="21"/>
                      <w14:textFill>
                        <w14:solidFill>
                          <w14:schemeClr w14:val="tx1"/>
                        </w14:solidFill>
                      </w14:textFill>
                    </w:rPr>
                    <w:t>本次环评要求建设单位</w:t>
                  </w:r>
                  <w:r>
                    <w:rPr>
                      <w:rFonts w:hint="eastAsia" w:eastAsia="宋体"/>
                      <w:color w:val="000000" w:themeColor="text1"/>
                      <w:szCs w:val="21"/>
                      <w:lang w:eastAsia="zh-CN"/>
                      <w14:textFill>
                        <w14:solidFill>
                          <w14:schemeClr w14:val="tx1"/>
                        </w14:solidFill>
                      </w14:textFill>
                    </w:rPr>
                    <w:t>颗粒物、</w:t>
                  </w:r>
                  <w:r>
                    <w:rPr>
                      <w:rFonts w:eastAsia="宋体"/>
                      <w:color w:val="000000" w:themeColor="text1"/>
                      <w:szCs w:val="21"/>
                      <w14:textFill>
                        <w14:solidFill>
                          <w14:schemeClr w14:val="tx1"/>
                        </w14:solidFill>
                      </w14:textFill>
                    </w:rPr>
                    <w:t>非甲烷总烃执行《合成树脂工业污染物排放标准》（GB31572- 2015）中重点区域大气污染物特别排放限值</w:t>
                  </w:r>
                  <w:r>
                    <w:rPr>
                      <w:rFonts w:hint="eastAsia" w:eastAsia="宋体"/>
                      <w:color w:val="000000" w:themeColor="text1"/>
                      <w:szCs w:val="21"/>
                      <w14:textFill>
                        <w14:solidFill>
                          <w14:schemeClr w14:val="tx1"/>
                        </w14:solidFill>
                      </w14:textFill>
                    </w:rPr>
                    <w:t>，</w:t>
                  </w:r>
                  <w:r>
                    <w:rPr>
                      <w:rStyle w:val="75"/>
                      <w:rFonts w:hint="eastAsia" w:eastAsia="宋体"/>
                      <w:color w:val="000000" w:themeColor="text1"/>
                      <w14:textFill>
                        <w14:solidFill>
                          <w14:schemeClr w14:val="tx1"/>
                        </w14:solidFill>
                      </w14:textFill>
                    </w:rPr>
                    <w:t>厂区内车间外非甲烷总烃无组织排放执行《挥发性有机物无组织排放控制标准》中附录A表A.1中特别排放限值</w:t>
                  </w:r>
                </w:p>
              </w:tc>
              <w:tc>
                <w:tcPr>
                  <w:tcW w:w="1088" w:type="dxa"/>
                  <w:vAlign w:val="center"/>
                </w:tcPr>
                <w:p>
                  <w:pPr>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相符</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69" w:type="dxa"/>
                  <w:vAlign w:val="center"/>
                </w:tcPr>
                <w:p>
                  <w:pPr>
                    <w:pStyle w:val="386"/>
                    <w:spacing w:line="240" w:lineRule="auto"/>
                    <w:jc w:val="both"/>
                    <w:rPr>
                      <w:rFonts w:eastAsia="宋体"/>
                      <w:b/>
                      <w:color w:val="000000" w:themeColor="text1"/>
                      <w:szCs w:val="21"/>
                      <w14:textFill>
                        <w14:solidFill>
                          <w14:schemeClr w14:val="tx1"/>
                        </w14:solidFill>
                      </w14:textFill>
                    </w:rPr>
                  </w:pPr>
                  <w:r>
                    <w:rPr>
                      <w:rFonts w:eastAsia="宋体"/>
                      <w:b/>
                      <w:color w:val="000000" w:themeColor="text1"/>
                      <w:szCs w:val="21"/>
                      <w14:textFill>
                        <w14:solidFill>
                          <w14:schemeClr w14:val="tx1"/>
                        </w14:solidFill>
                      </w14:textFill>
                    </w:rPr>
                    <w:t>《“十三五”挥发性有机物污染防治工作方案》</w:t>
                  </w:r>
                </w:p>
              </w:tc>
              <w:tc>
                <w:tcPr>
                  <w:tcW w:w="3301" w:type="dxa"/>
                  <w:vAlign w:val="center"/>
                </w:tcPr>
                <w:p>
                  <w:pPr>
                    <w:pStyle w:val="386"/>
                    <w:spacing w:line="240" w:lineRule="auto"/>
                    <w:rPr>
                      <w:rFonts w:eastAsia="宋体"/>
                      <w:color w:val="000000" w:themeColor="text1"/>
                      <w:szCs w:val="21"/>
                      <w14:textFill>
                        <w14:solidFill>
                          <w14:schemeClr w14:val="tx1"/>
                        </w14:solidFill>
                      </w14:textFill>
                    </w:rPr>
                  </w:pPr>
                  <w:r>
                    <w:rPr>
                      <w:rFonts w:eastAsia="宋体"/>
                      <w:color w:val="000000" w:themeColor="text1"/>
                      <w:szCs w:val="21"/>
                      <w14:textFill>
                        <w14:solidFill>
                          <w14:schemeClr w14:val="tx1"/>
                        </w14:solidFill>
                      </w14:textFill>
                    </w:rPr>
                    <w:t>（2）严格建设项目环境准入：新建涉VOCs 排放的工业企业要入园区；新、改、扩建涉VOCs排放项目，应从源头加强控制，使用低（无）VOCs 含量的原辅材料，加强废气收集，安装高效治理设施</w:t>
                  </w:r>
                </w:p>
              </w:tc>
              <w:tc>
                <w:tcPr>
                  <w:tcW w:w="2854" w:type="dxa"/>
                  <w:vAlign w:val="center"/>
                </w:tcPr>
                <w:p>
                  <w:pPr>
                    <w:pStyle w:val="386"/>
                    <w:spacing w:line="240" w:lineRule="auto"/>
                    <w:rPr>
                      <w:rFonts w:eastAsia="宋体"/>
                      <w:color w:val="000000" w:themeColor="text1"/>
                      <w:szCs w:val="21"/>
                      <w14:textFill>
                        <w14:solidFill>
                          <w14:schemeClr w14:val="tx1"/>
                        </w14:solidFill>
                      </w14:textFill>
                    </w:rPr>
                  </w:pPr>
                  <w:r>
                    <w:rPr>
                      <w:rFonts w:hint="eastAsia" w:eastAsia="宋体"/>
                      <w:color w:val="000000" w:themeColor="text1"/>
                      <w:szCs w:val="21"/>
                      <w14:textFill>
                        <w14:solidFill>
                          <w14:schemeClr w14:val="tx1"/>
                        </w14:solidFill>
                      </w14:textFill>
                    </w:rPr>
                    <w:t>本项目厂区位于</w:t>
                  </w:r>
                  <w:r>
                    <w:rPr>
                      <w:rFonts w:hint="eastAsia" w:eastAsia="宋体"/>
                      <w:color w:val="000000" w:themeColor="text1"/>
                      <w:szCs w:val="21"/>
                      <w:lang w:eastAsia="zh-CN"/>
                      <w14:textFill>
                        <w14:solidFill>
                          <w14:schemeClr w14:val="tx1"/>
                        </w14:solidFill>
                      </w14:textFill>
                    </w:rPr>
                    <w:t>金坛经济开发区复兴路智谷科技园4号楼2楼西</w:t>
                  </w:r>
                  <w:r>
                    <w:rPr>
                      <w:rFonts w:hint="eastAsia" w:eastAsia="宋体"/>
                      <w:color w:val="000000" w:themeColor="text1"/>
                      <w:szCs w:val="21"/>
                      <w14:textFill>
                        <w14:solidFill>
                          <w14:schemeClr w14:val="tx1"/>
                        </w14:solidFill>
                      </w14:textFill>
                    </w:rPr>
                    <w:t>，位于江苏省</w:t>
                  </w:r>
                  <w:r>
                    <w:rPr>
                      <w:rFonts w:hint="eastAsia" w:eastAsia="宋体"/>
                      <w:color w:val="000000" w:themeColor="text1"/>
                      <w:szCs w:val="21"/>
                      <w:lang w:eastAsia="zh-CN"/>
                      <w14:textFill>
                        <w14:solidFill>
                          <w14:schemeClr w14:val="tx1"/>
                        </w14:solidFill>
                      </w14:textFill>
                    </w:rPr>
                    <w:t>金坛经济开发区内</w:t>
                  </w:r>
                  <w:r>
                    <w:rPr>
                      <w:rFonts w:hint="eastAsia" w:eastAsia="宋体"/>
                      <w:color w:val="000000" w:themeColor="text1"/>
                      <w:szCs w:val="21"/>
                      <w14:textFill>
                        <w14:solidFill>
                          <w14:schemeClr w14:val="tx1"/>
                        </w14:solidFill>
                      </w14:textFill>
                    </w:rPr>
                    <w:t>。本项目</w:t>
                  </w:r>
                  <w:r>
                    <w:rPr>
                      <w:rFonts w:eastAsia="宋体"/>
                      <w:color w:val="000000" w:themeColor="text1"/>
                      <w:szCs w:val="21"/>
                      <w14:textFill>
                        <w14:solidFill>
                          <w14:schemeClr w14:val="tx1"/>
                        </w14:solidFill>
                      </w14:textFill>
                    </w:rPr>
                    <w:t>生产加工过程中产生的</w:t>
                  </w:r>
                  <w:r>
                    <w:rPr>
                      <w:rFonts w:hint="eastAsia" w:eastAsia="宋体"/>
                      <w:color w:val="000000" w:themeColor="text1"/>
                      <w:szCs w:val="21"/>
                      <w:lang w:eastAsia="zh-CN"/>
                      <w14:textFill>
                        <w14:solidFill>
                          <w14:schemeClr w14:val="tx1"/>
                        </w14:solidFill>
                      </w14:textFill>
                    </w:rPr>
                    <w:t>非甲烷总烃</w:t>
                  </w:r>
                  <w:r>
                    <w:rPr>
                      <w:rFonts w:eastAsia="宋体"/>
                      <w:color w:val="000000" w:themeColor="text1"/>
                      <w:szCs w:val="21"/>
                      <w14:textFill>
                        <w14:solidFill>
                          <w14:schemeClr w14:val="tx1"/>
                        </w14:solidFill>
                      </w14:textFill>
                    </w:rPr>
                    <w:t>经</w:t>
                  </w:r>
                  <w:r>
                    <w:rPr>
                      <w:rFonts w:hint="eastAsia" w:eastAsia="宋体"/>
                      <w:color w:val="000000" w:themeColor="text1"/>
                      <w:szCs w:val="21"/>
                      <w14:textFill>
                        <w14:solidFill>
                          <w14:schemeClr w14:val="tx1"/>
                        </w14:solidFill>
                      </w14:textFill>
                    </w:rPr>
                    <w:t>半密闭的集气罩收集至</w:t>
                  </w:r>
                  <w:r>
                    <w:rPr>
                      <w:rFonts w:eastAsia="宋体"/>
                      <w:color w:val="000000" w:themeColor="text1"/>
                      <w:szCs w:val="21"/>
                      <w14:textFill>
                        <w14:solidFill>
                          <w14:schemeClr w14:val="tx1"/>
                        </w14:solidFill>
                      </w14:textFill>
                    </w:rPr>
                    <w:t>“</w:t>
                  </w:r>
                  <w:r>
                    <w:rPr>
                      <w:rFonts w:hint="eastAsia" w:eastAsia="宋体"/>
                      <w:color w:val="000000" w:themeColor="text1"/>
                      <w:szCs w:val="21"/>
                      <w14:textFill>
                        <w14:solidFill>
                          <w14:schemeClr w14:val="tx1"/>
                        </w14:solidFill>
                      </w14:textFill>
                    </w:rPr>
                    <w:t>二级</w:t>
                  </w:r>
                  <w:r>
                    <w:rPr>
                      <w:rFonts w:eastAsia="宋体"/>
                      <w:color w:val="000000" w:themeColor="text1"/>
                      <w:szCs w:val="21"/>
                      <w14:textFill>
                        <w14:solidFill>
                          <w14:schemeClr w14:val="tx1"/>
                        </w14:solidFill>
                      </w14:textFill>
                    </w:rPr>
                    <w:t>活性炭吸附装置”处理后</w:t>
                  </w:r>
                  <w:r>
                    <w:rPr>
                      <w:rFonts w:hint="eastAsia" w:eastAsia="宋体"/>
                      <w:color w:val="000000" w:themeColor="text1"/>
                      <w:szCs w:val="21"/>
                      <w14:textFill>
                        <w14:solidFill>
                          <w14:schemeClr w14:val="tx1"/>
                        </w14:solidFill>
                      </w14:textFill>
                    </w:rPr>
                    <w:t>，通过</w:t>
                  </w:r>
                  <w:r>
                    <w:rPr>
                      <w:rFonts w:hint="eastAsia" w:eastAsia="宋体"/>
                      <w:color w:val="000000" w:themeColor="text1"/>
                      <w:szCs w:val="21"/>
                      <w:lang w:val="en-US" w:eastAsia="zh-CN"/>
                      <w14:textFill>
                        <w14:solidFill>
                          <w14:schemeClr w14:val="tx1"/>
                        </w14:solidFill>
                      </w14:textFill>
                    </w:rPr>
                    <w:t>15</w:t>
                  </w:r>
                  <w:r>
                    <w:rPr>
                      <w:rFonts w:hint="eastAsia" w:eastAsia="宋体"/>
                      <w:color w:val="000000" w:themeColor="text1"/>
                      <w:szCs w:val="21"/>
                      <w14:textFill>
                        <w14:solidFill>
                          <w14:schemeClr w14:val="tx1"/>
                        </w14:solidFill>
                      </w14:textFill>
                    </w:rPr>
                    <w:t>m排气筒DA001高空排放</w:t>
                  </w:r>
                </w:p>
              </w:tc>
              <w:tc>
                <w:tcPr>
                  <w:tcW w:w="1088" w:type="dxa"/>
                  <w:vAlign w:val="center"/>
                </w:tcPr>
                <w:p>
                  <w:pPr>
                    <w:pStyle w:val="386"/>
                    <w:spacing w:line="240" w:lineRule="auto"/>
                    <w:rPr>
                      <w:rFonts w:eastAsia="宋体"/>
                      <w:color w:val="000000" w:themeColor="text1"/>
                      <w:szCs w:val="21"/>
                      <w14:textFill>
                        <w14:solidFill>
                          <w14:schemeClr w14:val="tx1"/>
                        </w14:solidFill>
                      </w14:textFill>
                    </w:rPr>
                  </w:pPr>
                  <w:r>
                    <w:rPr>
                      <w:rFonts w:eastAsia="宋体"/>
                      <w:color w:val="000000" w:themeColor="text1"/>
                      <w:szCs w:val="21"/>
                      <w14:textFill>
                        <w14:solidFill>
                          <w14:schemeClr w14:val="tx1"/>
                        </w14:solidFill>
                      </w14:textFill>
                    </w:rPr>
                    <w:t>相符</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69" w:type="dxa"/>
                  <w:vMerge w:val="restart"/>
                  <w:vAlign w:val="center"/>
                </w:tcPr>
                <w:p>
                  <w:pPr>
                    <w:pStyle w:val="386"/>
                    <w:spacing w:line="240" w:lineRule="auto"/>
                    <w:jc w:val="both"/>
                    <w:rPr>
                      <w:rFonts w:eastAsia="宋体"/>
                      <w:b/>
                      <w:color w:val="000000" w:themeColor="text1"/>
                      <w:szCs w:val="21"/>
                      <w14:textFill>
                        <w14:solidFill>
                          <w14:schemeClr w14:val="tx1"/>
                        </w14:solidFill>
                      </w14:textFill>
                    </w:rPr>
                  </w:pPr>
                  <w:r>
                    <w:rPr>
                      <w:rFonts w:eastAsia="宋体"/>
                      <w:b/>
                      <w:color w:val="000000" w:themeColor="text1"/>
                      <w:szCs w:val="21"/>
                      <w14:textFill>
                        <w14:solidFill>
                          <w14:schemeClr w14:val="tx1"/>
                        </w14:solidFill>
                      </w14:textFill>
                    </w:rPr>
                    <w:t>《江苏省重点行业挥发性有机物污染控制指南》</w:t>
                  </w:r>
                </w:p>
              </w:tc>
              <w:tc>
                <w:tcPr>
                  <w:tcW w:w="3301" w:type="dxa"/>
                  <w:vAlign w:val="center"/>
                </w:tcPr>
                <w:p>
                  <w:pPr>
                    <w:pStyle w:val="386"/>
                    <w:spacing w:line="240" w:lineRule="auto"/>
                    <w:rPr>
                      <w:rFonts w:hint="eastAsia" w:eastAsia="宋体"/>
                      <w:color w:val="000000" w:themeColor="text1"/>
                      <w:szCs w:val="21"/>
                      <w14:textFill>
                        <w14:solidFill>
                          <w14:schemeClr w14:val="tx1"/>
                        </w14:solidFill>
                      </w14:textFill>
                    </w:rPr>
                  </w:pPr>
                  <w:r>
                    <w:rPr>
                      <w:rFonts w:hint="eastAsia" w:eastAsia="宋体"/>
                      <w:color w:val="000000" w:themeColor="text1"/>
                      <w:szCs w:val="21"/>
                      <w14:textFill>
                        <w14:solidFill>
                          <w14:schemeClr w14:val="tx1"/>
                        </w14:solidFill>
                      </w14:textFill>
                    </w:rPr>
                    <w:t>(一)所有产生有机废气污染的企业，应优先采用环保型原辅料、</w:t>
                  </w:r>
                </w:p>
                <w:p>
                  <w:pPr>
                    <w:pStyle w:val="386"/>
                    <w:spacing w:line="240" w:lineRule="auto"/>
                    <w:rPr>
                      <w:rFonts w:eastAsia="宋体"/>
                      <w:color w:val="000000" w:themeColor="text1"/>
                      <w:szCs w:val="21"/>
                      <w14:textFill>
                        <w14:solidFill>
                          <w14:schemeClr w14:val="tx1"/>
                        </w14:solidFill>
                      </w14:textFill>
                    </w:rPr>
                  </w:pPr>
                  <w:r>
                    <w:rPr>
                      <w:rFonts w:hint="eastAsia" w:eastAsia="宋体"/>
                      <w:color w:val="000000" w:themeColor="text1"/>
                      <w:szCs w:val="21"/>
                      <w14:textFill>
                        <w14:solidFill>
                          <w14:schemeClr w14:val="tx1"/>
                        </w14:solidFill>
                      </w14:textFill>
                    </w:rPr>
                    <w:t>生产工艺和装备，对相应生产单元或设施进行密闭，从源头控制VOCs的产生，减少废气污染物排放。</w:t>
                  </w:r>
                </w:p>
              </w:tc>
              <w:tc>
                <w:tcPr>
                  <w:tcW w:w="2854" w:type="dxa"/>
                  <w:vAlign w:val="center"/>
                </w:tcPr>
                <w:p>
                  <w:pPr>
                    <w:pStyle w:val="386"/>
                    <w:spacing w:line="240" w:lineRule="auto"/>
                    <w:rPr>
                      <w:rFonts w:hint="default" w:eastAsia="宋体"/>
                      <w:color w:val="000000" w:themeColor="text1"/>
                      <w:szCs w:val="21"/>
                      <w:lang w:val="en-US" w:eastAsia="zh-CN"/>
                      <w14:textFill>
                        <w14:solidFill>
                          <w14:schemeClr w14:val="tx1"/>
                        </w14:solidFill>
                      </w14:textFill>
                    </w:rPr>
                  </w:pPr>
                  <w:r>
                    <w:rPr>
                      <w:rFonts w:hint="eastAsia" w:eastAsia="宋体"/>
                      <w:color w:val="000000" w:themeColor="text1"/>
                      <w:szCs w:val="21"/>
                      <w:lang w:val="en-US" w:eastAsia="zh-CN"/>
                      <w14:textFill>
                        <w14:solidFill>
                          <w14:schemeClr w14:val="tx1"/>
                        </w14:solidFill>
                      </w14:textFill>
                    </w:rPr>
                    <w:t>本项目原辅料为PVC树脂、TPVC树脂和色母粒。注塑温度在160~220℃，低于原辅料的分解温度，产生的废气量较少，同时，生产单元工作时门窗关闭，</w:t>
                  </w:r>
                  <w:r>
                    <w:rPr>
                      <w:rFonts w:hint="eastAsia" w:eastAsia="宋体"/>
                      <w:color w:val="000000" w:themeColor="text1"/>
                      <w:szCs w:val="21"/>
                      <w14:textFill>
                        <w14:solidFill>
                          <w14:schemeClr w14:val="tx1"/>
                        </w14:solidFill>
                      </w14:textFill>
                    </w:rPr>
                    <w:t>减少</w:t>
                  </w:r>
                  <w:r>
                    <w:rPr>
                      <w:rFonts w:hint="eastAsia" w:eastAsia="宋体"/>
                      <w:color w:val="000000" w:themeColor="text1"/>
                      <w:szCs w:val="21"/>
                      <w:lang w:eastAsia="zh-CN"/>
                      <w14:textFill>
                        <w14:solidFill>
                          <w14:schemeClr w14:val="tx1"/>
                        </w14:solidFill>
                      </w14:textFill>
                    </w:rPr>
                    <w:t>了</w:t>
                  </w:r>
                  <w:r>
                    <w:rPr>
                      <w:rFonts w:hint="eastAsia" w:eastAsia="宋体"/>
                      <w:color w:val="000000" w:themeColor="text1"/>
                      <w:szCs w:val="21"/>
                      <w14:textFill>
                        <w14:solidFill>
                          <w14:schemeClr w14:val="tx1"/>
                        </w14:solidFill>
                      </w14:textFill>
                    </w:rPr>
                    <w:t>废气污染物排放。</w:t>
                  </w:r>
                </w:p>
              </w:tc>
              <w:tc>
                <w:tcPr>
                  <w:tcW w:w="1088" w:type="dxa"/>
                  <w:vAlign w:val="center"/>
                </w:tcPr>
                <w:p>
                  <w:pPr>
                    <w:pStyle w:val="386"/>
                    <w:spacing w:line="240" w:lineRule="auto"/>
                    <w:rPr>
                      <w:rFonts w:eastAsia="宋体"/>
                      <w:color w:val="000000" w:themeColor="text1"/>
                      <w:szCs w:val="21"/>
                      <w14:textFill>
                        <w14:solidFill>
                          <w14:schemeClr w14:val="tx1"/>
                        </w14:solidFill>
                      </w14:textFill>
                    </w:rPr>
                  </w:pPr>
                  <w:r>
                    <w:rPr>
                      <w:rFonts w:eastAsia="宋体"/>
                      <w:color w:val="000000" w:themeColor="text1"/>
                      <w:szCs w:val="21"/>
                      <w14:textFill>
                        <w14:solidFill>
                          <w14:schemeClr w14:val="tx1"/>
                        </w14:solidFill>
                      </w14:textFill>
                    </w:rPr>
                    <w:t>相符</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69" w:type="dxa"/>
                  <w:vMerge w:val="continue"/>
                  <w:vAlign w:val="center"/>
                </w:tcPr>
                <w:p>
                  <w:pPr>
                    <w:pStyle w:val="386"/>
                    <w:spacing w:line="240" w:lineRule="auto"/>
                    <w:jc w:val="both"/>
                    <w:rPr>
                      <w:rFonts w:eastAsia="宋体"/>
                      <w:b/>
                      <w:color w:val="000000" w:themeColor="text1"/>
                      <w:szCs w:val="21"/>
                      <w14:textFill>
                        <w14:solidFill>
                          <w14:schemeClr w14:val="tx1"/>
                        </w14:solidFill>
                      </w14:textFill>
                    </w:rPr>
                  </w:pPr>
                </w:p>
              </w:tc>
              <w:tc>
                <w:tcPr>
                  <w:tcW w:w="3301" w:type="dxa"/>
                  <w:vAlign w:val="center"/>
                </w:tcPr>
                <w:p>
                  <w:pPr>
                    <w:pStyle w:val="386"/>
                    <w:spacing w:line="240" w:lineRule="auto"/>
                    <w:rPr>
                      <w:rFonts w:ascii="Times New Roman" w:hAnsi="Times New Roman" w:eastAsia="宋体" w:cs="Times New Roman"/>
                      <w:color w:val="000000" w:themeColor="text1"/>
                      <w:kern w:val="2"/>
                      <w:sz w:val="21"/>
                      <w:szCs w:val="21"/>
                      <w:lang w:val="en-US" w:eastAsia="zh-CN" w:bidi="ar-SA"/>
                      <w14:textFill>
                        <w14:solidFill>
                          <w14:schemeClr w14:val="tx1"/>
                        </w14:solidFill>
                      </w14:textFill>
                    </w:rPr>
                  </w:pPr>
                  <w:r>
                    <w:rPr>
                      <w:rFonts w:eastAsia="宋体"/>
                      <w:color w:val="000000" w:themeColor="text1"/>
                      <w:szCs w:val="21"/>
                      <w14:textFill>
                        <w14:solidFill>
                          <w14:schemeClr w14:val="tx1"/>
                        </w14:solidFill>
                      </w14:textFill>
                    </w:rPr>
                    <w:t>其中有机化工、医药化工、橡胶和塑料制品（有溶剂浸胶工艺）、溶剂型涂料表面涂装、包装印刷业的VOCs总收集、处理率均不低于90%，其他行业原则上不低于75%</w:t>
                  </w:r>
                </w:p>
              </w:tc>
              <w:tc>
                <w:tcPr>
                  <w:tcW w:w="2854" w:type="dxa"/>
                  <w:vAlign w:val="center"/>
                </w:tcPr>
                <w:p>
                  <w:pPr>
                    <w:pStyle w:val="386"/>
                    <w:spacing w:line="240" w:lineRule="auto"/>
                    <w:rPr>
                      <w:rFonts w:ascii="Times New Roman" w:hAnsi="Times New Roman" w:eastAsia="宋体" w:cs="Times New Roman"/>
                      <w:color w:val="000000" w:themeColor="text1"/>
                      <w:kern w:val="2"/>
                      <w:sz w:val="21"/>
                      <w:szCs w:val="21"/>
                      <w:lang w:val="en-US" w:eastAsia="zh-CN" w:bidi="ar-SA"/>
                      <w14:textFill>
                        <w14:solidFill>
                          <w14:schemeClr w14:val="tx1"/>
                        </w14:solidFill>
                      </w14:textFill>
                    </w:rPr>
                  </w:pPr>
                  <w:r>
                    <w:rPr>
                      <w:rFonts w:eastAsia="宋体"/>
                      <w:color w:val="000000" w:themeColor="text1"/>
                      <w:szCs w:val="21"/>
                      <w14:textFill>
                        <w14:solidFill>
                          <w14:schemeClr w14:val="tx1"/>
                        </w14:solidFill>
                      </w14:textFill>
                    </w:rPr>
                    <w:t>本项目</w:t>
                  </w:r>
                  <w:r>
                    <w:rPr>
                      <w:rFonts w:hint="eastAsia" w:eastAsia="宋体"/>
                      <w:color w:val="000000" w:themeColor="text1"/>
                      <w:szCs w:val="21"/>
                      <w:lang w:eastAsia="zh-CN"/>
                      <w14:textFill>
                        <w14:solidFill>
                          <w14:schemeClr w14:val="tx1"/>
                        </w14:solidFill>
                      </w14:textFill>
                    </w:rPr>
                    <w:t>不属于上述行业</w:t>
                  </w:r>
                  <w:r>
                    <w:rPr>
                      <w:rFonts w:hint="eastAsia" w:eastAsia="宋体"/>
                      <w:color w:val="000000" w:themeColor="text1"/>
                      <w:szCs w:val="21"/>
                      <w14:textFill>
                        <w14:solidFill>
                          <w14:schemeClr w14:val="tx1"/>
                        </w14:solidFill>
                      </w14:textFill>
                    </w:rPr>
                    <w:t>，</w:t>
                  </w:r>
                  <w:r>
                    <w:rPr>
                      <w:rFonts w:eastAsia="宋体"/>
                      <w:color w:val="000000" w:themeColor="text1"/>
                      <w:szCs w:val="21"/>
                      <w14:textFill>
                        <w14:solidFill>
                          <w14:schemeClr w14:val="tx1"/>
                        </w14:solidFill>
                      </w14:textFill>
                    </w:rPr>
                    <w:t>项目</w:t>
                  </w:r>
                  <w:r>
                    <w:rPr>
                      <w:rFonts w:hint="eastAsia" w:eastAsia="宋体"/>
                      <w:color w:val="000000" w:themeColor="text1"/>
                      <w:szCs w:val="21"/>
                      <w:lang w:eastAsia="zh-CN"/>
                      <w14:textFill>
                        <w14:solidFill>
                          <w14:schemeClr w14:val="tx1"/>
                        </w14:solidFill>
                      </w14:textFill>
                    </w:rPr>
                    <w:t>非甲烷总烃</w:t>
                  </w:r>
                  <w:r>
                    <w:rPr>
                      <w:rFonts w:eastAsia="宋体"/>
                      <w:color w:val="000000" w:themeColor="text1"/>
                      <w:szCs w:val="21"/>
                      <w14:textFill>
                        <w14:solidFill>
                          <w14:schemeClr w14:val="tx1"/>
                        </w14:solidFill>
                      </w14:textFill>
                    </w:rPr>
                    <w:t>采用</w:t>
                  </w:r>
                  <w:r>
                    <w:rPr>
                      <w:rFonts w:hint="eastAsia" w:eastAsia="宋体"/>
                      <w:color w:val="000000" w:themeColor="text1"/>
                      <w:szCs w:val="21"/>
                      <w14:textFill>
                        <w14:solidFill>
                          <w14:schemeClr w14:val="tx1"/>
                        </w14:solidFill>
                      </w14:textFill>
                    </w:rPr>
                    <w:t>半密闭的</w:t>
                  </w:r>
                  <w:r>
                    <w:rPr>
                      <w:rFonts w:eastAsia="宋体"/>
                      <w:color w:val="000000" w:themeColor="text1"/>
                      <w:szCs w:val="21"/>
                      <w14:textFill>
                        <w14:solidFill>
                          <w14:schemeClr w14:val="tx1"/>
                        </w14:solidFill>
                      </w14:textFill>
                    </w:rPr>
                    <w:t>集气罩收集后通过</w:t>
                  </w:r>
                  <w:r>
                    <w:rPr>
                      <w:rFonts w:hint="eastAsia" w:eastAsia="宋体"/>
                      <w:color w:val="000000" w:themeColor="text1"/>
                      <w:szCs w:val="21"/>
                      <w14:textFill>
                        <w14:solidFill>
                          <w14:schemeClr w14:val="tx1"/>
                        </w14:solidFill>
                      </w14:textFill>
                    </w:rPr>
                    <w:t>“二级</w:t>
                  </w:r>
                  <w:r>
                    <w:rPr>
                      <w:rFonts w:eastAsia="宋体"/>
                      <w:color w:val="000000" w:themeColor="text1"/>
                      <w:szCs w:val="21"/>
                      <w14:textFill>
                        <w14:solidFill>
                          <w14:schemeClr w14:val="tx1"/>
                        </w14:solidFill>
                      </w14:textFill>
                    </w:rPr>
                    <w:t>活性炭吸附装置</w:t>
                  </w:r>
                  <w:r>
                    <w:rPr>
                      <w:rFonts w:hint="eastAsia" w:eastAsia="宋体"/>
                      <w:color w:val="000000" w:themeColor="text1"/>
                      <w:szCs w:val="21"/>
                      <w14:textFill>
                        <w14:solidFill>
                          <w14:schemeClr w14:val="tx1"/>
                        </w14:solidFill>
                      </w14:textFill>
                    </w:rPr>
                    <w:t>”</w:t>
                  </w:r>
                  <w:r>
                    <w:rPr>
                      <w:rFonts w:eastAsia="宋体"/>
                      <w:color w:val="000000" w:themeColor="text1"/>
                      <w:szCs w:val="21"/>
                      <w14:textFill>
                        <w14:solidFill>
                          <w14:schemeClr w14:val="tx1"/>
                        </w14:solidFill>
                      </w14:textFill>
                    </w:rPr>
                    <w:t>吸附处理</w:t>
                  </w:r>
                  <w:r>
                    <w:rPr>
                      <w:rFonts w:hint="eastAsia" w:eastAsia="宋体"/>
                      <w:color w:val="000000" w:themeColor="text1"/>
                      <w:szCs w:val="21"/>
                      <w14:textFill>
                        <w14:solidFill>
                          <w14:schemeClr w14:val="tx1"/>
                        </w14:solidFill>
                      </w14:textFill>
                    </w:rPr>
                    <w:t>，收集效率和处理效率不低于</w:t>
                  </w:r>
                  <w:r>
                    <w:rPr>
                      <w:rFonts w:hint="eastAsia" w:eastAsia="宋体"/>
                      <w:color w:val="000000" w:themeColor="text1"/>
                      <w:szCs w:val="21"/>
                      <w:lang w:val="en-US" w:eastAsia="zh-CN"/>
                      <w14:textFill>
                        <w14:solidFill>
                          <w14:schemeClr w14:val="tx1"/>
                        </w14:solidFill>
                      </w14:textFill>
                    </w:rPr>
                    <w:t>80</w:t>
                  </w:r>
                  <w:r>
                    <w:rPr>
                      <w:rFonts w:hint="eastAsia" w:eastAsia="宋体"/>
                      <w:color w:val="000000" w:themeColor="text1"/>
                      <w:szCs w:val="21"/>
                      <w14:textFill>
                        <w14:solidFill>
                          <w14:schemeClr w14:val="tx1"/>
                        </w14:solidFill>
                      </w14:textFill>
                    </w:rPr>
                    <w:t>%</w:t>
                  </w:r>
                </w:p>
              </w:tc>
              <w:tc>
                <w:tcPr>
                  <w:tcW w:w="1088" w:type="dxa"/>
                  <w:vAlign w:val="center"/>
                </w:tcPr>
                <w:p>
                  <w:pPr>
                    <w:spacing w:line="240" w:lineRule="auto"/>
                    <w:jc w:val="center"/>
                    <w:rPr>
                      <w:rFonts w:eastAsia="宋体"/>
                      <w:color w:val="000000" w:themeColor="text1"/>
                      <w:szCs w:val="21"/>
                      <w14:textFill>
                        <w14:solidFill>
                          <w14:schemeClr w14:val="tx1"/>
                        </w14:solidFill>
                      </w14:textFill>
                    </w:rPr>
                  </w:pPr>
                  <w:r>
                    <w:rPr>
                      <w:rFonts w:eastAsia="宋体"/>
                      <w:color w:val="000000" w:themeColor="text1"/>
                      <w:szCs w:val="21"/>
                      <w14:textFill>
                        <w14:solidFill>
                          <w14:schemeClr w14:val="tx1"/>
                        </w14:solidFill>
                      </w14:textFill>
                    </w:rPr>
                    <w:t>相符</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69" w:type="dxa"/>
                  <w:vMerge w:val="restart"/>
                  <w:vAlign w:val="center"/>
                </w:tcPr>
                <w:p>
                  <w:pPr>
                    <w:pStyle w:val="386"/>
                    <w:spacing w:line="240" w:lineRule="auto"/>
                    <w:jc w:val="both"/>
                    <w:rPr>
                      <w:rFonts w:eastAsia="宋体"/>
                      <w:color w:val="000000" w:themeColor="text1"/>
                      <w:szCs w:val="21"/>
                      <w14:textFill>
                        <w14:solidFill>
                          <w14:schemeClr w14:val="tx1"/>
                        </w14:solidFill>
                      </w14:textFill>
                    </w:rPr>
                  </w:pPr>
                  <w:r>
                    <w:rPr>
                      <w:rFonts w:eastAsia="宋体"/>
                      <w:b/>
                      <w:color w:val="000000" w:themeColor="text1"/>
                      <w:szCs w:val="21"/>
                      <w14:textFill>
                        <w14:solidFill>
                          <w14:schemeClr w14:val="tx1"/>
                        </w14:solidFill>
                      </w14:textFill>
                    </w:rPr>
                    <w:t>《国务院关于印发打赢蓝天保卫战三年行动计划的通知》 （国发〔2018〕22号）</w:t>
                  </w:r>
                </w:p>
              </w:tc>
              <w:tc>
                <w:tcPr>
                  <w:tcW w:w="3301" w:type="dxa"/>
                  <w:vAlign w:val="center"/>
                </w:tcPr>
                <w:p>
                  <w:pPr>
                    <w:pStyle w:val="386"/>
                    <w:spacing w:line="240" w:lineRule="auto"/>
                    <w:rPr>
                      <w:rFonts w:eastAsia="宋体"/>
                      <w:color w:val="000000" w:themeColor="text1"/>
                      <w:szCs w:val="21"/>
                      <w14:textFill>
                        <w14:solidFill>
                          <w14:schemeClr w14:val="tx1"/>
                        </w14:solidFill>
                      </w14:textFill>
                    </w:rPr>
                  </w:pPr>
                  <w:r>
                    <w:rPr>
                      <w:rFonts w:eastAsia="宋体"/>
                      <w:color w:val="000000" w:themeColor="text1"/>
                      <w:szCs w:val="21"/>
                      <w14:textFill>
                        <w14:solidFill>
                          <w14:schemeClr w14:val="tx1"/>
                        </w14:solidFill>
                      </w14:textFill>
                    </w:rPr>
                    <w:t>重点区域严禁新增钢铁、焦化、电解铝、铸造、水泥和平板玻璃等产能；严格执行钢铁、水泥、平板玻璃等行业产能置换实施办法；新、改、扩建涉及大宗物料运输的建设目，原则上不得采用公路运输</w:t>
                  </w:r>
                </w:p>
              </w:tc>
              <w:tc>
                <w:tcPr>
                  <w:tcW w:w="2854" w:type="dxa"/>
                  <w:vAlign w:val="center"/>
                </w:tcPr>
                <w:p>
                  <w:pPr>
                    <w:pStyle w:val="386"/>
                    <w:spacing w:line="240" w:lineRule="auto"/>
                    <w:rPr>
                      <w:rFonts w:eastAsia="宋体"/>
                      <w:color w:val="000000" w:themeColor="text1"/>
                      <w:szCs w:val="21"/>
                      <w14:textFill>
                        <w14:solidFill>
                          <w14:schemeClr w14:val="tx1"/>
                        </w14:solidFill>
                      </w14:textFill>
                    </w:rPr>
                  </w:pPr>
                  <w:r>
                    <w:rPr>
                      <w:rFonts w:eastAsia="宋体"/>
                      <w:color w:val="000000" w:themeColor="text1"/>
                      <w:szCs w:val="21"/>
                      <w14:textFill>
                        <w14:solidFill>
                          <w14:schemeClr w14:val="tx1"/>
                        </w14:solidFill>
                      </w14:textFill>
                    </w:rPr>
                    <w:t>本项目属于</w:t>
                  </w:r>
                  <w:r>
                    <w:rPr>
                      <w:rFonts w:hint="eastAsia" w:eastAsia="宋体"/>
                      <w:color w:val="000000" w:themeColor="text1"/>
                      <w:szCs w:val="21"/>
                      <w14:textFill>
                        <w14:solidFill>
                          <w14:schemeClr w14:val="tx1"/>
                        </w14:solidFill>
                      </w14:textFill>
                    </w:rPr>
                    <w:t>C2770卫生材料及医药用品制造</w:t>
                  </w:r>
                  <w:r>
                    <w:rPr>
                      <w:rFonts w:eastAsia="宋体"/>
                      <w:color w:val="000000" w:themeColor="text1"/>
                      <w:szCs w:val="21"/>
                      <w14:textFill>
                        <w14:solidFill>
                          <w14:schemeClr w14:val="tx1"/>
                        </w14:solidFill>
                      </w14:textFill>
                    </w:rPr>
                    <w:t>，不属于</w:t>
                  </w:r>
                  <w:r>
                    <w:rPr>
                      <w:rFonts w:hint="eastAsia" w:eastAsia="宋体"/>
                      <w:color w:val="000000" w:themeColor="text1"/>
                      <w:szCs w:val="21"/>
                      <w14:textFill>
                        <w14:solidFill>
                          <w14:schemeClr w14:val="tx1"/>
                        </w14:solidFill>
                      </w14:textFill>
                    </w:rPr>
                    <w:t>以上</w:t>
                  </w:r>
                  <w:r>
                    <w:rPr>
                      <w:rFonts w:eastAsia="宋体"/>
                      <w:color w:val="000000" w:themeColor="text1"/>
                      <w:szCs w:val="21"/>
                      <w14:textFill>
                        <w14:solidFill>
                          <w14:schemeClr w14:val="tx1"/>
                        </w14:solidFill>
                      </w14:textFill>
                    </w:rPr>
                    <w:t>禁止行业。</w:t>
                  </w:r>
                </w:p>
              </w:tc>
              <w:tc>
                <w:tcPr>
                  <w:tcW w:w="1088" w:type="dxa"/>
                  <w:vAlign w:val="center"/>
                </w:tcPr>
                <w:p>
                  <w:pPr>
                    <w:pStyle w:val="386"/>
                    <w:spacing w:line="240" w:lineRule="auto"/>
                    <w:rPr>
                      <w:rFonts w:eastAsia="宋体"/>
                      <w:color w:val="000000" w:themeColor="text1"/>
                      <w:szCs w:val="21"/>
                      <w14:textFill>
                        <w14:solidFill>
                          <w14:schemeClr w14:val="tx1"/>
                        </w14:solidFill>
                      </w14:textFill>
                    </w:rPr>
                  </w:pPr>
                  <w:r>
                    <w:rPr>
                      <w:rFonts w:eastAsia="宋体"/>
                      <w:color w:val="000000" w:themeColor="text1"/>
                      <w:szCs w:val="21"/>
                      <w14:textFill>
                        <w14:solidFill>
                          <w14:schemeClr w14:val="tx1"/>
                        </w14:solidFill>
                      </w14:textFill>
                    </w:rPr>
                    <w:t>相符</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69" w:type="dxa"/>
                  <w:vMerge w:val="continue"/>
                  <w:vAlign w:val="center"/>
                </w:tcPr>
                <w:p>
                  <w:pPr>
                    <w:rPr>
                      <w:color w:val="000000" w:themeColor="text1"/>
                      <w:szCs w:val="21"/>
                      <w14:textFill>
                        <w14:solidFill>
                          <w14:schemeClr w14:val="tx1"/>
                        </w14:solidFill>
                      </w14:textFill>
                    </w:rPr>
                  </w:pPr>
                </w:p>
              </w:tc>
              <w:tc>
                <w:tcPr>
                  <w:tcW w:w="3301" w:type="dxa"/>
                  <w:vAlign w:val="center"/>
                </w:tcPr>
                <w:p>
                  <w:pPr>
                    <w:pStyle w:val="386"/>
                    <w:spacing w:line="240" w:lineRule="auto"/>
                    <w:rPr>
                      <w:rFonts w:eastAsia="宋体"/>
                      <w:color w:val="000000" w:themeColor="text1"/>
                      <w:szCs w:val="21"/>
                      <w14:textFill>
                        <w14:solidFill>
                          <w14:schemeClr w14:val="tx1"/>
                        </w14:solidFill>
                      </w14:textFill>
                    </w:rPr>
                  </w:pPr>
                  <w:r>
                    <w:rPr>
                      <w:rFonts w:eastAsia="宋体"/>
                      <w:color w:val="000000" w:themeColor="text1"/>
                      <w:szCs w:val="21"/>
                      <w14:textFill>
                        <w14:solidFill>
                          <w14:schemeClr w14:val="tx1"/>
                        </w14:solidFill>
                      </w14:textFill>
                    </w:rPr>
                    <w:t>推进重点行业污染治理升级改造。重点区域二氧化硫、氮氧化物、颗粒物、挥性有机物（VOC）全面执行大气污染物特别排放限值</w:t>
                  </w:r>
                </w:p>
              </w:tc>
              <w:tc>
                <w:tcPr>
                  <w:tcW w:w="2854" w:type="dxa"/>
                  <w:vAlign w:val="center"/>
                </w:tcPr>
                <w:p>
                  <w:pPr>
                    <w:pStyle w:val="386"/>
                    <w:spacing w:line="240" w:lineRule="auto"/>
                    <w:rPr>
                      <w:rFonts w:eastAsia="宋体"/>
                      <w:color w:val="000000" w:themeColor="text1"/>
                      <w:szCs w:val="21"/>
                      <w14:textFill>
                        <w14:solidFill>
                          <w14:schemeClr w14:val="tx1"/>
                        </w14:solidFill>
                      </w14:textFill>
                    </w:rPr>
                  </w:pPr>
                  <w:r>
                    <w:rPr>
                      <w:rFonts w:eastAsia="宋体"/>
                      <w:color w:val="000000" w:themeColor="text1"/>
                      <w:szCs w:val="21"/>
                      <w14:textFill>
                        <w14:solidFill>
                          <w14:schemeClr w14:val="tx1"/>
                        </w14:solidFill>
                      </w14:textFill>
                    </w:rPr>
                    <w:t>本次环评要求建设单位</w:t>
                  </w:r>
                  <w:r>
                    <w:rPr>
                      <w:rFonts w:hint="eastAsia" w:eastAsia="宋体"/>
                      <w:color w:val="000000" w:themeColor="text1"/>
                      <w:szCs w:val="21"/>
                      <w:lang w:eastAsia="zh-CN"/>
                      <w14:textFill>
                        <w14:solidFill>
                          <w14:schemeClr w14:val="tx1"/>
                        </w14:solidFill>
                      </w14:textFill>
                    </w:rPr>
                    <w:t>粉尘、</w:t>
                  </w:r>
                  <w:r>
                    <w:rPr>
                      <w:rFonts w:eastAsia="宋体"/>
                      <w:color w:val="000000" w:themeColor="text1"/>
                      <w:szCs w:val="21"/>
                      <w14:textFill>
                        <w14:solidFill>
                          <w14:schemeClr w14:val="tx1"/>
                        </w14:solidFill>
                      </w14:textFill>
                    </w:rPr>
                    <w:t>非甲烷总烃执行《合成树脂工业污染物排放标准》（GB31572- 2015）中重点区域大气污染物特别排放限值</w:t>
                  </w:r>
                  <w:r>
                    <w:rPr>
                      <w:rFonts w:hint="eastAsia" w:eastAsia="宋体"/>
                      <w:color w:val="000000" w:themeColor="text1"/>
                      <w:szCs w:val="21"/>
                      <w14:textFill>
                        <w14:solidFill>
                          <w14:schemeClr w14:val="tx1"/>
                        </w14:solidFill>
                      </w14:textFill>
                    </w:rPr>
                    <w:t>，</w:t>
                  </w:r>
                  <w:r>
                    <w:rPr>
                      <w:rStyle w:val="75"/>
                      <w:rFonts w:hint="eastAsia" w:eastAsia="宋体"/>
                      <w:color w:val="000000" w:themeColor="text1"/>
                      <w14:textFill>
                        <w14:solidFill>
                          <w14:schemeClr w14:val="tx1"/>
                        </w14:solidFill>
                      </w14:textFill>
                    </w:rPr>
                    <w:t>厂区内车间外非甲烷总烃无组织排放执行《挥发性有机物无组织排放控制标准》中附录A表A.1中特别排放限值</w:t>
                  </w:r>
                </w:p>
              </w:tc>
              <w:tc>
                <w:tcPr>
                  <w:tcW w:w="1088" w:type="dxa"/>
                  <w:vAlign w:val="center"/>
                </w:tcPr>
                <w:p>
                  <w:pPr>
                    <w:pStyle w:val="386"/>
                    <w:spacing w:line="240" w:lineRule="auto"/>
                    <w:rPr>
                      <w:rFonts w:eastAsia="宋体"/>
                      <w:color w:val="000000" w:themeColor="text1"/>
                      <w:szCs w:val="21"/>
                      <w14:textFill>
                        <w14:solidFill>
                          <w14:schemeClr w14:val="tx1"/>
                        </w14:solidFill>
                      </w14:textFill>
                    </w:rPr>
                  </w:pPr>
                  <w:r>
                    <w:rPr>
                      <w:rFonts w:eastAsia="宋体"/>
                      <w:color w:val="000000" w:themeColor="text1"/>
                      <w:szCs w:val="21"/>
                      <w14:textFill>
                        <w14:solidFill>
                          <w14:schemeClr w14:val="tx1"/>
                        </w14:solidFill>
                      </w14:textFill>
                    </w:rPr>
                    <w:t>相符</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69" w:type="dxa"/>
                  <w:vMerge w:val="restart"/>
                  <w:vAlign w:val="center"/>
                </w:tcPr>
                <w:p>
                  <w:pPr>
                    <w:pStyle w:val="386"/>
                    <w:spacing w:line="240" w:lineRule="auto"/>
                    <w:jc w:val="both"/>
                    <w:rPr>
                      <w:rFonts w:eastAsia="宋体"/>
                      <w:b/>
                      <w:color w:val="000000" w:themeColor="text1"/>
                      <w:szCs w:val="21"/>
                      <w14:textFill>
                        <w14:solidFill>
                          <w14:schemeClr w14:val="tx1"/>
                        </w14:solidFill>
                      </w14:textFill>
                    </w:rPr>
                  </w:pPr>
                  <w:r>
                    <w:rPr>
                      <w:rFonts w:eastAsia="宋体"/>
                      <w:b/>
                      <w:color w:val="000000" w:themeColor="text1"/>
                      <w:szCs w:val="21"/>
                      <w14:textFill>
                        <w14:solidFill>
                          <w14:schemeClr w14:val="tx1"/>
                        </w14:solidFill>
                      </w14:textFill>
                    </w:rPr>
                    <w:t>太湖流域管理条例</w:t>
                  </w:r>
                </w:p>
              </w:tc>
              <w:tc>
                <w:tcPr>
                  <w:tcW w:w="3301" w:type="dxa"/>
                  <w:vAlign w:val="center"/>
                </w:tcPr>
                <w:p>
                  <w:pPr>
                    <w:rPr>
                      <w:color w:val="000000" w:themeColor="text1"/>
                      <w:szCs w:val="21"/>
                      <w14:textFill>
                        <w14:solidFill>
                          <w14:schemeClr w14:val="tx1"/>
                        </w14:solidFill>
                      </w14:textFill>
                    </w:rPr>
                  </w:pPr>
                  <w:r>
                    <w:rPr>
                      <w:color w:val="000000" w:themeColor="text1"/>
                      <w:szCs w:val="21"/>
                      <w14:textFill>
                        <w14:solidFill>
                          <w14:schemeClr w14:val="tx1"/>
                        </w14:solidFill>
                      </w14:textFill>
                    </w:rPr>
                    <w:t>排污单位排放水污染物，不得超过经核定的水污染物排放总量，并应当按照规定设置便于检查、采样的规范化排污口，悬挂标志牌；不得私设暗管或者采取其他规避监管的方式排放水污染物。</w:t>
                  </w:r>
                </w:p>
              </w:tc>
              <w:tc>
                <w:tcPr>
                  <w:tcW w:w="2854" w:type="dxa"/>
                  <w:vAlign w:val="center"/>
                </w:tcPr>
                <w:p>
                  <w:pPr>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本次环评要求建设单位根据要求申请总量，按照规定设置便于检查、采</w:t>
                  </w:r>
                  <w:r>
                    <w:rPr>
                      <w:rFonts w:hint="eastAsia"/>
                      <w:color w:val="000000" w:themeColor="text1"/>
                      <w:szCs w:val="21"/>
                      <w14:textFill>
                        <w14:solidFill>
                          <w14:schemeClr w14:val="tx1"/>
                        </w14:solidFill>
                      </w14:textFill>
                    </w:rPr>
                    <w:t>样</w:t>
                  </w:r>
                  <w:r>
                    <w:rPr>
                      <w:color w:val="000000" w:themeColor="text1"/>
                      <w:szCs w:val="21"/>
                      <w14:textFill>
                        <w14:solidFill>
                          <w14:schemeClr w14:val="tx1"/>
                        </w14:solidFill>
                      </w14:textFill>
                    </w:rPr>
                    <w:t>的规范化排放口，悬挂标志牌；不得私设暗管或者采取其他规范监管的方式排放水污染物</w:t>
                  </w:r>
                </w:p>
              </w:tc>
              <w:tc>
                <w:tcPr>
                  <w:tcW w:w="1088" w:type="dxa"/>
                  <w:vAlign w:val="center"/>
                </w:tcPr>
                <w:p>
                  <w:pPr>
                    <w:pStyle w:val="386"/>
                    <w:spacing w:line="240" w:lineRule="auto"/>
                    <w:rPr>
                      <w:rFonts w:eastAsia="宋体"/>
                      <w:color w:val="000000" w:themeColor="text1"/>
                      <w:szCs w:val="21"/>
                      <w14:textFill>
                        <w14:solidFill>
                          <w14:schemeClr w14:val="tx1"/>
                        </w14:solidFill>
                      </w14:textFill>
                    </w:rPr>
                  </w:pPr>
                  <w:r>
                    <w:rPr>
                      <w:rFonts w:eastAsia="宋体"/>
                      <w:color w:val="000000" w:themeColor="text1"/>
                      <w:szCs w:val="21"/>
                      <w14:textFill>
                        <w14:solidFill>
                          <w14:schemeClr w14:val="tx1"/>
                        </w14:solidFill>
                      </w14:textFill>
                    </w:rPr>
                    <w:t>相符</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69" w:type="dxa"/>
                  <w:vMerge w:val="continue"/>
                  <w:vAlign w:val="center"/>
                </w:tcPr>
                <w:p>
                  <w:pPr>
                    <w:rPr>
                      <w:color w:val="000000" w:themeColor="text1"/>
                      <w:szCs w:val="21"/>
                      <w14:textFill>
                        <w14:solidFill>
                          <w14:schemeClr w14:val="tx1"/>
                        </w14:solidFill>
                      </w14:textFill>
                    </w:rPr>
                  </w:pPr>
                </w:p>
              </w:tc>
              <w:tc>
                <w:tcPr>
                  <w:tcW w:w="3301" w:type="dxa"/>
                  <w:vAlign w:val="center"/>
                </w:tcPr>
                <w:p>
                  <w:pPr>
                    <w:rPr>
                      <w:color w:val="000000" w:themeColor="text1"/>
                      <w:szCs w:val="21"/>
                      <w14:textFill>
                        <w14:solidFill>
                          <w14:schemeClr w14:val="tx1"/>
                        </w14:solidFill>
                      </w14:textFill>
                    </w:rPr>
                  </w:pPr>
                  <w:r>
                    <w:rPr>
                      <w:color w:val="000000" w:themeColor="text1"/>
                      <w:szCs w:val="21"/>
                      <w14:textFill>
                        <w14:solidFill>
                          <w14:schemeClr w14:val="tx1"/>
                        </w14:solidFill>
                      </w14:textFill>
                    </w:rPr>
                    <w:t>禁止在太湖流域设置不符合国家产业政策和水环境综合治理要求的造纸、制革、酒精、淀粉、冶金、酿造、</w:t>
                  </w:r>
                  <w:r>
                    <w:rPr>
                      <w:color w:val="000000" w:themeColor="text1"/>
                      <w:szCs w:val="21"/>
                      <w14:textFill>
                        <w14:solidFill>
                          <w14:schemeClr w14:val="tx1"/>
                        </w14:solidFill>
                      </w14:textFill>
                    </w:rPr>
                    <w:cr/>
                  </w:r>
                  <w:r>
                    <w:rPr>
                      <w:color w:val="000000" w:themeColor="text1"/>
                      <w:szCs w:val="21"/>
                      <w14:textFill>
                        <w14:solidFill>
                          <w14:schemeClr w14:val="tx1"/>
                        </w14:solidFill>
                      </w14:textFill>
                    </w:rPr>
                    <w:t>染、电镀等排放水污染物的生产项目，现有生产项目不能实现达标排放的，应当依法关闭</w:t>
                  </w:r>
                </w:p>
              </w:tc>
              <w:tc>
                <w:tcPr>
                  <w:tcW w:w="2854" w:type="dxa"/>
                  <w:vAlign w:val="center"/>
                </w:tcPr>
                <w:p>
                  <w:pPr>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本项目从事</w:t>
                  </w:r>
                  <w:r>
                    <w:rPr>
                      <w:rFonts w:hint="eastAsia"/>
                      <w:color w:val="000000" w:themeColor="text1"/>
                      <w:szCs w:val="21"/>
                      <w14:textFill>
                        <w14:solidFill>
                          <w14:schemeClr w14:val="tx1"/>
                        </w14:solidFill>
                      </w14:textFill>
                    </w:rPr>
                    <w:t>C2770卫生材料及医药用品制造</w:t>
                  </w:r>
                  <w:r>
                    <w:rPr>
                      <w:color w:val="000000" w:themeColor="text1"/>
                      <w:szCs w:val="21"/>
                      <w14:textFill>
                        <w14:solidFill>
                          <w14:schemeClr w14:val="tx1"/>
                        </w14:solidFill>
                      </w14:textFill>
                    </w:rPr>
                    <w:t>，</w:t>
                  </w:r>
                  <w:r>
                    <w:rPr>
                      <w:rFonts w:hint="eastAsia"/>
                      <w:color w:val="000000" w:themeColor="text1"/>
                      <w:szCs w:val="21"/>
                      <w14:textFill>
                        <w14:solidFill>
                          <w14:schemeClr w14:val="tx1"/>
                        </w14:solidFill>
                      </w14:textFill>
                    </w:rPr>
                    <w:t>且本项目无生产废水产生及排放，</w:t>
                  </w:r>
                  <w:r>
                    <w:rPr>
                      <w:color w:val="000000" w:themeColor="text1"/>
                      <w:szCs w:val="21"/>
                      <w14:textFill>
                        <w14:solidFill>
                          <w14:schemeClr w14:val="tx1"/>
                        </w14:solidFill>
                      </w14:textFill>
                    </w:rPr>
                    <w:t>不属于太湖流域禁止类项目</w:t>
                  </w:r>
                  <w:r>
                    <w:rPr>
                      <w:rFonts w:hint="eastAsia"/>
                      <w:color w:val="000000" w:themeColor="text1"/>
                      <w:szCs w:val="21"/>
                      <w14:textFill>
                        <w14:solidFill>
                          <w14:schemeClr w14:val="tx1"/>
                        </w14:solidFill>
                      </w14:textFill>
                    </w:rPr>
                    <w:t>。</w:t>
                  </w:r>
                </w:p>
              </w:tc>
              <w:tc>
                <w:tcPr>
                  <w:tcW w:w="1088" w:type="dxa"/>
                  <w:vAlign w:val="center"/>
                </w:tcPr>
                <w:p>
                  <w:pPr>
                    <w:pStyle w:val="386"/>
                    <w:spacing w:line="240" w:lineRule="auto"/>
                    <w:rPr>
                      <w:rFonts w:eastAsia="宋体"/>
                      <w:color w:val="000000" w:themeColor="text1"/>
                      <w:szCs w:val="21"/>
                      <w14:textFill>
                        <w14:solidFill>
                          <w14:schemeClr w14:val="tx1"/>
                        </w14:solidFill>
                      </w14:textFill>
                    </w:rPr>
                  </w:pPr>
                  <w:r>
                    <w:rPr>
                      <w:rFonts w:eastAsia="宋体"/>
                      <w:color w:val="000000" w:themeColor="text1"/>
                      <w:szCs w:val="21"/>
                      <w14:textFill>
                        <w14:solidFill>
                          <w14:schemeClr w14:val="tx1"/>
                        </w14:solidFill>
                      </w14:textFill>
                    </w:rPr>
                    <w:t>相符</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69" w:type="dxa"/>
                  <w:vMerge w:val="continue"/>
                  <w:vAlign w:val="center"/>
                </w:tcPr>
                <w:p>
                  <w:pPr>
                    <w:rPr>
                      <w:color w:val="000000" w:themeColor="text1"/>
                      <w:szCs w:val="21"/>
                      <w14:textFill>
                        <w14:solidFill>
                          <w14:schemeClr w14:val="tx1"/>
                        </w14:solidFill>
                      </w14:textFill>
                    </w:rPr>
                  </w:pPr>
                </w:p>
              </w:tc>
              <w:tc>
                <w:tcPr>
                  <w:tcW w:w="3301" w:type="dxa"/>
                  <w:vAlign w:val="center"/>
                </w:tcPr>
                <w:p>
                  <w:pPr>
                    <w:rPr>
                      <w:color w:val="000000" w:themeColor="text1"/>
                      <w:szCs w:val="21"/>
                      <w14:textFill>
                        <w14:solidFill>
                          <w14:schemeClr w14:val="tx1"/>
                        </w14:solidFill>
                      </w14:textFill>
                    </w:rPr>
                  </w:pPr>
                  <w:r>
                    <w:rPr>
                      <w:color w:val="000000" w:themeColor="text1"/>
                      <w:szCs w:val="21"/>
                      <w14:textFill>
                        <w14:solidFill>
                          <w14:schemeClr w14:val="tx1"/>
                        </w14:solidFill>
                      </w14:textFill>
                    </w:rPr>
                    <w:t>在太湖流域新设企业应当符合国家规定的清洁生产要求，现有的企业尚未达到清洁生产要求的</w:t>
                  </w:r>
                  <w:r>
                    <w:rPr>
                      <w:color w:val="000000" w:themeColor="text1"/>
                      <w:szCs w:val="21"/>
                      <w14:textFill>
                        <w14:solidFill>
                          <w14:schemeClr w14:val="tx1"/>
                        </w14:solidFill>
                      </w14:textFill>
                    </w:rPr>
                    <w:cr/>
                  </w:r>
                  <w:r>
                    <w:rPr>
                      <w:color w:val="000000" w:themeColor="text1"/>
                      <w:szCs w:val="21"/>
                      <w14:textFill>
                        <w14:solidFill>
                          <w14:schemeClr w14:val="tx1"/>
                        </w14:solidFill>
                      </w14:textFill>
                    </w:rPr>
                    <w:t>应当按照清洁生产规划要求进行技术改造，两省一市人民政府应当加强监督检查</w:t>
                  </w:r>
                </w:p>
              </w:tc>
              <w:tc>
                <w:tcPr>
                  <w:tcW w:w="2854" w:type="dxa"/>
                  <w:vAlign w:val="center"/>
                </w:tcPr>
                <w:p>
                  <w:pPr>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本项目为新建项目，项目未使用国家淘汰的设备和工艺，符合国家规定的清洁生产的要求</w:t>
                  </w:r>
                </w:p>
              </w:tc>
              <w:tc>
                <w:tcPr>
                  <w:tcW w:w="1088" w:type="dxa"/>
                  <w:vAlign w:val="center"/>
                </w:tcPr>
                <w:p>
                  <w:pPr>
                    <w:pStyle w:val="386"/>
                    <w:spacing w:line="240" w:lineRule="auto"/>
                    <w:rPr>
                      <w:rFonts w:eastAsia="宋体"/>
                      <w:color w:val="000000" w:themeColor="text1"/>
                      <w:szCs w:val="21"/>
                      <w14:textFill>
                        <w14:solidFill>
                          <w14:schemeClr w14:val="tx1"/>
                        </w14:solidFill>
                      </w14:textFill>
                    </w:rPr>
                  </w:pPr>
                  <w:r>
                    <w:rPr>
                      <w:rFonts w:eastAsia="宋体"/>
                      <w:color w:val="000000" w:themeColor="text1"/>
                      <w:szCs w:val="21"/>
                      <w14:textFill>
                        <w14:solidFill>
                          <w14:schemeClr w14:val="tx1"/>
                        </w14:solidFill>
                      </w14:textFill>
                    </w:rPr>
                    <w:t>相符</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69" w:type="dxa"/>
                  <w:vMerge w:val="restart"/>
                  <w:vAlign w:val="center"/>
                </w:tcPr>
                <w:p>
                  <w:pPr>
                    <w:pStyle w:val="386"/>
                    <w:spacing w:line="240" w:lineRule="auto"/>
                    <w:jc w:val="both"/>
                    <w:rPr>
                      <w:rFonts w:eastAsia="宋体"/>
                      <w:b/>
                      <w:color w:val="000000" w:themeColor="text1"/>
                      <w:szCs w:val="21"/>
                      <w14:textFill>
                        <w14:solidFill>
                          <w14:schemeClr w14:val="tx1"/>
                        </w14:solidFill>
                      </w14:textFill>
                    </w:rPr>
                  </w:pPr>
                  <w:r>
                    <w:rPr>
                      <w:rFonts w:eastAsia="宋体"/>
                      <w:b/>
                      <w:color w:val="000000" w:themeColor="text1"/>
                      <w:szCs w:val="21"/>
                      <w14:textFill>
                        <w14:solidFill>
                          <w14:schemeClr w14:val="tx1"/>
                        </w14:solidFill>
                      </w14:textFill>
                    </w:rPr>
                    <w:t>江苏省太湖水污染防治条例</w:t>
                  </w:r>
                </w:p>
              </w:tc>
              <w:tc>
                <w:tcPr>
                  <w:tcW w:w="3301" w:type="dxa"/>
                  <w:vAlign w:val="center"/>
                </w:tcPr>
                <w:p>
                  <w:pPr>
                    <w:rPr>
                      <w:color w:val="000000" w:themeColor="text1"/>
                      <w:szCs w:val="21"/>
                      <w14:textFill>
                        <w14:solidFill>
                          <w14:schemeClr w14:val="tx1"/>
                        </w14:solidFill>
                      </w14:textFill>
                    </w:rPr>
                  </w:pPr>
                  <w:r>
                    <w:rPr>
                      <w:color w:val="000000" w:themeColor="text1"/>
                      <w:szCs w:val="21"/>
                      <w14:textFill>
                        <w14:solidFill>
                          <w14:schemeClr w14:val="tx1"/>
                        </w14:solidFill>
                      </w14:textFill>
                    </w:rPr>
                    <w:t>在太湖流域新建、改建、扩建可能产生水污染的建设项目应当依法进行环境影响评价。</w:t>
                  </w:r>
                </w:p>
              </w:tc>
              <w:tc>
                <w:tcPr>
                  <w:tcW w:w="2854" w:type="dxa"/>
                  <w:vAlign w:val="center"/>
                </w:tcPr>
                <w:p>
                  <w:pPr>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本项目目前正在进行环境影响评价</w:t>
                  </w:r>
                </w:p>
              </w:tc>
              <w:tc>
                <w:tcPr>
                  <w:tcW w:w="1088" w:type="dxa"/>
                  <w:vAlign w:val="center"/>
                </w:tcPr>
                <w:p>
                  <w:pPr>
                    <w:pStyle w:val="386"/>
                    <w:spacing w:line="240" w:lineRule="auto"/>
                    <w:rPr>
                      <w:rFonts w:eastAsia="宋体"/>
                      <w:color w:val="000000" w:themeColor="text1"/>
                      <w:szCs w:val="21"/>
                      <w14:textFill>
                        <w14:solidFill>
                          <w14:schemeClr w14:val="tx1"/>
                        </w14:solidFill>
                      </w14:textFill>
                    </w:rPr>
                  </w:pPr>
                  <w:r>
                    <w:rPr>
                      <w:rFonts w:eastAsia="宋体"/>
                      <w:color w:val="000000" w:themeColor="text1"/>
                      <w:szCs w:val="21"/>
                      <w14:textFill>
                        <w14:solidFill>
                          <w14:schemeClr w14:val="tx1"/>
                        </w14:solidFill>
                      </w14:textFill>
                    </w:rPr>
                    <w:t>相符</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69" w:type="dxa"/>
                  <w:vMerge w:val="continue"/>
                  <w:vAlign w:val="center"/>
                </w:tcPr>
                <w:p>
                  <w:pPr>
                    <w:rPr>
                      <w:color w:val="000000" w:themeColor="text1"/>
                      <w:szCs w:val="21"/>
                      <w14:textFill>
                        <w14:solidFill>
                          <w14:schemeClr w14:val="tx1"/>
                        </w14:solidFill>
                      </w14:textFill>
                    </w:rPr>
                  </w:pPr>
                </w:p>
              </w:tc>
              <w:tc>
                <w:tcPr>
                  <w:tcW w:w="3301" w:type="dxa"/>
                  <w:vAlign w:val="center"/>
                </w:tcPr>
                <w:p>
                  <w:pPr>
                    <w:rPr>
                      <w:color w:val="000000" w:themeColor="text1"/>
                      <w:szCs w:val="21"/>
                      <w14:textFill>
                        <w14:solidFill>
                          <w14:schemeClr w14:val="tx1"/>
                        </w14:solidFill>
                      </w14:textFill>
                    </w:rPr>
                  </w:pPr>
                  <w:r>
                    <w:rPr>
                      <w:color w:val="000000" w:themeColor="text1"/>
                      <w:szCs w:val="21"/>
                      <w14:textFill>
                        <w14:solidFill>
                          <w14:schemeClr w14:val="tx1"/>
                        </w14:solidFill>
                      </w14:textFill>
                    </w:rPr>
                    <w:t>建设项目的水污染防治设施，应当与主体工程同时设计、同时</w:t>
                  </w:r>
                  <w:r>
                    <w:rPr>
                      <w:color w:val="000000" w:themeColor="text1"/>
                      <w:szCs w:val="21"/>
                      <w14:textFill>
                        <w14:solidFill>
                          <w14:schemeClr w14:val="tx1"/>
                        </w14:solidFill>
                      </w14:textFill>
                    </w:rPr>
                    <w:cr/>
                  </w:r>
                  <w:r>
                    <w:rPr>
                      <w:color w:val="000000" w:themeColor="text1"/>
                      <w:szCs w:val="21"/>
                      <w14:textFill>
                        <w14:solidFill>
                          <w14:schemeClr w14:val="tx1"/>
                        </w14:solidFill>
                      </w14:textFill>
                    </w:rPr>
                    <w:t>工、同时投入使用</w:t>
                  </w:r>
                </w:p>
              </w:tc>
              <w:tc>
                <w:tcPr>
                  <w:tcW w:w="2854" w:type="dxa"/>
                  <w:vAlign w:val="center"/>
                </w:tcPr>
                <w:p>
                  <w:pPr>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本次环评严格要求建设单位执行“三同时制度”。</w:t>
                  </w:r>
                </w:p>
              </w:tc>
              <w:tc>
                <w:tcPr>
                  <w:tcW w:w="1088" w:type="dxa"/>
                  <w:vAlign w:val="center"/>
                </w:tcPr>
                <w:p>
                  <w:pPr>
                    <w:pStyle w:val="386"/>
                    <w:spacing w:line="240" w:lineRule="auto"/>
                    <w:rPr>
                      <w:rFonts w:eastAsia="宋体"/>
                      <w:color w:val="000000" w:themeColor="text1"/>
                      <w:szCs w:val="21"/>
                      <w14:textFill>
                        <w14:solidFill>
                          <w14:schemeClr w14:val="tx1"/>
                        </w14:solidFill>
                      </w14:textFill>
                    </w:rPr>
                  </w:pPr>
                  <w:r>
                    <w:rPr>
                      <w:rFonts w:eastAsia="宋体"/>
                      <w:color w:val="000000" w:themeColor="text1"/>
                      <w:szCs w:val="21"/>
                      <w14:textFill>
                        <w14:solidFill>
                          <w14:schemeClr w14:val="tx1"/>
                        </w14:solidFill>
                      </w14:textFill>
                    </w:rPr>
                    <w:t>相符</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69" w:type="dxa"/>
                  <w:vMerge w:val="continue"/>
                  <w:vAlign w:val="center"/>
                </w:tcPr>
                <w:p>
                  <w:pPr>
                    <w:rPr>
                      <w:color w:val="000000" w:themeColor="text1"/>
                      <w:szCs w:val="21"/>
                      <w14:textFill>
                        <w14:solidFill>
                          <w14:schemeClr w14:val="tx1"/>
                        </w14:solidFill>
                      </w14:textFill>
                    </w:rPr>
                  </w:pPr>
                </w:p>
              </w:tc>
              <w:tc>
                <w:tcPr>
                  <w:tcW w:w="3301" w:type="dxa"/>
                  <w:vAlign w:val="center"/>
                </w:tcPr>
                <w:p>
                  <w:pPr>
                    <w:rPr>
                      <w:color w:val="000000" w:themeColor="text1"/>
                      <w:szCs w:val="21"/>
                      <w14:textFill>
                        <w14:solidFill>
                          <w14:schemeClr w14:val="tx1"/>
                        </w14:solidFill>
                      </w14:textFill>
                    </w:rPr>
                  </w:pPr>
                  <w:r>
                    <w:rPr>
                      <w:color w:val="000000" w:themeColor="text1"/>
                      <w:szCs w:val="21"/>
                      <w14:textFill>
                        <w14:solidFill>
                          <w14:schemeClr w14:val="tx1"/>
                        </w14:solidFill>
                      </w14:textFill>
                    </w:rPr>
                    <w:t>直接或者间接向水体排放污染物的企业事业单位和其他生产经营者</w:t>
                  </w:r>
                  <w:r>
                    <w:rPr>
                      <w:color w:val="000000" w:themeColor="text1"/>
                      <w:szCs w:val="21"/>
                      <w14:textFill>
                        <w14:solidFill>
                          <w14:schemeClr w14:val="tx1"/>
                        </w14:solidFill>
                      </w14:textFill>
                    </w:rPr>
                    <w:cr/>
                  </w:r>
                  <w:r>
                    <w:rPr>
                      <w:color w:val="000000" w:themeColor="text1"/>
                      <w:szCs w:val="21"/>
                      <w14:textFill>
                        <w14:solidFill>
                          <w14:schemeClr w14:val="tx1"/>
                        </w14:solidFill>
                      </w14:textFill>
                    </w:rPr>
                    <w:t>应当按照国家和省有关规定设置排污口。禁止私设排污口</w:t>
                  </w:r>
                </w:p>
              </w:tc>
              <w:tc>
                <w:tcPr>
                  <w:tcW w:w="2854" w:type="dxa"/>
                  <w:vAlign w:val="center"/>
                </w:tcPr>
                <w:p>
                  <w:pPr>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建单位禁止私排污口</w:t>
                  </w:r>
                  <w:r>
                    <w:rPr>
                      <w:rFonts w:hint="eastAsia"/>
                      <w:color w:val="000000" w:themeColor="text1"/>
                      <w:szCs w:val="21"/>
                      <w14:textFill>
                        <w14:solidFill>
                          <w14:schemeClr w14:val="tx1"/>
                        </w14:solidFill>
                      </w14:textFill>
                    </w:rPr>
                    <w:t>，</w:t>
                  </w:r>
                  <w:r>
                    <w:rPr>
                      <w:color w:val="000000" w:themeColor="text1"/>
                      <w:szCs w:val="21"/>
                      <w14:textFill>
                        <w14:solidFill>
                          <w14:schemeClr w14:val="tx1"/>
                        </w14:solidFill>
                      </w14:textFill>
                    </w:rPr>
                    <w:t>本次环评要求</w:t>
                  </w:r>
                  <w:r>
                    <w:rPr>
                      <w:rFonts w:hint="eastAsia"/>
                      <w:color w:val="000000" w:themeColor="text1"/>
                      <w:szCs w:val="21"/>
                      <w14:textFill>
                        <w14:solidFill>
                          <w14:schemeClr w14:val="tx1"/>
                        </w14:solidFill>
                      </w14:textFill>
                    </w:rPr>
                    <w:t>生活污水依托</w:t>
                  </w:r>
                  <w:r>
                    <w:rPr>
                      <w:rFonts w:hint="eastAsia"/>
                      <w:color w:val="000000" w:themeColor="text1"/>
                      <w:szCs w:val="21"/>
                      <w:lang w:eastAsia="zh-CN"/>
                      <w14:textFill>
                        <w14:solidFill>
                          <w14:schemeClr w14:val="tx1"/>
                        </w14:solidFill>
                      </w14:textFill>
                    </w:rPr>
                    <w:t>智谷科技园</w:t>
                  </w:r>
                  <w:r>
                    <w:rPr>
                      <w:rFonts w:hint="eastAsia"/>
                      <w:color w:val="000000" w:themeColor="text1"/>
                      <w:szCs w:val="21"/>
                      <w14:textFill>
                        <w14:solidFill>
                          <w14:schemeClr w14:val="tx1"/>
                        </w14:solidFill>
                      </w14:textFill>
                    </w:rPr>
                    <w:t>污水排放口。</w:t>
                  </w:r>
                </w:p>
              </w:tc>
              <w:tc>
                <w:tcPr>
                  <w:tcW w:w="1088" w:type="dxa"/>
                  <w:vAlign w:val="center"/>
                </w:tcPr>
                <w:p>
                  <w:pPr>
                    <w:pStyle w:val="386"/>
                    <w:spacing w:line="240" w:lineRule="auto"/>
                    <w:rPr>
                      <w:rFonts w:eastAsia="宋体"/>
                      <w:color w:val="000000" w:themeColor="text1"/>
                      <w:szCs w:val="21"/>
                      <w14:textFill>
                        <w14:solidFill>
                          <w14:schemeClr w14:val="tx1"/>
                        </w14:solidFill>
                      </w14:textFill>
                    </w:rPr>
                  </w:pPr>
                  <w:r>
                    <w:rPr>
                      <w:rFonts w:eastAsia="宋体"/>
                      <w:color w:val="000000" w:themeColor="text1"/>
                      <w:szCs w:val="21"/>
                      <w14:textFill>
                        <w14:solidFill>
                          <w14:schemeClr w14:val="tx1"/>
                        </w14:solidFill>
                      </w14:textFill>
                    </w:rPr>
                    <w:t>相符</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69" w:type="dxa"/>
                  <w:vMerge w:val="continue"/>
                  <w:vAlign w:val="center"/>
                </w:tcPr>
                <w:p>
                  <w:pPr>
                    <w:rPr>
                      <w:color w:val="000000" w:themeColor="text1"/>
                      <w:szCs w:val="21"/>
                      <w14:textFill>
                        <w14:solidFill>
                          <w14:schemeClr w14:val="tx1"/>
                        </w14:solidFill>
                      </w14:textFill>
                    </w:rPr>
                  </w:pPr>
                </w:p>
              </w:tc>
              <w:tc>
                <w:tcPr>
                  <w:tcW w:w="3301" w:type="dxa"/>
                  <w:vAlign w:val="center"/>
                </w:tcPr>
                <w:p>
                  <w:pPr>
                    <w:rPr>
                      <w:color w:val="000000" w:themeColor="text1"/>
                      <w:szCs w:val="21"/>
                      <w14:textFill>
                        <w14:solidFill>
                          <w14:schemeClr w14:val="tx1"/>
                        </w14:solidFill>
                      </w14:textFill>
                    </w:rPr>
                  </w:pPr>
                  <w:r>
                    <w:rPr>
                      <w:color w:val="000000" w:themeColor="text1"/>
                      <w:szCs w:val="21"/>
                      <w14:textFill>
                        <w14:solidFill>
                          <w14:schemeClr w14:val="tx1"/>
                        </w14:solidFill>
                      </w14:textFill>
                    </w:rPr>
                    <w:t>各类污水处理设施产生的污泥应当进行安全处置，不得随意堆放和弃置，不得排入水体；属于危险废物的，应当委托有资质的单位处置。污泥的收集、贮存应当符合国家相关规定和标准</w:t>
                  </w:r>
                </w:p>
              </w:tc>
              <w:tc>
                <w:tcPr>
                  <w:tcW w:w="2854" w:type="dxa"/>
                  <w:vAlign w:val="center"/>
                </w:tcPr>
                <w:p>
                  <w:pP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本次环评要求建设单位</w:t>
                  </w:r>
                  <w:r>
                    <w:rPr>
                      <w:color w:val="000000" w:themeColor="text1"/>
                      <w:szCs w:val="21"/>
                      <w14:textFill>
                        <w14:solidFill>
                          <w14:schemeClr w14:val="tx1"/>
                        </w14:solidFill>
                      </w14:textFill>
                    </w:rPr>
                    <w:t>固废均分类收集、分类暂存、分类处置。一般固体废弃物执行《一般工业固体废物贮存、处置场污染控制标准》（GB18599-2001）及其修改单；危险废物执行《危险废物贮存污染控制标准》（GB 18597-2001）及其修改单</w:t>
                  </w:r>
                </w:p>
              </w:tc>
              <w:tc>
                <w:tcPr>
                  <w:tcW w:w="1088" w:type="dxa"/>
                  <w:vAlign w:val="center"/>
                </w:tcPr>
                <w:p>
                  <w:pPr>
                    <w:pStyle w:val="386"/>
                    <w:spacing w:line="240" w:lineRule="auto"/>
                    <w:rPr>
                      <w:rFonts w:eastAsia="宋体"/>
                      <w:color w:val="000000" w:themeColor="text1"/>
                      <w:szCs w:val="21"/>
                      <w14:textFill>
                        <w14:solidFill>
                          <w14:schemeClr w14:val="tx1"/>
                        </w14:solidFill>
                      </w14:textFill>
                    </w:rPr>
                  </w:pPr>
                  <w:r>
                    <w:rPr>
                      <w:rFonts w:eastAsia="宋体"/>
                      <w:color w:val="000000" w:themeColor="text1"/>
                      <w:szCs w:val="21"/>
                      <w14:textFill>
                        <w14:solidFill>
                          <w14:schemeClr w14:val="tx1"/>
                        </w14:solidFill>
                      </w14:textFill>
                    </w:rPr>
                    <w:t>相符</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69" w:type="dxa"/>
                  <w:vMerge w:val="continue"/>
                  <w:vAlign w:val="center"/>
                </w:tcPr>
                <w:p>
                  <w:pPr>
                    <w:rPr>
                      <w:color w:val="000000" w:themeColor="text1"/>
                      <w:szCs w:val="21"/>
                      <w14:textFill>
                        <w14:solidFill>
                          <w14:schemeClr w14:val="tx1"/>
                        </w14:solidFill>
                      </w14:textFill>
                    </w:rPr>
                  </w:pPr>
                </w:p>
              </w:tc>
              <w:tc>
                <w:tcPr>
                  <w:tcW w:w="3301" w:type="dxa"/>
                  <w:vAlign w:val="center"/>
                </w:tcPr>
                <w:p>
                  <w:pPr>
                    <w:rPr>
                      <w:color w:val="000000" w:themeColor="text1"/>
                      <w:szCs w:val="21"/>
                      <w14:textFill>
                        <w14:solidFill>
                          <w14:schemeClr w14:val="tx1"/>
                        </w14:solidFill>
                      </w14:textFill>
                    </w:rPr>
                  </w:pPr>
                  <w:r>
                    <w:rPr>
                      <w:color w:val="000000" w:themeColor="text1"/>
                      <w:szCs w:val="21"/>
                      <w14:textFill>
                        <w14:solidFill>
                          <w14:schemeClr w14:val="tx1"/>
                        </w14:solidFill>
                      </w14:textFill>
                    </w:rPr>
                    <w:t>太湖流域一、二、三级保护区禁止下列行为：（一）新建、改建、扩建化学制浆造纸、制革、酿造、染料、印染、电镀以及其他排放含磷、氮等污染物的企业和项目，城镇污水集中处理等环境基础设施项目和第四十六条规定的情形除外；</w:t>
                  </w:r>
                </w:p>
                <w:p>
                  <w:pPr>
                    <w:rPr>
                      <w:color w:val="000000" w:themeColor="text1"/>
                      <w:szCs w:val="21"/>
                      <w14:textFill>
                        <w14:solidFill>
                          <w14:schemeClr w14:val="tx1"/>
                        </w14:solidFill>
                      </w14:textFill>
                    </w:rPr>
                  </w:pPr>
                  <w:r>
                    <w:rPr>
                      <w:color w:val="000000" w:themeColor="text1"/>
                      <w:szCs w:val="21"/>
                      <w14:textFill>
                        <w14:solidFill>
                          <w14:schemeClr w14:val="tx1"/>
                        </w14:solidFill>
                      </w14:textFill>
                    </w:rPr>
                    <w:t>（二）销售、使用含磷洗涤用品；</w:t>
                  </w:r>
                </w:p>
                <w:p>
                  <w:pPr>
                    <w:rPr>
                      <w:color w:val="000000" w:themeColor="text1"/>
                      <w:szCs w:val="21"/>
                      <w14:textFill>
                        <w14:solidFill>
                          <w14:schemeClr w14:val="tx1"/>
                        </w14:solidFill>
                      </w14:textFill>
                    </w:rPr>
                  </w:pPr>
                  <w:r>
                    <w:rPr>
                      <w:color w:val="000000" w:themeColor="text1"/>
                      <w:szCs w:val="21"/>
                      <w14:textFill>
                        <w14:solidFill>
                          <w14:schemeClr w14:val="tx1"/>
                        </w14:solidFill>
                      </w14:textFill>
                    </w:rPr>
                    <w:t xml:space="preserve">（三）向水体排放或者倾倒油类、酸液、碱液、剧毒废渣废液、含放射性废渣废液、含病原体污水、工业废渣以及其他废弃物； </w:t>
                  </w:r>
                </w:p>
              </w:tc>
              <w:tc>
                <w:tcPr>
                  <w:tcW w:w="2854" w:type="dxa"/>
                  <w:vAlign w:val="center"/>
                </w:tcPr>
                <w:p>
                  <w:pPr>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（一）</w:t>
                  </w:r>
                  <w:r>
                    <w:rPr>
                      <w:rFonts w:hint="eastAsia"/>
                      <w:color w:val="000000" w:themeColor="text1"/>
                      <w:szCs w:val="21"/>
                      <w14:textFill>
                        <w14:solidFill>
                          <w14:schemeClr w14:val="tx1"/>
                        </w14:solidFill>
                      </w14:textFill>
                    </w:rPr>
                    <w:t>本项目无生产废水排放；（二）</w:t>
                  </w:r>
                  <w:r>
                    <w:rPr>
                      <w:color w:val="000000" w:themeColor="text1"/>
                      <w:szCs w:val="21"/>
                      <w14:textFill>
                        <w14:solidFill>
                          <w14:schemeClr w14:val="tx1"/>
                        </w14:solidFill>
                      </w14:textFill>
                    </w:rPr>
                    <w:t>本项目不属于化学制浆造纸、制革、酿造、染料、印染、电镀以及其他排放含磷、氮等污染物项目；</w:t>
                  </w:r>
                </w:p>
                <w:p>
                  <w:pPr>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w:t>
                  </w:r>
                  <w:r>
                    <w:rPr>
                      <w:rFonts w:hint="eastAsia"/>
                      <w:color w:val="000000" w:themeColor="text1"/>
                      <w:szCs w:val="21"/>
                      <w14:textFill>
                        <w14:solidFill>
                          <w14:schemeClr w14:val="tx1"/>
                        </w14:solidFill>
                      </w14:textFill>
                    </w:rPr>
                    <w:t>三</w:t>
                  </w:r>
                  <w:r>
                    <w:rPr>
                      <w:color w:val="000000" w:themeColor="text1"/>
                      <w:szCs w:val="21"/>
                      <w14:textFill>
                        <w14:solidFill>
                          <w14:schemeClr w14:val="tx1"/>
                        </w14:solidFill>
                      </w14:textFill>
                    </w:rPr>
                    <w:t>）本项目不销售、使用含磷洗涤用品；</w:t>
                  </w:r>
                </w:p>
                <w:p>
                  <w:pPr>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w:t>
                  </w:r>
                  <w:r>
                    <w:rPr>
                      <w:rFonts w:hint="eastAsia"/>
                      <w:color w:val="000000" w:themeColor="text1"/>
                      <w:szCs w:val="21"/>
                      <w14:textFill>
                        <w14:solidFill>
                          <w14:schemeClr w14:val="tx1"/>
                        </w14:solidFill>
                      </w14:textFill>
                    </w:rPr>
                    <w:t>四</w:t>
                  </w:r>
                  <w:r>
                    <w:rPr>
                      <w:color w:val="000000" w:themeColor="text1"/>
                      <w:szCs w:val="21"/>
                      <w14:textFill>
                        <w14:solidFill>
                          <w14:schemeClr w14:val="tx1"/>
                        </w14:solidFill>
                      </w14:textFill>
                    </w:rPr>
                    <w:t>）项目固废分类收集、分类暂存、分类处置。</w:t>
                  </w:r>
                </w:p>
              </w:tc>
              <w:tc>
                <w:tcPr>
                  <w:tcW w:w="1088" w:type="dxa"/>
                  <w:vAlign w:val="center"/>
                </w:tcPr>
                <w:p>
                  <w:pPr>
                    <w:pStyle w:val="386"/>
                    <w:spacing w:line="240" w:lineRule="auto"/>
                    <w:rPr>
                      <w:rFonts w:eastAsia="宋体"/>
                      <w:color w:val="000000" w:themeColor="text1"/>
                      <w:szCs w:val="21"/>
                      <w14:textFill>
                        <w14:solidFill>
                          <w14:schemeClr w14:val="tx1"/>
                        </w14:solidFill>
                      </w14:textFill>
                    </w:rPr>
                  </w:pPr>
                  <w:r>
                    <w:rPr>
                      <w:rFonts w:eastAsia="宋体"/>
                      <w:color w:val="000000" w:themeColor="text1"/>
                      <w:szCs w:val="21"/>
                      <w14:textFill>
                        <w14:solidFill>
                          <w14:schemeClr w14:val="tx1"/>
                        </w14:solidFill>
                      </w14:textFill>
                    </w:rPr>
                    <w:t>相符</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69" w:type="dxa"/>
                  <w:vAlign w:val="center"/>
                </w:tcPr>
                <w:p>
                  <w:pPr>
                    <w:rPr>
                      <w:color w:val="000000" w:themeColor="text1"/>
                      <w:szCs w:val="21"/>
                      <w14:textFill>
                        <w14:solidFill>
                          <w14:schemeClr w14:val="tx1"/>
                        </w14:solidFill>
                      </w14:textFill>
                    </w:rPr>
                  </w:pPr>
                  <w:r>
                    <w:rPr>
                      <w:rFonts w:hint="eastAsia"/>
                      <w:b/>
                      <w:bCs/>
                      <w:color w:val="000000" w:themeColor="text1"/>
                      <w:szCs w:val="21"/>
                      <w14:textFill>
                        <w14:solidFill>
                          <w14:schemeClr w14:val="tx1"/>
                        </w14:solidFill>
                      </w14:textFill>
                    </w:rPr>
                    <w:t>《省生态环境厅关于进一步做好建设项目环评审批工作的通知》苏环办〔2019〕36号</w:t>
                  </w:r>
                </w:p>
              </w:tc>
              <w:tc>
                <w:tcPr>
                  <w:tcW w:w="3301" w:type="dxa"/>
                  <w:vAlign w:val="center"/>
                </w:tcPr>
                <w:p>
                  <w:pP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有下列情形之一的，不予批准：（1）建设项目类型及其选址、布局、规模等不符合环境保护法律法规和相关法定规划；（2）所在区域环境质量未达到国家或者地方环境质量标准，且建设项目拟采取的措施不能满足区域环境质量改善目标管理要求；（3）建设项目采取的污染防治措施无法确保污染物排放达到国家和地方排放标准，或者未采取必要措施预防和控制生态破坏；（4）改建、扩建和技术改造项目，未针对项目原有环境污染和生态破坏提出有效防止措施；（5）建设项目的环境影响报告书、环境影响报告表的基础资料数据明显不实，内容存在重大缺陷、遗漏，或者环境影响评价结论不明确、不合理。</w:t>
                  </w:r>
                </w:p>
              </w:tc>
              <w:tc>
                <w:tcPr>
                  <w:tcW w:w="2854" w:type="dxa"/>
                  <w:vAlign w:val="center"/>
                </w:tcPr>
                <w:p>
                  <w:pPr>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1）建设项目类型及其选址、布局、规模等符合环境保护法律法规和相关法定规划；（2）项目所在区域已落实相关达标规划要求；（3）建设项目采取的污染防治措施可以确保污染物排放达到国家和地方排放标准；（4）项目为新建项目；（5）建设项目的基础资料数据真实有效，内容不存在重大缺陷、遗漏，环境影响评价结论明确、合理。</w:t>
                  </w:r>
                </w:p>
              </w:tc>
              <w:tc>
                <w:tcPr>
                  <w:tcW w:w="1088" w:type="dxa"/>
                  <w:vAlign w:val="center"/>
                </w:tcPr>
                <w:p>
                  <w:pPr>
                    <w:pStyle w:val="386"/>
                    <w:spacing w:line="240" w:lineRule="auto"/>
                    <w:rPr>
                      <w:rFonts w:eastAsia="宋体"/>
                      <w:color w:val="000000" w:themeColor="text1"/>
                      <w:szCs w:val="21"/>
                      <w14:textFill>
                        <w14:solidFill>
                          <w14:schemeClr w14:val="tx1"/>
                        </w14:solidFill>
                      </w14:textFill>
                    </w:rPr>
                  </w:pPr>
                  <w:r>
                    <w:rPr>
                      <w:rFonts w:hint="eastAsia" w:eastAsia="宋体"/>
                      <w:color w:val="000000" w:themeColor="text1"/>
                      <w:szCs w:val="21"/>
                      <w14:textFill>
                        <w14:solidFill>
                          <w14:schemeClr w14:val="tx1"/>
                        </w14:solidFill>
                      </w14:textFill>
                    </w:rPr>
                    <w:t>相符</w:t>
                  </w:r>
                </w:p>
              </w:tc>
            </w:tr>
          </w:tbl>
          <w:p>
            <w:pPr>
              <w:pStyle w:val="288"/>
              <w:adjustRightInd w:val="0"/>
              <w:snapToGrid w:val="0"/>
              <w:ind w:firstLine="482"/>
              <w:rPr>
                <w:b/>
                <w:color w:val="000000" w:themeColor="text1"/>
                <w:kern w:val="2"/>
                <w:szCs w:val="24"/>
                <w14:textFill>
                  <w14:solidFill>
                    <w14:schemeClr w14:val="tx1"/>
                  </w14:solidFill>
                </w14:textFill>
              </w:rPr>
            </w:pPr>
            <w:r>
              <w:rPr>
                <w:rFonts w:hint="eastAsia"/>
                <w:b/>
                <w:color w:val="000000" w:themeColor="text1"/>
                <w:kern w:val="2"/>
                <w:szCs w:val="24"/>
                <w14:textFill>
                  <w14:solidFill>
                    <w14:schemeClr w14:val="tx1"/>
                  </w14:solidFill>
                </w14:textFill>
              </w:rPr>
              <w:t>11</w:t>
            </w:r>
            <w:r>
              <w:rPr>
                <w:b/>
                <w:color w:val="000000" w:themeColor="text1"/>
                <w:kern w:val="2"/>
                <w:szCs w:val="24"/>
                <w14:textFill>
                  <w14:solidFill>
                    <w14:schemeClr w14:val="tx1"/>
                  </w14:solidFill>
                </w14:textFill>
              </w:rPr>
              <w:t>、“三线一单”相符性分析</w:t>
            </w:r>
          </w:p>
          <w:p>
            <w:pPr>
              <w:pStyle w:val="288"/>
              <w:adjustRightInd w:val="0"/>
              <w:snapToGrid w:val="0"/>
              <w:ind w:firstLine="480"/>
              <w:rPr>
                <w:color w:val="000000" w:themeColor="text1"/>
                <w:kern w:val="2"/>
                <w:szCs w:val="24"/>
                <w14:textFill>
                  <w14:solidFill>
                    <w14:schemeClr w14:val="tx1"/>
                  </w14:solidFill>
                </w14:textFill>
              </w:rPr>
            </w:pPr>
            <w:r>
              <w:rPr>
                <w:color w:val="000000" w:themeColor="text1"/>
                <w:kern w:val="2"/>
                <w:szCs w:val="24"/>
                <w14:textFill>
                  <w14:solidFill>
                    <w14:schemeClr w14:val="tx1"/>
                  </w14:solidFill>
                </w14:textFill>
              </w:rPr>
              <w:t>（1）与生态红线区域保护规划的相符性</w:t>
            </w:r>
          </w:p>
          <w:p>
            <w:pPr>
              <w:pStyle w:val="288"/>
              <w:adjustRightInd w:val="0"/>
              <w:snapToGrid w:val="0"/>
              <w:ind w:firstLine="480"/>
              <w:rPr>
                <w:color w:val="000000" w:themeColor="text1"/>
                <w:sz w:val="21"/>
                <w:szCs w:val="21"/>
                <w14:textFill>
                  <w14:solidFill>
                    <w14:schemeClr w14:val="tx1"/>
                  </w14:solidFill>
                </w14:textFill>
              </w:rPr>
            </w:pPr>
            <w:r>
              <w:rPr>
                <w:color w:val="000000" w:themeColor="text1"/>
                <w14:textFill>
                  <w14:solidFill>
                    <w14:schemeClr w14:val="tx1"/>
                  </w14:solidFill>
                </w14:textFill>
              </w:rPr>
              <w:t>根据《省政府关于印发江苏省生态空间管控区域规划的通</w:t>
            </w:r>
            <w:r>
              <w:rPr>
                <w:rFonts w:hint="eastAsia"/>
                <w:color w:val="000000" w:themeColor="text1"/>
                <w14:textFill>
                  <w14:solidFill>
                    <w14:schemeClr w14:val="tx1"/>
                  </w14:solidFill>
                </w14:textFill>
              </w:rPr>
              <w:t>知</w:t>
            </w:r>
            <w:r>
              <w:rPr>
                <w:color w:val="000000" w:themeColor="text1"/>
                <w14:textFill>
                  <w14:solidFill>
                    <w14:schemeClr w14:val="tx1"/>
                  </w14:solidFill>
                </w14:textFill>
              </w:rPr>
              <w:t>》（</w:t>
            </w:r>
            <w:r>
              <w:rPr>
                <w:rFonts w:hint="eastAsia"/>
                <w:color w:val="000000" w:themeColor="text1"/>
                <w14:textFill>
                  <w14:solidFill>
                    <w14:schemeClr w14:val="tx1"/>
                  </w14:solidFill>
                </w14:textFill>
              </w:rPr>
              <w:t>苏政发〔2020〕1号</w:t>
            </w:r>
            <w:r>
              <w:rPr>
                <w:color w:val="000000" w:themeColor="text1"/>
                <w14:textFill>
                  <w14:solidFill>
                    <w14:schemeClr w14:val="tx1"/>
                  </w14:solidFill>
                </w14:textFill>
              </w:rPr>
              <w:t>），对照</w:t>
            </w:r>
            <w:r>
              <w:rPr>
                <w:rFonts w:hint="eastAsia"/>
                <w:color w:val="000000" w:themeColor="text1"/>
                <w14:textFill>
                  <w14:solidFill>
                    <w14:schemeClr w14:val="tx1"/>
                  </w14:solidFill>
                </w14:textFill>
              </w:rPr>
              <w:t>江苏省生态空间保护区域分布图</w:t>
            </w:r>
            <w:r>
              <w:rPr>
                <w:color w:val="000000" w:themeColor="text1"/>
                <w14:textFill>
                  <w14:solidFill>
                    <w14:schemeClr w14:val="tx1"/>
                  </w14:solidFill>
                </w14:textFill>
              </w:rPr>
              <w:t>，结合项目地理位置和区域水系</w:t>
            </w:r>
            <w:r>
              <w:rPr>
                <w:color w:val="000000" w:themeColor="text1"/>
                <w:szCs w:val="24"/>
                <w14:textFill>
                  <w14:solidFill>
                    <w14:schemeClr w14:val="tx1"/>
                  </w14:solidFill>
                </w14:textFill>
              </w:rPr>
              <w:t>，项目</w:t>
            </w:r>
            <w:r>
              <w:rPr>
                <w:rFonts w:hint="eastAsia"/>
                <w:color w:val="000000" w:themeColor="text1"/>
                <w:szCs w:val="24"/>
                <w14:textFill>
                  <w14:solidFill>
                    <w14:schemeClr w14:val="tx1"/>
                  </w14:solidFill>
                </w14:textFill>
              </w:rPr>
              <w:t>不在国家级生态保护红线和江苏省生态空间管控区域内，</w:t>
            </w:r>
            <w:r>
              <w:rPr>
                <w:color w:val="000000" w:themeColor="text1"/>
                <w14:textFill>
                  <w14:solidFill>
                    <w14:schemeClr w14:val="tx1"/>
                  </w14:solidFill>
                </w14:textFill>
              </w:rPr>
              <w:t>因此本项目满足江苏省生态红线区域保护规划</w:t>
            </w:r>
            <w:r>
              <w:rPr>
                <w:color w:val="000000" w:themeColor="text1"/>
                <w:sz w:val="21"/>
                <w:szCs w:val="21"/>
                <w14:textFill>
                  <w14:solidFill>
                    <w14:schemeClr w14:val="tx1"/>
                  </w14:solidFill>
                </w14:textFill>
              </w:rPr>
              <w:t>要求。</w:t>
            </w:r>
          </w:p>
          <w:p>
            <w:pPr>
              <w:pStyle w:val="288"/>
              <w:adjustRightInd w:val="0"/>
              <w:snapToGrid w:val="0"/>
              <w:ind w:firstLine="480"/>
              <w:rPr>
                <w:color w:val="000000" w:themeColor="text1"/>
                <w:kern w:val="2"/>
                <w:szCs w:val="24"/>
                <w14:textFill>
                  <w14:solidFill>
                    <w14:schemeClr w14:val="tx1"/>
                  </w14:solidFill>
                </w14:textFill>
              </w:rPr>
            </w:pPr>
            <w:r>
              <w:rPr>
                <w:color w:val="000000" w:themeColor="text1"/>
                <w:kern w:val="2"/>
                <w:szCs w:val="24"/>
                <w14:textFill>
                  <w14:solidFill>
                    <w14:schemeClr w14:val="tx1"/>
                  </w14:solidFill>
                </w14:textFill>
              </w:rPr>
              <w:t>（2）环境质量底线相符性</w:t>
            </w:r>
          </w:p>
          <w:p>
            <w:pPr>
              <w:pStyle w:val="79"/>
              <w:spacing w:after="0" w:line="360" w:lineRule="auto"/>
              <w:ind w:firstLine="480" w:firstLineChars="200"/>
              <w:jc w:val="both"/>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14:textFill>
                  <w14:solidFill>
                    <w14:schemeClr w14:val="tx1"/>
                  </w14:solidFill>
                </w14:textFill>
              </w:rPr>
              <w:t>环境空气</w:t>
            </w:r>
            <w:r>
              <w:rPr>
                <w:rFonts w:hint="eastAsia" w:ascii="Times New Roman" w:hAnsi="Times New Roman" w:cs="Times New Roman"/>
                <w:color w:val="000000" w:themeColor="text1"/>
                <w14:textFill>
                  <w14:solidFill>
                    <w14:schemeClr w14:val="tx1"/>
                  </w14:solidFill>
                </w14:textFill>
              </w:rPr>
              <w:t>：</w:t>
            </w:r>
            <w:r>
              <w:rPr>
                <w:rFonts w:hint="eastAsia" w:ascii="Times New Roman" w:hAnsi="Times New Roman" w:cs="Times New Roman"/>
                <w:color w:val="000000" w:themeColor="text1"/>
                <w:kern w:val="2"/>
                <w14:textFill>
                  <w14:solidFill>
                    <w14:schemeClr w14:val="tx1"/>
                  </w14:solidFill>
                </w14:textFill>
              </w:rPr>
              <w:t>根据《常州市生态环境质量报告（2019 年）》，2019年常州市环境空气中SO</w:t>
            </w:r>
            <w:r>
              <w:rPr>
                <w:rFonts w:hint="eastAsia" w:ascii="Times New Roman" w:hAnsi="Times New Roman" w:cs="Times New Roman"/>
                <w:color w:val="000000" w:themeColor="text1"/>
                <w:kern w:val="2"/>
                <w:vertAlign w:val="subscript"/>
                <w14:textFill>
                  <w14:solidFill>
                    <w14:schemeClr w14:val="tx1"/>
                  </w14:solidFill>
                </w14:textFill>
              </w:rPr>
              <w:t>2</w:t>
            </w:r>
            <w:r>
              <w:rPr>
                <w:rFonts w:hint="eastAsia" w:ascii="Times New Roman" w:hAnsi="Times New Roman" w:cs="Times New Roman"/>
                <w:color w:val="000000" w:themeColor="text1"/>
                <w:kern w:val="2"/>
                <w14:textFill>
                  <w14:solidFill>
                    <w14:schemeClr w14:val="tx1"/>
                  </w14:solidFill>
                </w14:textFill>
              </w:rPr>
              <w:t>年平均值、NO</w:t>
            </w:r>
            <w:r>
              <w:rPr>
                <w:rFonts w:hint="eastAsia" w:ascii="Times New Roman" w:hAnsi="Times New Roman" w:cs="Times New Roman"/>
                <w:color w:val="000000" w:themeColor="text1"/>
                <w:kern w:val="2"/>
                <w:vertAlign w:val="subscript"/>
                <w14:textFill>
                  <w14:solidFill>
                    <w14:schemeClr w14:val="tx1"/>
                  </w14:solidFill>
                </w14:textFill>
              </w:rPr>
              <w:t>2</w:t>
            </w:r>
            <w:r>
              <w:rPr>
                <w:rFonts w:hint="eastAsia" w:ascii="Times New Roman" w:hAnsi="Times New Roman" w:cs="Times New Roman"/>
                <w:color w:val="000000" w:themeColor="text1"/>
                <w:kern w:val="2"/>
                <w14:textFill>
                  <w14:solidFill>
                    <w14:schemeClr w14:val="tx1"/>
                  </w14:solidFill>
                </w14:textFill>
              </w:rPr>
              <w:t>年平均值、PM</w:t>
            </w:r>
            <w:r>
              <w:rPr>
                <w:rFonts w:hint="eastAsia" w:ascii="Times New Roman" w:hAnsi="Times New Roman" w:cs="Times New Roman"/>
                <w:color w:val="000000" w:themeColor="text1"/>
                <w:kern w:val="2"/>
                <w:vertAlign w:val="subscript"/>
                <w14:textFill>
                  <w14:solidFill>
                    <w14:schemeClr w14:val="tx1"/>
                  </w14:solidFill>
                </w14:textFill>
              </w:rPr>
              <w:t>10</w:t>
            </w:r>
            <w:r>
              <w:rPr>
                <w:rFonts w:hint="eastAsia" w:ascii="Times New Roman" w:hAnsi="Times New Roman" w:cs="Times New Roman"/>
                <w:color w:val="000000" w:themeColor="text1"/>
                <w:kern w:val="2"/>
                <w14:textFill>
                  <w14:solidFill>
                    <w14:schemeClr w14:val="tx1"/>
                  </w14:solidFill>
                </w14:textFill>
              </w:rPr>
              <w:t>年平均值和 CO的24小时滑动平均值的第95百分位数《环境空气质量标准》（GB3095-2012）中二级标准，PM</w:t>
            </w:r>
            <w:r>
              <w:rPr>
                <w:rFonts w:hint="eastAsia" w:ascii="Times New Roman" w:hAnsi="Times New Roman" w:cs="Times New Roman"/>
                <w:color w:val="000000" w:themeColor="text1"/>
                <w:kern w:val="2"/>
                <w:vertAlign w:val="subscript"/>
                <w14:textFill>
                  <w14:solidFill>
                    <w14:schemeClr w14:val="tx1"/>
                  </w14:solidFill>
                </w14:textFill>
              </w:rPr>
              <w:t>2.5</w:t>
            </w:r>
            <w:r>
              <w:rPr>
                <w:rFonts w:hint="eastAsia" w:ascii="Times New Roman" w:hAnsi="Times New Roman" w:cs="Times New Roman"/>
                <w:color w:val="000000" w:themeColor="text1"/>
                <w:kern w:val="2"/>
                <w14:textFill>
                  <w14:solidFill>
                    <w14:schemeClr w14:val="tx1"/>
                  </w14:solidFill>
                </w14:textFill>
              </w:rPr>
              <w:t>年平均值和O</w:t>
            </w:r>
            <w:r>
              <w:rPr>
                <w:rFonts w:hint="eastAsia" w:ascii="Times New Roman" w:hAnsi="Times New Roman" w:cs="Times New Roman"/>
                <w:color w:val="000000" w:themeColor="text1"/>
                <w:kern w:val="2"/>
                <w:vertAlign w:val="subscript"/>
                <w14:textFill>
                  <w14:solidFill>
                    <w14:schemeClr w14:val="tx1"/>
                  </w14:solidFill>
                </w14:textFill>
              </w:rPr>
              <w:t>3</w:t>
            </w:r>
            <w:r>
              <w:rPr>
                <w:rFonts w:hint="eastAsia" w:ascii="Times New Roman" w:hAnsi="Times New Roman" w:cs="Times New Roman"/>
                <w:color w:val="000000" w:themeColor="text1"/>
                <w:kern w:val="2"/>
                <w14:textFill>
                  <w14:solidFill>
                    <w14:schemeClr w14:val="tx1"/>
                  </w14:solidFill>
                </w14:textFill>
              </w:rPr>
              <w:t>日最大8小时滑动平均值的第90百分位数超过《环境空气质量标准》（GB3095-2012）中二级标准，因此判定为非达标区域。</w:t>
            </w:r>
            <w:r>
              <w:rPr>
                <w:rFonts w:ascii="Times New Roman" w:hAnsi="Times New Roman" w:cs="Times New Roman"/>
                <w:color w:val="000000" w:themeColor="text1"/>
                <w14:textFill>
                  <w14:solidFill>
                    <w14:schemeClr w14:val="tx1"/>
                  </w14:solidFill>
                </w14:textFill>
              </w:rPr>
              <w:t>根据大气环境质量达标规划，通过进一步控制二氧化硫排放量，减少氮氧化物的排放量，控制扬尘污染，机动车尾气污染防治等措施，大气环境质量状况可以得到进一步改善。</w:t>
            </w:r>
          </w:p>
          <w:p>
            <w:pPr>
              <w:pStyle w:val="79"/>
              <w:spacing w:after="0" w:line="360" w:lineRule="auto"/>
              <w:ind w:firstLine="480" w:firstLineChars="200"/>
              <w:jc w:val="both"/>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14:textFill>
                  <w14:solidFill>
                    <w14:schemeClr w14:val="tx1"/>
                  </w14:solidFill>
                </w14:textFill>
              </w:rPr>
              <w:t>水环境：本项目污水受纳水体尧塘河2个断面各监测因子均能满足《地表水环境质量标准》（GB3838-2002）</w:t>
            </w:r>
            <w:r>
              <w:rPr>
                <w:rFonts w:hint="eastAsia" w:hAnsi="宋体"/>
                <w:color w:val="000000" w:themeColor="text1"/>
                <w14:textFill>
                  <w14:solidFill>
                    <w14:schemeClr w14:val="tx1"/>
                  </w14:solidFill>
                </w14:textFill>
              </w:rPr>
              <w:t>Ⅳ</w:t>
            </w:r>
            <w:r>
              <w:rPr>
                <w:rFonts w:ascii="Times New Roman" w:hAnsi="Times New Roman" w:cs="Times New Roman"/>
                <w:color w:val="000000" w:themeColor="text1"/>
                <w14:textFill>
                  <w14:solidFill>
                    <w14:schemeClr w14:val="tx1"/>
                  </w14:solidFill>
                </w14:textFill>
              </w:rPr>
              <w:t>类水标准要求；</w:t>
            </w:r>
          </w:p>
          <w:p>
            <w:pPr>
              <w:pStyle w:val="79"/>
              <w:spacing w:after="0" w:line="360" w:lineRule="auto"/>
              <w:ind w:firstLine="480" w:firstLineChars="200"/>
              <w:jc w:val="both"/>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14:textFill>
                  <w14:solidFill>
                    <w14:schemeClr w14:val="tx1"/>
                  </w14:solidFill>
                </w14:textFill>
              </w:rPr>
              <w:t>声环境：建设项目所在地各厂界</w:t>
            </w:r>
            <w:r>
              <w:rPr>
                <w:rFonts w:hint="eastAsia" w:ascii="Times New Roman" w:hAnsi="Times New Roman" w:cs="Times New Roman"/>
                <w:color w:val="000000" w:themeColor="text1"/>
                <w14:textFill>
                  <w14:solidFill>
                    <w14:schemeClr w14:val="tx1"/>
                  </w14:solidFill>
                </w14:textFill>
              </w:rPr>
              <w:t>声环境质量</w:t>
            </w:r>
            <w:r>
              <w:rPr>
                <w:rFonts w:ascii="Times New Roman" w:hAnsi="Times New Roman" w:cs="Times New Roman"/>
                <w:color w:val="000000" w:themeColor="text1"/>
                <w14:textFill>
                  <w14:solidFill>
                    <w14:schemeClr w14:val="tx1"/>
                  </w14:solidFill>
                </w14:textFill>
              </w:rPr>
              <w:t>监测结果符合《声环境质量标准》（GB3096-2008）中的</w:t>
            </w:r>
            <w:r>
              <w:rPr>
                <w:rFonts w:hint="eastAsia" w:ascii="Times New Roman" w:hAnsi="Times New Roman" w:cs="Times New Roman"/>
                <w:color w:val="000000" w:themeColor="text1"/>
                <w14:textFill>
                  <w14:solidFill>
                    <w14:schemeClr w14:val="tx1"/>
                  </w14:solidFill>
                </w14:textFill>
              </w:rPr>
              <w:t>3</w:t>
            </w:r>
            <w:r>
              <w:rPr>
                <w:rFonts w:ascii="Times New Roman" w:hAnsi="Times New Roman" w:cs="Times New Roman"/>
                <w:color w:val="000000" w:themeColor="text1"/>
                <w14:textFill>
                  <w14:solidFill>
                    <w14:schemeClr w14:val="tx1"/>
                  </w14:solidFill>
                </w14:textFill>
              </w:rPr>
              <w:t>类</w:t>
            </w:r>
            <w:r>
              <w:rPr>
                <w:rFonts w:hint="eastAsia" w:ascii="Times New Roman" w:hAnsi="Times New Roman" w:cs="Times New Roman"/>
                <w:color w:val="000000" w:themeColor="text1"/>
                <w14:textFill>
                  <w14:solidFill>
                    <w14:schemeClr w14:val="tx1"/>
                  </w14:solidFill>
                </w14:textFill>
              </w:rPr>
              <w:t>区限值</w:t>
            </w:r>
            <w:r>
              <w:rPr>
                <w:rFonts w:ascii="Times New Roman" w:hAnsi="Times New Roman" w:cs="Times New Roman"/>
                <w:color w:val="000000" w:themeColor="text1"/>
                <w14:textFill>
                  <w14:solidFill>
                    <w14:schemeClr w14:val="tx1"/>
                  </w14:solidFill>
                </w14:textFill>
              </w:rPr>
              <w:t>要求</w:t>
            </w:r>
            <w:r>
              <w:rPr>
                <w:rFonts w:hint="eastAsia" w:ascii="Times New Roman" w:hAnsi="Times New Roman" w:cs="Times New Roman"/>
                <w:color w:val="000000" w:themeColor="text1"/>
                <w14:textFill>
                  <w14:solidFill>
                    <w14:schemeClr w14:val="tx1"/>
                  </w14:solidFill>
                </w14:textFill>
              </w:rPr>
              <w:t>，敏感点宋庄声环境质量</w:t>
            </w:r>
            <w:r>
              <w:rPr>
                <w:rFonts w:ascii="Times New Roman" w:hAnsi="Times New Roman" w:cs="Times New Roman"/>
                <w:color w:val="000000" w:themeColor="text1"/>
                <w14:textFill>
                  <w14:solidFill>
                    <w14:schemeClr w14:val="tx1"/>
                  </w14:solidFill>
                </w14:textFill>
              </w:rPr>
              <w:t>监测结果符合《声环境质量标准》（GB3096-2008）中的</w:t>
            </w:r>
            <w:r>
              <w:rPr>
                <w:rFonts w:hint="eastAsia" w:ascii="Times New Roman" w:hAnsi="Times New Roman" w:cs="Times New Roman"/>
                <w:color w:val="000000" w:themeColor="text1"/>
                <w14:textFill>
                  <w14:solidFill>
                    <w14:schemeClr w14:val="tx1"/>
                  </w14:solidFill>
                </w14:textFill>
              </w:rPr>
              <w:t>2</w:t>
            </w:r>
            <w:r>
              <w:rPr>
                <w:rFonts w:ascii="Times New Roman" w:hAnsi="Times New Roman" w:cs="Times New Roman"/>
                <w:color w:val="000000" w:themeColor="text1"/>
                <w14:textFill>
                  <w14:solidFill>
                    <w14:schemeClr w14:val="tx1"/>
                  </w14:solidFill>
                </w14:textFill>
              </w:rPr>
              <w:t>类</w:t>
            </w:r>
            <w:r>
              <w:rPr>
                <w:rFonts w:hint="eastAsia" w:ascii="Times New Roman" w:hAnsi="Times New Roman" w:cs="Times New Roman"/>
                <w:color w:val="000000" w:themeColor="text1"/>
                <w14:textFill>
                  <w14:solidFill>
                    <w14:schemeClr w14:val="tx1"/>
                  </w14:solidFill>
                </w14:textFill>
              </w:rPr>
              <w:t>区限值</w:t>
            </w:r>
            <w:r>
              <w:rPr>
                <w:rFonts w:ascii="Times New Roman" w:hAnsi="Times New Roman" w:cs="Times New Roman"/>
                <w:color w:val="000000" w:themeColor="text1"/>
                <w14:textFill>
                  <w14:solidFill>
                    <w14:schemeClr w14:val="tx1"/>
                  </w14:solidFill>
                </w14:textFill>
              </w:rPr>
              <w:t>要求。</w:t>
            </w:r>
          </w:p>
          <w:p>
            <w:pPr>
              <w:pStyle w:val="79"/>
              <w:spacing w:after="0" w:line="360" w:lineRule="auto"/>
              <w:ind w:firstLine="480" w:firstLineChars="200"/>
              <w:jc w:val="both"/>
              <w:rPr>
                <w:color w:val="000000" w:themeColor="text1"/>
                <w:kern w:val="2"/>
                <w14:textFill>
                  <w14:solidFill>
                    <w14:schemeClr w14:val="tx1"/>
                  </w14:solidFill>
                </w14:textFill>
              </w:rPr>
            </w:pPr>
            <w:r>
              <w:rPr>
                <w:rFonts w:ascii="Times New Roman" w:hAnsi="Times New Roman" w:cs="Times New Roman"/>
                <w:color w:val="000000" w:themeColor="text1"/>
                <w14:textFill>
                  <w14:solidFill>
                    <w14:schemeClr w14:val="tx1"/>
                  </w14:solidFill>
                </w14:textFill>
              </w:rPr>
              <w:t>正常生产情况下，本项目生产过程中产生的废气能得到有效处理，不会对周边环境产生不良影响，不会改变</w:t>
            </w:r>
            <w:r>
              <w:rPr>
                <w:color w:val="000000" w:themeColor="text1"/>
                <w14:textFill>
                  <w14:solidFill>
                    <w14:schemeClr w14:val="tx1"/>
                  </w14:solidFill>
                </w14:textFill>
              </w:rPr>
              <w:t>区域环境功能区质</w:t>
            </w:r>
            <w:r>
              <w:rPr>
                <w:rFonts w:ascii="Times New Roman" w:hAnsi="Times New Roman" w:cs="Times New Roman"/>
                <w:color w:val="000000" w:themeColor="text1"/>
                <w14:textFill>
                  <w14:solidFill>
                    <w14:schemeClr w14:val="tx1"/>
                  </w14:solidFill>
                </w14:textFill>
              </w:rPr>
              <w:t>量要求，能维持环境功能区质量现状。设备生产噪声在采取隔声、减振措施后厂界可达标；</w:t>
            </w:r>
            <w:r>
              <w:rPr>
                <w:rFonts w:hint="eastAsia" w:ascii="Times New Roman" w:hAnsi="Times New Roman" w:cs="Times New Roman"/>
                <w:color w:val="000000" w:themeColor="text1"/>
                <w:kern w:val="2"/>
                <w:lang w:eastAsia="zh-CN"/>
                <w14:textFill>
                  <w14:solidFill>
                    <w14:schemeClr w14:val="tx1"/>
                  </w14:solidFill>
                </w14:textFill>
              </w:rPr>
              <w:t>粉尘经经半密闭的集气罩收集至1套布袋除尘器处理后经15m排气筒DA001高空排放，非甲烷总烃和极少量氯化氢经半密闭的集气罩收集至“二级活性炭吸附装置”（收集和处理效率为80%）处理后通过15m排气筒DA001高空排放，两股废气经1根排气筒排放</w:t>
            </w:r>
            <w:r>
              <w:rPr>
                <w:rFonts w:ascii="Times New Roman" w:hAnsi="Times New Roman" w:cs="Times New Roman"/>
                <w:color w:val="000000" w:themeColor="text1"/>
                <w:kern w:val="2"/>
                <w14:textFill>
                  <w14:solidFill>
                    <w14:schemeClr w14:val="tx1"/>
                  </w14:solidFill>
                </w14:textFill>
              </w:rPr>
              <w:t>，对大气环境影响较小；生</w:t>
            </w:r>
            <w:r>
              <w:rPr>
                <w:color w:val="000000" w:themeColor="text1"/>
                <w:kern w:val="2"/>
                <w14:textFill>
                  <w14:solidFill>
                    <w14:schemeClr w14:val="tx1"/>
                  </w14:solidFill>
                </w14:textFill>
              </w:rPr>
              <w:t>活污水经化粪池收集预处理后</w:t>
            </w:r>
            <w:r>
              <w:rPr>
                <w:rFonts w:hint="eastAsia"/>
                <w:color w:val="000000" w:themeColor="text1"/>
                <w:kern w:val="2"/>
                <w14:textFill>
                  <w14:solidFill>
                    <w14:schemeClr w14:val="tx1"/>
                  </w14:solidFill>
                </w14:textFill>
              </w:rPr>
              <w:t>依托</w:t>
            </w:r>
            <w:r>
              <w:rPr>
                <w:rFonts w:hint="eastAsia"/>
                <w:color w:val="000000" w:themeColor="text1"/>
                <w:kern w:val="2"/>
                <w:lang w:eastAsia="zh-CN"/>
                <w14:textFill>
                  <w14:solidFill>
                    <w14:schemeClr w14:val="tx1"/>
                  </w14:solidFill>
                </w14:textFill>
              </w:rPr>
              <w:t>智谷科技园</w:t>
            </w:r>
            <w:r>
              <w:rPr>
                <w:rFonts w:hint="eastAsia"/>
                <w:color w:val="000000" w:themeColor="text1"/>
                <w:kern w:val="2"/>
                <w14:textFill>
                  <w14:solidFill>
                    <w14:schemeClr w14:val="tx1"/>
                  </w14:solidFill>
                </w14:textFill>
              </w:rPr>
              <w:t>污水排放口</w:t>
            </w:r>
            <w:r>
              <w:rPr>
                <w:color w:val="000000" w:themeColor="text1"/>
                <w:kern w:val="2"/>
                <w14:textFill>
                  <w14:solidFill>
                    <w14:schemeClr w14:val="tx1"/>
                  </w14:solidFill>
                </w14:textFill>
              </w:rPr>
              <w:t>接管至金坛区第二污水处理厂集中处理；固体废物均按照要求委托相关单位进行妥善处置。上述措施确保拟建项目污染物排放对环境的影响降到最低，不会突破环境质量底线，改变区域环境功能区</w:t>
            </w:r>
            <w:r>
              <w:rPr>
                <w:color w:val="000000" w:themeColor="text1"/>
                <w14:textFill>
                  <w14:solidFill>
                    <w14:schemeClr w14:val="tx1"/>
                  </w14:solidFill>
                </w14:textFill>
              </w:rPr>
              <w:t>。</w:t>
            </w:r>
          </w:p>
          <w:p>
            <w:pPr>
              <w:pStyle w:val="288"/>
              <w:adjustRightInd w:val="0"/>
              <w:snapToGrid w:val="0"/>
              <w:ind w:firstLine="480"/>
              <w:rPr>
                <w:color w:val="000000" w:themeColor="text1"/>
                <w:kern w:val="2"/>
                <w:szCs w:val="24"/>
                <w14:textFill>
                  <w14:solidFill>
                    <w14:schemeClr w14:val="tx1"/>
                  </w14:solidFill>
                </w14:textFill>
              </w:rPr>
            </w:pPr>
            <w:r>
              <w:rPr>
                <w:color w:val="000000" w:themeColor="text1"/>
                <w:kern w:val="2"/>
                <w:szCs w:val="24"/>
                <w14:textFill>
                  <w14:solidFill>
                    <w14:schemeClr w14:val="tx1"/>
                  </w14:solidFill>
                </w14:textFill>
              </w:rPr>
              <w:t>（3）资源利用上线相符性</w:t>
            </w:r>
          </w:p>
          <w:p>
            <w:pPr>
              <w:pStyle w:val="288"/>
              <w:adjustRightInd w:val="0"/>
              <w:snapToGrid w:val="0"/>
              <w:ind w:firstLine="480"/>
              <w:rPr>
                <w:color w:val="000000" w:themeColor="text1"/>
                <w:kern w:val="2"/>
                <w:szCs w:val="24"/>
                <w14:textFill>
                  <w14:solidFill>
                    <w14:schemeClr w14:val="tx1"/>
                  </w14:solidFill>
                </w14:textFill>
              </w:rPr>
            </w:pPr>
            <w:r>
              <w:rPr>
                <w:color w:val="000000" w:themeColor="text1"/>
                <w:kern w:val="2"/>
                <w:szCs w:val="24"/>
                <w14:textFill>
                  <w14:solidFill>
                    <w14:schemeClr w14:val="tx1"/>
                  </w14:solidFill>
                </w14:textFill>
              </w:rPr>
              <w:t>项目位于</w:t>
            </w:r>
            <w:r>
              <w:rPr>
                <w:rFonts w:hint="eastAsia"/>
                <w:color w:val="000000" w:themeColor="text1"/>
                <w:kern w:val="2"/>
                <w:szCs w:val="24"/>
                <w:lang w:eastAsia="zh-CN"/>
                <w14:textFill>
                  <w14:solidFill>
                    <w14:schemeClr w14:val="tx1"/>
                  </w14:solidFill>
                </w14:textFill>
              </w:rPr>
              <w:t>金坛经济开发区复兴路智谷科技园4号楼2楼西</w:t>
            </w:r>
            <w:r>
              <w:rPr>
                <w:color w:val="000000" w:themeColor="text1"/>
                <w:szCs w:val="24"/>
                <w14:textFill>
                  <w14:solidFill>
                    <w14:schemeClr w14:val="tx1"/>
                  </w14:solidFill>
                </w14:textFill>
              </w:rPr>
              <w:t>，</w:t>
            </w:r>
            <w:r>
              <w:rPr>
                <w:color w:val="000000" w:themeColor="text1"/>
                <w:kern w:val="2"/>
                <w:szCs w:val="24"/>
                <w14:textFill>
                  <w14:solidFill>
                    <w14:schemeClr w14:val="tx1"/>
                  </w14:solidFill>
                </w14:textFill>
              </w:rPr>
              <w:t>用水来源为区域给水管网，用电为</w:t>
            </w:r>
            <w:r>
              <w:rPr>
                <w:color w:val="000000" w:themeColor="text1"/>
                <w:szCs w:val="21"/>
                <w14:textFill>
                  <w14:solidFill>
                    <w14:schemeClr w14:val="tx1"/>
                  </w14:solidFill>
                </w14:textFill>
              </w:rPr>
              <w:t>区域供电站</w:t>
            </w:r>
            <w:r>
              <w:rPr>
                <w:color w:val="000000" w:themeColor="text1"/>
                <w:kern w:val="2"/>
                <w:szCs w:val="24"/>
                <w14:textFill>
                  <w14:solidFill>
                    <w14:schemeClr w14:val="tx1"/>
                  </w14:solidFill>
                </w14:textFill>
              </w:rPr>
              <w:t>。</w:t>
            </w:r>
          </w:p>
          <w:p>
            <w:pPr>
              <w:pStyle w:val="288"/>
              <w:adjustRightInd w:val="0"/>
              <w:snapToGrid w:val="0"/>
              <w:ind w:firstLine="480"/>
              <w:rPr>
                <w:color w:val="000000" w:themeColor="text1"/>
                <w:kern w:val="2"/>
                <w:szCs w:val="24"/>
                <w14:textFill>
                  <w14:solidFill>
                    <w14:schemeClr w14:val="tx1"/>
                  </w14:solidFill>
                </w14:textFill>
              </w:rPr>
            </w:pPr>
            <w:r>
              <w:rPr>
                <w:color w:val="000000" w:themeColor="text1"/>
                <w:szCs w:val="24"/>
                <w14:textFill>
                  <w14:solidFill>
                    <w14:schemeClr w14:val="tx1"/>
                  </w14:solidFill>
                </w14:textFill>
              </w:rPr>
              <w:t>项目使用的水电量均较小，</w:t>
            </w:r>
            <w:r>
              <w:rPr>
                <w:color w:val="000000" w:themeColor="text1"/>
                <w:kern w:val="2"/>
                <w:szCs w:val="24"/>
                <w14:textFill>
                  <w14:solidFill>
                    <w14:schemeClr w14:val="tx1"/>
                  </w14:solidFill>
                </w14:textFill>
              </w:rPr>
              <w:t>给水管网、供电管网均可满足本项目的使用要求。项目所需的原材料均可就近购买，因此建设项目与资源利用上线相符。</w:t>
            </w:r>
          </w:p>
          <w:p>
            <w:pPr>
              <w:pStyle w:val="288"/>
              <w:adjustRightInd w:val="0"/>
              <w:snapToGrid w:val="0"/>
              <w:ind w:firstLine="480"/>
              <w:rPr>
                <w:color w:val="000000" w:themeColor="text1"/>
                <w:kern w:val="2"/>
                <w:szCs w:val="24"/>
                <w14:textFill>
                  <w14:solidFill>
                    <w14:schemeClr w14:val="tx1"/>
                  </w14:solidFill>
                </w14:textFill>
              </w:rPr>
            </w:pPr>
            <w:r>
              <w:rPr>
                <w:color w:val="000000" w:themeColor="text1"/>
                <w:kern w:val="2"/>
                <w:szCs w:val="24"/>
                <w14:textFill>
                  <w14:solidFill>
                    <w14:schemeClr w14:val="tx1"/>
                  </w14:solidFill>
                </w14:textFill>
              </w:rPr>
              <w:t>（4）环境准入负面清单相符性分析</w:t>
            </w:r>
          </w:p>
          <w:p>
            <w:pPr>
              <w:pStyle w:val="288"/>
              <w:adjustRightInd w:val="0"/>
              <w:snapToGrid w:val="0"/>
              <w:ind w:firstLine="480"/>
              <w:rPr>
                <w:color w:val="000000" w:themeColor="text1"/>
                <w:kern w:val="2"/>
                <w:szCs w:val="24"/>
                <w14:textFill>
                  <w14:solidFill>
                    <w14:schemeClr w14:val="tx1"/>
                  </w14:solidFill>
                </w14:textFill>
              </w:rPr>
            </w:pPr>
            <w:r>
              <w:rPr>
                <w:rFonts w:hint="eastAsia"/>
                <w:color w:val="000000" w:themeColor="text1"/>
                <w:kern w:val="2"/>
                <w:szCs w:val="24"/>
                <w14:textFill>
                  <w14:solidFill>
                    <w14:schemeClr w14:val="tx1"/>
                  </w14:solidFill>
                </w14:textFill>
              </w:rPr>
              <w:t>金坛区尚未颁布环境准入负面清单，本次环评对照国家、地方相关产业政策、市场准入负面清单（2018版）、长江经济带发展负面清单指南等文件分析。详见下表。</w:t>
            </w:r>
          </w:p>
          <w:p>
            <w:pPr>
              <w:tabs>
                <w:tab w:val="left" w:pos="960"/>
              </w:tabs>
              <w:jc w:val="center"/>
              <w:rPr>
                <w:b/>
                <w:bCs/>
                <w:color w:val="000000" w:themeColor="text1"/>
                <w:spacing w:val="-4"/>
                <w:szCs w:val="21"/>
                <w14:textFill>
                  <w14:solidFill>
                    <w14:schemeClr w14:val="tx1"/>
                  </w14:solidFill>
                </w14:textFill>
              </w:rPr>
            </w:pPr>
            <w:r>
              <w:rPr>
                <w:b/>
                <w:bCs/>
                <w:color w:val="000000" w:themeColor="text1"/>
                <w:spacing w:val="-4"/>
                <w:szCs w:val="21"/>
                <w14:textFill>
                  <w14:solidFill>
                    <w14:schemeClr w14:val="tx1"/>
                  </w14:solidFill>
                </w14:textFill>
              </w:rPr>
              <w:t>表1-</w:t>
            </w:r>
            <w:r>
              <w:rPr>
                <w:rFonts w:hint="eastAsia"/>
                <w:b/>
                <w:bCs/>
                <w:color w:val="000000" w:themeColor="text1"/>
                <w:spacing w:val="-4"/>
                <w:szCs w:val="21"/>
                <w14:textFill>
                  <w14:solidFill>
                    <w14:schemeClr w14:val="tx1"/>
                  </w14:solidFill>
                </w14:textFill>
              </w:rPr>
              <w:t>9</w:t>
            </w:r>
            <w:r>
              <w:rPr>
                <w:b/>
                <w:bCs/>
                <w:color w:val="000000" w:themeColor="text1"/>
                <w:spacing w:val="-4"/>
                <w:szCs w:val="21"/>
                <w14:textFill>
                  <w14:solidFill>
                    <w14:schemeClr w14:val="tx1"/>
                  </w14:solidFill>
                </w14:textFill>
              </w:rPr>
              <w:t xml:space="preserve">  环境准入负面清单对照</w:t>
            </w:r>
          </w:p>
          <w:tbl>
            <w:tblPr>
              <w:tblStyle w:val="56"/>
              <w:tblW w:w="8307" w:type="dxa"/>
              <w:tblInd w:w="0" w:type="dxa"/>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0" w:type="dxa"/>
                <w:bottom w:w="0" w:type="dxa"/>
                <w:right w:w="0" w:type="dxa"/>
              </w:tblCellMar>
            </w:tblPr>
            <w:tblGrid>
              <w:gridCol w:w="650"/>
              <w:gridCol w:w="6489"/>
              <w:gridCol w:w="1168"/>
            </w:tblGrid>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PrEx>
              <w:trPr>
                <w:trHeight w:val="340" w:hRule="atLeast"/>
              </w:trPr>
              <w:tc>
                <w:tcPr>
                  <w:tcW w:w="650" w:type="dxa"/>
                  <w:tcBorders>
                    <w:top w:val="single" w:color="auto" w:sz="12" w:space="0"/>
                    <w:left w:val="nil"/>
                    <w:bottom w:val="single" w:color="auto" w:sz="4" w:space="0"/>
                    <w:right w:val="single" w:color="auto" w:sz="4" w:space="0"/>
                  </w:tcBorders>
                  <w:vAlign w:val="center"/>
                </w:tcPr>
                <w:p>
                  <w:pPr>
                    <w:snapToGrid w:val="0"/>
                    <w:ind w:right="63" w:rightChars="30"/>
                    <w:jc w:val="center"/>
                    <w:rPr>
                      <w:b/>
                      <w:bCs/>
                      <w:color w:val="auto"/>
                      <w:szCs w:val="21"/>
                    </w:rPr>
                  </w:pPr>
                  <w:r>
                    <w:rPr>
                      <w:b/>
                      <w:bCs/>
                      <w:color w:val="auto"/>
                      <w:szCs w:val="21"/>
                    </w:rPr>
                    <w:t>序号</w:t>
                  </w:r>
                </w:p>
              </w:tc>
              <w:tc>
                <w:tcPr>
                  <w:tcW w:w="6489" w:type="dxa"/>
                  <w:tcBorders>
                    <w:top w:val="single" w:color="auto" w:sz="12" w:space="0"/>
                    <w:left w:val="single" w:color="auto" w:sz="4" w:space="0"/>
                    <w:bottom w:val="single" w:color="auto" w:sz="4" w:space="0"/>
                    <w:right w:val="single" w:color="auto" w:sz="4" w:space="0"/>
                  </w:tcBorders>
                  <w:vAlign w:val="center"/>
                </w:tcPr>
                <w:p>
                  <w:pPr>
                    <w:snapToGrid w:val="0"/>
                    <w:ind w:right="63" w:rightChars="30"/>
                    <w:jc w:val="center"/>
                    <w:rPr>
                      <w:b/>
                      <w:bCs/>
                      <w:color w:val="auto"/>
                      <w:szCs w:val="21"/>
                    </w:rPr>
                  </w:pPr>
                  <w:r>
                    <w:rPr>
                      <w:b/>
                      <w:bCs/>
                      <w:color w:val="auto"/>
                      <w:szCs w:val="21"/>
                    </w:rPr>
                    <w:t>法律、法规、政策文件等</w:t>
                  </w:r>
                </w:p>
              </w:tc>
              <w:tc>
                <w:tcPr>
                  <w:tcW w:w="1168" w:type="dxa"/>
                  <w:tcBorders>
                    <w:top w:val="single" w:color="auto" w:sz="12" w:space="0"/>
                    <w:left w:val="single" w:color="auto" w:sz="4" w:space="0"/>
                    <w:bottom w:val="single" w:color="auto" w:sz="4" w:space="0"/>
                    <w:right w:val="nil"/>
                  </w:tcBorders>
                  <w:vAlign w:val="center"/>
                </w:tcPr>
                <w:p>
                  <w:pPr>
                    <w:snapToGrid w:val="0"/>
                    <w:ind w:right="63" w:rightChars="30"/>
                    <w:jc w:val="center"/>
                    <w:rPr>
                      <w:b/>
                      <w:bCs/>
                      <w:color w:val="auto"/>
                      <w:szCs w:val="21"/>
                    </w:rPr>
                  </w:pPr>
                  <w:r>
                    <w:rPr>
                      <w:b/>
                      <w:bCs/>
                      <w:color w:val="auto"/>
                      <w:szCs w:val="21"/>
                    </w:rPr>
                    <w:t>是否属于</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340" w:hRule="atLeast"/>
              </w:trPr>
              <w:tc>
                <w:tcPr>
                  <w:tcW w:w="650" w:type="dxa"/>
                  <w:tcBorders>
                    <w:top w:val="single" w:color="auto" w:sz="4" w:space="0"/>
                    <w:left w:val="nil"/>
                    <w:bottom w:val="single" w:color="auto" w:sz="4" w:space="0"/>
                    <w:right w:val="single" w:color="auto" w:sz="4" w:space="0"/>
                  </w:tcBorders>
                  <w:vAlign w:val="center"/>
                </w:tcPr>
                <w:p>
                  <w:pPr>
                    <w:snapToGrid w:val="0"/>
                    <w:ind w:right="63" w:rightChars="30"/>
                    <w:jc w:val="center"/>
                    <w:rPr>
                      <w:bCs/>
                      <w:color w:val="auto"/>
                      <w:szCs w:val="21"/>
                    </w:rPr>
                  </w:pPr>
                  <w:r>
                    <w:rPr>
                      <w:bCs/>
                      <w:color w:val="auto"/>
                      <w:szCs w:val="21"/>
                    </w:rPr>
                    <w:t>1</w:t>
                  </w:r>
                </w:p>
              </w:tc>
              <w:tc>
                <w:tcPr>
                  <w:tcW w:w="6489" w:type="dxa"/>
                  <w:tcBorders>
                    <w:top w:val="single" w:color="auto" w:sz="4" w:space="0"/>
                    <w:left w:val="single" w:color="auto" w:sz="4" w:space="0"/>
                    <w:bottom w:val="single" w:color="auto" w:sz="4" w:space="0"/>
                    <w:right w:val="single" w:color="auto" w:sz="4" w:space="0"/>
                  </w:tcBorders>
                  <w:vAlign w:val="center"/>
                </w:tcPr>
                <w:p>
                  <w:pPr>
                    <w:snapToGrid w:val="0"/>
                    <w:ind w:right="63" w:rightChars="30"/>
                    <w:jc w:val="center"/>
                    <w:rPr>
                      <w:bCs/>
                      <w:color w:val="auto"/>
                      <w:szCs w:val="21"/>
                    </w:rPr>
                  </w:pPr>
                  <w:r>
                    <w:rPr>
                      <w:rFonts w:hint="eastAsia"/>
                      <w:bCs/>
                      <w:color w:val="auto"/>
                      <w:szCs w:val="21"/>
                    </w:rPr>
                    <w:t>属于《江苏省生态空间保护区域》中规定的位于国家级生态保护红线和生态空间管控区域内与保护主要生态功能无关的开发建设项目、属于国家级生态保护红线和生态空间管控区域禁止从事的开发建设项目</w:t>
                  </w:r>
                </w:p>
              </w:tc>
              <w:tc>
                <w:tcPr>
                  <w:tcW w:w="1168" w:type="dxa"/>
                  <w:tcBorders>
                    <w:top w:val="single" w:color="auto" w:sz="4" w:space="0"/>
                    <w:left w:val="single" w:color="auto" w:sz="4" w:space="0"/>
                    <w:bottom w:val="single" w:color="auto" w:sz="4" w:space="0"/>
                    <w:right w:val="nil"/>
                  </w:tcBorders>
                  <w:vAlign w:val="center"/>
                </w:tcPr>
                <w:p>
                  <w:pPr>
                    <w:snapToGrid w:val="0"/>
                    <w:ind w:right="63" w:rightChars="30"/>
                    <w:jc w:val="center"/>
                    <w:rPr>
                      <w:bCs/>
                      <w:color w:val="auto"/>
                      <w:szCs w:val="21"/>
                    </w:rPr>
                  </w:pPr>
                  <w:r>
                    <w:rPr>
                      <w:bCs/>
                      <w:color w:val="auto"/>
                      <w:szCs w:val="21"/>
                    </w:rPr>
                    <w:t>不属于</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340" w:hRule="atLeast"/>
              </w:trPr>
              <w:tc>
                <w:tcPr>
                  <w:tcW w:w="650" w:type="dxa"/>
                  <w:tcBorders>
                    <w:top w:val="single" w:color="auto" w:sz="4" w:space="0"/>
                    <w:left w:val="nil"/>
                    <w:bottom w:val="single" w:color="auto" w:sz="4" w:space="0"/>
                    <w:right w:val="single" w:color="auto" w:sz="4" w:space="0"/>
                  </w:tcBorders>
                  <w:vAlign w:val="center"/>
                </w:tcPr>
                <w:p>
                  <w:pPr>
                    <w:snapToGrid w:val="0"/>
                    <w:ind w:right="63" w:rightChars="30"/>
                    <w:jc w:val="center"/>
                    <w:rPr>
                      <w:bCs/>
                      <w:color w:val="auto"/>
                      <w:szCs w:val="21"/>
                    </w:rPr>
                  </w:pPr>
                  <w:r>
                    <w:rPr>
                      <w:bCs/>
                      <w:color w:val="auto"/>
                      <w:szCs w:val="21"/>
                    </w:rPr>
                    <w:t>2</w:t>
                  </w:r>
                </w:p>
              </w:tc>
              <w:tc>
                <w:tcPr>
                  <w:tcW w:w="6489" w:type="dxa"/>
                  <w:tcBorders>
                    <w:top w:val="single" w:color="auto" w:sz="4" w:space="0"/>
                    <w:left w:val="single" w:color="auto" w:sz="4" w:space="0"/>
                    <w:bottom w:val="single" w:color="auto" w:sz="4" w:space="0"/>
                    <w:right w:val="single" w:color="auto" w:sz="4" w:space="0"/>
                  </w:tcBorders>
                  <w:vAlign w:val="center"/>
                </w:tcPr>
                <w:p>
                  <w:pPr>
                    <w:snapToGrid w:val="0"/>
                    <w:ind w:right="63" w:rightChars="30"/>
                    <w:jc w:val="center"/>
                    <w:rPr>
                      <w:bCs/>
                      <w:color w:val="auto"/>
                      <w:szCs w:val="21"/>
                    </w:rPr>
                  </w:pPr>
                  <w:r>
                    <w:rPr>
                      <w:bCs/>
                      <w:color w:val="auto"/>
                      <w:szCs w:val="21"/>
                    </w:rPr>
                    <w:t>属于《江苏省人民代表大会常务委员会关于加强饮用水源地保护的决定》中规定的位于饮用水源准保护区、二级保护区、一级保护区内禁止从事的开发建设项目</w:t>
                  </w:r>
                </w:p>
              </w:tc>
              <w:tc>
                <w:tcPr>
                  <w:tcW w:w="1168" w:type="dxa"/>
                  <w:tcBorders>
                    <w:top w:val="single" w:color="auto" w:sz="4" w:space="0"/>
                    <w:left w:val="single" w:color="auto" w:sz="4" w:space="0"/>
                    <w:bottom w:val="single" w:color="auto" w:sz="4" w:space="0"/>
                    <w:right w:val="nil"/>
                  </w:tcBorders>
                  <w:vAlign w:val="center"/>
                </w:tcPr>
                <w:p>
                  <w:pPr>
                    <w:snapToGrid w:val="0"/>
                    <w:ind w:right="63" w:rightChars="30"/>
                    <w:jc w:val="center"/>
                    <w:rPr>
                      <w:bCs/>
                      <w:color w:val="auto"/>
                      <w:szCs w:val="21"/>
                    </w:rPr>
                  </w:pPr>
                  <w:r>
                    <w:rPr>
                      <w:bCs/>
                      <w:color w:val="auto"/>
                      <w:szCs w:val="21"/>
                    </w:rPr>
                    <w:t>不属于</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340" w:hRule="atLeast"/>
              </w:trPr>
              <w:tc>
                <w:tcPr>
                  <w:tcW w:w="650" w:type="dxa"/>
                  <w:tcBorders>
                    <w:top w:val="single" w:color="auto" w:sz="4" w:space="0"/>
                    <w:left w:val="nil"/>
                    <w:bottom w:val="single" w:color="auto" w:sz="4" w:space="0"/>
                    <w:right w:val="single" w:color="auto" w:sz="4" w:space="0"/>
                  </w:tcBorders>
                  <w:vAlign w:val="center"/>
                </w:tcPr>
                <w:p>
                  <w:pPr>
                    <w:snapToGrid w:val="0"/>
                    <w:ind w:right="63" w:rightChars="30"/>
                    <w:jc w:val="center"/>
                    <w:rPr>
                      <w:bCs/>
                      <w:color w:val="auto"/>
                      <w:szCs w:val="21"/>
                    </w:rPr>
                  </w:pPr>
                  <w:r>
                    <w:rPr>
                      <w:bCs/>
                      <w:color w:val="auto"/>
                      <w:szCs w:val="21"/>
                    </w:rPr>
                    <w:t>3</w:t>
                  </w:r>
                </w:p>
              </w:tc>
              <w:tc>
                <w:tcPr>
                  <w:tcW w:w="6489" w:type="dxa"/>
                  <w:tcBorders>
                    <w:top w:val="single" w:color="auto" w:sz="4" w:space="0"/>
                    <w:left w:val="single" w:color="auto" w:sz="4" w:space="0"/>
                    <w:bottom w:val="single" w:color="auto" w:sz="4" w:space="0"/>
                    <w:right w:val="single" w:color="auto" w:sz="4" w:space="0"/>
                  </w:tcBorders>
                  <w:vAlign w:val="center"/>
                </w:tcPr>
                <w:p>
                  <w:pPr>
                    <w:snapToGrid w:val="0"/>
                    <w:ind w:right="63" w:rightChars="30"/>
                    <w:jc w:val="center"/>
                    <w:rPr>
                      <w:bCs/>
                      <w:color w:val="auto"/>
                      <w:szCs w:val="21"/>
                    </w:rPr>
                  </w:pPr>
                  <w:r>
                    <w:rPr>
                      <w:bCs/>
                      <w:color w:val="auto"/>
                      <w:szCs w:val="21"/>
                    </w:rPr>
                    <w:t>不符合城市总体规划、土地利用规划、环境保护规划的建设项目</w:t>
                  </w:r>
                </w:p>
              </w:tc>
              <w:tc>
                <w:tcPr>
                  <w:tcW w:w="1168" w:type="dxa"/>
                  <w:tcBorders>
                    <w:top w:val="single" w:color="auto" w:sz="4" w:space="0"/>
                    <w:left w:val="single" w:color="auto" w:sz="4" w:space="0"/>
                    <w:bottom w:val="single" w:color="auto" w:sz="4" w:space="0"/>
                    <w:right w:val="nil"/>
                  </w:tcBorders>
                  <w:vAlign w:val="center"/>
                </w:tcPr>
                <w:p>
                  <w:pPr>
                    <w:snapToGrid w:val="0"/>
                    <w:ind w:right="63" w:rightChars="30"/>
                    <w:jc w:val="center"/>
                    <w:rPr>
                      <w:bCs/>
                      <w:color w:val="auto"/>
                      <w:szCs w:val="21"/>
                    </w:rPr>
                  </w:pPr>
                  <w:r>
                    <w:rPr>
                      <w:bCs/>
                      <w:color w:val="auto"/>
                      <w:szCs w:val="21"/>
                    </w:rPr>
                    <w:t>不属于</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340" w:hRule="atLeast"/>
              </w:trPr>
              <w:tc>
                <w:tcPr>
                  <w:tcW w:w="650" w:type="dxa"/>
                  <w:tcBorders>
                    <w:top w:val="single" w:color="auto" w:sz="4" w:space="0"/>
                    <w:left w:val="nil"/>
                    <w:bottom w:val="single" w:color="auto" w:sz="4" w:space="0"/>
                    <w:right w:val="single" w:color="auto" w:sz="4" w:space="0"/>
                  </w:tcBorders>
                  <w:vAlign w:val="center"/>
                </w:tcPr>
                <w:p>
                  <w:pPr>
                    <w:snapToGrid w:val="0"/>
                    <w:ind w:right="63" w:rightChars="30"/>
                    <w:jc w:val="center"/>
                    <w:rPr>
                      <w:bCs/>
                      <w:color w:val="auto"/>
                      <w:szCs w:val="21"/>
                    </w:rPr>
                  </w:pPr>
                  <w:r>
                    <w:rPr>
                      <w:bCs/>
                      <w:color w:val="auto"/>
                      <w:szCs w:val="21"/>
                    </w:rPr>
                    <w:t>4</w:t>
                  </w:r>
                </w:p>
              </w:tc>
              <w:tc>
                <w:tcPr>
                  <w:tcW w:w="6489" w:type="dxa"/>
                  <w:tcBorders>
                    <w:top w:val="single" w:color="auto" w:sz="4" w:space="0"/>
                    <w:left w:val="single" w:color="auto" w:sz="4" w:space="0"/>
                    <w:bottom w:val="single" w:color="auto" w:sz="4" w:space="0"/>
                    <w:right w:val="single" w:color="auto" w:sz="4" w:space="0"/>
                  </w:tcBorders>
                  <w:vAlign w:val="center"/>
                </w:tcPr>
                <w:p>
                  <w:pPr>
                    <w:snapToGrid w:val="0"/>
                    <w:ind w:right="63" w:rightChars="30"/>
                    <w:jc w:val="center"/>
                    <w:rPr>
                      <w:bCs/>
                      <w:color w:val="auto"/>
                      <w:szCs w:val="21"/>
                    </w:rPr>
                  </w:pPr>
                  <w:r>
                    <w:rPr>
                      <w:color w:val="auto"/>
                      <w:kern w:val="0"/>
                      <w:szCs w:val="21"/>
                    </w:rPr>
                    <w:t>环境污染严重、污染物排放总量指标未落实的项目</w:t>
                  </w:r>
                </w:p>
              </w:tc>
              <w:tc>
                <w:tcPr>
                  <w:tcW w:w="1168" w:type="dxa"/>
                  <w:tcBorders>
                    <w:top w:val="single" w:color="auto" w:sz="4" w:space="0"/>
                    <w:left w:val="single" w:color="auto" w:sz="4" w:space="0"/>
                    <w:bottom w:val="single" w:color="auto" w:sz="4" w:space="0"/>
                    <w:right w:val="nil"/>
                  </w:tcBorders>
                  <w:vAlign w:val="center"/>
                </w:tcPr>
                <w:p>
                  <w:pPr>
                    <w:snapToGrid w:val="0"/>
                    <w:ind w:right="63" w:rightChars="30"/>
                    <w:jc w:val="center"/>
                    <w:rPr>
                      <w:bCs/>
                      <w:color w:val="auto"/>
                      <w:szCs w:val="21"/>
                    </w:rPr>
                  </w:pPr>
                  <w:r>
                    <w:rPr>
                      <w:bCs/>
                      <w:color w:val="auto"/>
                      <w:szCs w:val="21"/>
                    </w:rPr>
                    <w:t>不属于</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340" w:hRule="atLeast"/>
              </w:trPr>
              <w:tc>
                <w:tcPr>
                  <w:tcW w:w="650" w:type="dxa"/>
                  <w:tcBorders>
                    <w:top w:val="single" w:color="auto" w:sz="4" w:space="0"/>
                    <w:left w:val="nil"/>
                    <w:bottom w:val="single" w:color="auto" w:sz="4" w:space="0"/>
                    <w:right w:val="single" w:color="auto" w:sz="4" w:space="0"/>
                  </w:tcBorders>
                  <w:vAlign w:val="center"/>
                </w:tcPr>
                <w:p>
                  <w:pPr>
                    <w:snapToGrid w:val="0"/>
                    <w:ind w:right="63" w:rightChars="30"/>
                    <w:jc w:val="center"/>
                    <w:rPr>
                      <w:bCs/>
                      <w:color w:val="auto"/>
                      <w:szCs w:val="21"/>
                    </w:rPr>
                  </w:pPr>
                  <w:r>
                    <w:rPr>
                      <w:bCs/>
                      <w:color w:val="auto"/>
                      <w:szCs w:val="21"/>
                    </w:rPr>
                    <w:t>5</w:t>
                  </w:r>
                </w:p>
              </w:tc>
              <w:tc>
                <w:tcPr>
                  <w:tcW w:w="6489" w:type="dxa"/>
                  <w:tcBorders>
                    <w:top w:val="single" w:color="auto" w:sz="4" w:space="0"/>
                    <w:left w:val="single" w:color="auto" w:sz="4" w:space="0"/>
                    <w:bottom w:val="single" w:color="auto" w:sz="4" w:space="0"/>
                    <w:right w:val="single" w:color="auto" w:sz="4" w:space="0"/>
                  </w:tcBorders>
                  <w:vAlign w:val="center"/>
                </w:tcPr>
                <w:p>
                  <w:pPr>
                    <w:snapToGrid w:val="0"/>
                    <w:ind w:right="63" w:rightChars="30"/>
                    <w:jc w:val="center"/>
                    <w:rPr>
                      <w:bCs/>
                      <w:color w:val="auto"/>
                      <w:szCs w:val="21"/>
                    </w:rPr>
                  </w:pPr>
                  <w:r>
                    <w:rPr>
                      <w:color w:val="auto"/>
                      <w:kern w:val="0"/>
                      <w:szCs w:val="21"/>
                    </w:rPr>
                    <w:t>国家、江苏省明确规定不得审批的建设项目</w:t>
                  </w:r>
                </w:p>
              </w:tc>
              <w:tc>
                <w:tcPr>
                  <w:tcW w:w="1168" w:type="dxa"/>
                  <w:tcBorders>
                    <w:top w:val="single" w:color="auto" w:sz="4" w:space="0"/>
                    <w:left w:val="single" w:color="auto" w:sz="4" w:space="0"/>
                    <w:bottom w:val="single" w:color="auto" w:sz="4" w:space="0"/>
                    <w:right w:val="nil"/>
                  </w:tcBorders>
                  <w:vAlign w:val="center"/>
                </w:tcPr>
                <w:p>
                  <w:pPr>
                    <w:snapToGrid w:val="0"/>
                    <w:ind w:right="63" w:rightChars="30"/>
                    <w:jc w:val="center"/>
                    <w:rPr>
                      <w:bCs/>
                      <w:color w:val="auto"/>
                      <w:szCs w:val="21"/>
                    </w:rPr>
                  </w:pPr>
                  <w:r>
                    <w:rPr>
                      <w:bCs/>
                      <w:color w:val="auto"/>
                      <w:szCs w:val="21"/>
                    </w:rPr>
                    <w:t>不属于</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340" w:hRule="atLeast"/>
              </w:trPr>
              <w:tc>
                <w:tcPr>
                  <w:tcW w:w="650" w:type="dxa"/>
                  <w:tcBorders>
                    <w:top w:val="single" w:color="auto" w:sz="4" w:space="0"/>
                    <w:left w:val="nil"/>
                    <w:bottom w:val="single" w:color="auto" w:sz="4" w:space="0"/>
                    <w:right w:val="single" w:color="auto" w:sz="4" w:space="0"/>
                  </w:tcBorders>
                  <w:vAlign w:val="center"/>
                </w:tcPr>
                <w:p>
                  <w:pPr>
                    <w:snapToGrid w:val="0"/>
                    <w:ind w:right="63" w:rightChars="30"/>
                    <w:jc w:val="center"/>
                    <w:rPr>
                      <w:bCs/>
                      <w:color w:val="auto"/>
                      <w:szCs w:val="21"/>
                    </w:rPr>
                  </w:pPr>
                  <w:r>
                    <w:rPr>
                      <w:bCs/>
                      <w:color w:val="auto"/>
                      <w:szCs w:val="21"/>
                    </w:rPr>
                    <w:t>6</w:t>
                  </w:r>
                </w:p>
              </w:tc>
              <w:tc>
                <w:tcPr>
                  <w:tcW w:w="6489" w:type="dxa"/>
                  <w:tcBorders>
                    <w:top w:val="single" w:color="auto" w:sz="4" w:space="0"/>
                    <w:left w:val="single" w:color="auto" w:sz="4" w:space="0"/>
                    <w:bottom w:val="single" w:color="auto" w:sz="4" w:space="0"/>
                    <w:right w:val="single" w:color="auto" w:sz="4" w:space="0"/>
                  </w:tcBorders>
                  <w:vAlign w:val="center"/>
                </w:tcPr>
                <w:p>
                  <w:pPr>
                    <w:snapToGrid w:val="0"/>
                    <w:ind w:right="63" w:rightChars="30"/>
                    <w:jc w:val="center"/>
                    <w:rPr>
                      <w:color w:val="auto"/>
                      <w:kern w:val="0"/>
                      <w:szCs w:val="21"/>
                    </w:rPr>
                  </w:pPr>
                  <w:r>
                    <w:rPr>
                      <w:color w:val="auto"/>
                      <w:kern w:val="0"/>
                      <w:szCs w:val="21"/>
                    </w:rPr>
                    <w:t>根据</w:t>
                  </w:r>
                  <w:r>
                    <w:rPr>
                      <w:color w:val="auto"/>
                      <w:szCs w:val="24"/>
                    </w:rPr>
                    <w:t>市场准入负面清单（201</w:t>
                  </w:r>
                  <w:r>
                    <w:rPr>
                      <w:rFonts w:hint="eastAsia"/>
                      <w:color w:val="auto"/>
                      <w:szCs w:val="24"/>
                      <w:lang w:val="en-US" w:eastAsia="zh-CN"/>
                    </w:rPr>
                    <w:t>9</w:t>
                  </w:r>
                  <w:r>
                    <w:rPr>
                      <w:color w:val="auto"/>
                      <w:szCs w:val="24"/>
                    </w:rPr>
                    <w:t>版），本项目不属于“禁止准入类”。</w:t>
                  </w:r>
                </w:p>
              </w:tc>
              <w:tc>
                <w:tcPr>
                  <w:tcW w:w="1168" w:type="dxa"/>
                  <w:tcBorders>
                    <w:top w:val="single" w:color="auto" w:sz="4" w:space="0"/>
                    <w:left w:val="single" w:color="auto" w:sz="4" w:space="0"/>
                    <w:bottom w:val="single" w:color="auto" w:sz="4" w:space="0"/>
                    <w:right w:val="nil"/>
                  </w:tcBorders>
                  <w:vAlign w:val="center"/>
                </w:tcPr>
                <w:p>
                  <w:pPr>
                    <w:snapToGrid w:val="0"/>
                    <w:ind w:right="63" w:rightChars="30"/>
                    <w:jc w:val="center"/>
                    <w:rPr>
                      <w:bCs/>
                      <w:color w:val="auto"/>
                      <w:szCs w:val="21"/>
                    </w:rPr>
                  </w:pPr>
                  <w:r>
                    <w:rPr>
                      <w:bCs/>
                      <w:color w:val="auto"/>
                      <w:szCs w:val="21"/>
                    </w:rPr>
                    <w:t>不属于</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340" w:hRule="atLeast"/>
              </w:trPr>
              <w:tc>
                <w:tcPr>
                  <w:tcW w:w="650" w:type="dxa"/>
                  <w:tcBorders>
                    <w:top w:val="single" w:color="auto" w:sz="4" w:space="0"/>
                    <w:left w:val="nil"/>
                    <w:bottom w:val="single" w:color="auto" w:sz="12" w:space="0"/>
                    <w:right w:val="single" w:color="auto" w:sz="4" w:space="0"/>
                  </w:tcBorders>
                  <w:vAlign w:val="center"/>
                </w:tcPr>
                <w:p>
                  <w:pPr>
                    <w:snapToGrid w:val="0"/>
                    <w:ind w:right="63" w:rightChars="30"/>
                    <w:jc w:val="center"/>
                    <w:rPr>
                      <w:bCs/>
                      <w:color w:val="auto"/>
                      <w:szCs w:val="21"/>
                    </w:rPr>
                  </w:pPr>
                  <w:r>
                    <w:rPr>
                      <w:bCs/>
                      <w:color w:val="auto"/>
                      <w:szCs w:val="21"/>
                    </w:rPr>
                    <w:t>7</w:t>
                  </w:r>
                </w:p>
              </w:tc>
              <w:tc>
                <w:tcPr>
                  <w:tcW w:w="6489" w:type="dxa"/>
                  <w:tcBorders>
                    <w:top w:val="single" w:color="auto" w:sz="4" w:space="0"/>
                    <w:left w:val="single" w:color="auto" w:sz="4" w:space="0"/>
                    <w:bottom w:val="single" w:color="auto" w:sz="12" w:space="0"/>
                    <w:right w:val="single" w:color="auto" w:sz="4" w:space="0"/>
                  </w:tcBorders>
                  <w:vAlign w:val="center"/>
                </w:tcPr>
                <w:p>
                  <w:pPr>
                    <w:snapToGrid w:val="0"/>
                    <w:ind w:right="63" w:rightChars="30"/>
                    <w:jc w:val="center"/>
                    <w:rPr>
                      <w:color w:val="auto"/>
                      <w:kern w:val="0"/>
                      <w:szCs w:val="21"/>
                    </w:rPr>
                  </w:pPr>
                  <w:r>
                    <w:rPr>
                      <w:color w:val="auto"/>
                      <w:kern w:val="0"/>
                      <w:szCs w:val="21"/>
                    </w:rPr>
                    <w:t>根据《金坛经济开发区发展规划环境影响报告书》审查意见，机械装备、电子行业禁止引进电镀、表面处理类项目，化工行业禁止引进与盐化工及下游产品生产不相关的化工项目、农药项目，新材料禁止引进太阳能电池切片、钢铁等传统型金属材料、水泥等传统型非金属材料的生产项目，纺织禁止引进废水排放量较大的纯印染和纯染整类企业和项目</w:t>
                  </w:r>
                </w:p>
              </w:tc>
              <w:tc>
                <w:tcPr>
                  <w:tcW w:w="1168" w:type="dxa"/>
                  <w:tcBorders>
                    <w:top w:val="single" w:color="auto" w:sz="4" w:space="0"/>
                    <w:left w:val="single" w:color="auto" w:sz="4" w:space="0"/>
                    <w:bottom w:val="single" w:color="auto" w:sz="12" w:space="0"/>
                    <w:right w:val="nil"/>
                  </w:tcBorders>
                  <w:vAlign w:val="center"/>
                </w:tcPr>
                <w:p>
                  <w:pPr>
                    <w:snapToGrid w:val="0"/>
                    <w:ind w:right="63" w:rightChars="30"/>
                    <w:jc w:val="center"/>
                    <w:rPr>
                      <w:bCs/>
                      <w:color w:val="auto"/>
                      <w:szCs w:val="21"/>
                    </w:rPr>
                  </w:pPr>
                  <w:r>
                    <w:rPr>
                      <w:bCs/>
                      <w:color w:val="auto"/>
                      <w:szCs w:val="21"/>
                    </w:rPr>
                    <w:t>不属于禁止引进项目</w:t>
                  </w:r>
                </w:p>
              </w:tc>
            </w:tr>
          </w:tbl>
          <w:p>
            <w:pPr>
              <w:ind w:firstLine="482"/>
              <w:jc w:val="center"/>
              <w:rPr>
                <w:b/>
                <w:color w:val="000000" w:themeColor="text1"/>
                <w:szCs w:val="24"/>
                <w14:textFill>
                  <w14:solidFill>
                    <w14:schemeClr w14:val="tx1"/>
                  </w14:solidFill>
                </w14:textFill>
              </w:rPr>
            </w:pPr>
            <w:r>
              <w:rPr>
                <w:b/>
                <w:color w:val="000000" w:themeColor="text1"/>
                <w:szCs w:val="24"/>
                <w14:textFill>
                  <w14:solidFill>
                    <w14:schemeClr w14:val="tx1"/>
                  </w14:solidFill>
                </w14:textFill>
              </w:rPr>
              <w:t>表1-</w:t>
            </w:r>
            <w:r>
              <w:rPr>
                <w:rFonts w:hint="eastAsia"/>
                <w:b/>
                <w:color w:val="000000" w:themeColor="text1"/>
                <w:szCs w:val="24"/>
                <w14:textFill>
                  <w14:solidFill>
                    <w14:schemeClr w14:val="tx1"/>
                  </w14:solidFill>
                </w14:textFill>
              </w:rPr>
              <w:t>10</w:t>
            </w:r>
            <w:r>
              <w:rPr>
                <w:b/>
                <w:color w:val="000000" w:themeColor="text1"/>
                <w:szCs w:val="24"/>
                <w14:textFill>
                  <w14:solidFill>
                    <w14:schemeClr w14:val="tx1"/>
                  </w14:solidFill>
                </w14:textFill>
              </w:rPr>
              <w:t>长江经济带发展负面清单指南（试行）负面清单</w:t>
            </w:r>
          </w:p>
          <w:tbl>
            <w:tblPr>
              <w:tblStyle w:val="56"/>
              <w:tblW w:w="0" w:type="auto"/>
              <w:tblInd w:w="0" w:type="dxa"/>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622"/>
              <w:gridCol w:w="3868"/>
              <w:gridCol w:w="2880"/>
              <w:gridCol w:w="942"/>
            </w:tblGrid>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622" w:type="dxa"/>
                  <w:vAlign w:val="center"/>
                </w:tcPr>
                <w:p>
                  <w:pPr>
                    <w:spacing w:before="93" w:beforeLines="30" w:after="93" w:afterLines="30"/>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序号</w:t>
                  </w:r>
                </w:p>
              </w:tc>
              <w:tc>
                <w:tcPr>
                  <w:tcW w:w="3868" w:type="dxa"/>
                  <w:vAlign w:val="center"/>
                </w:tcPr>
                <w:p>
                  <w:pPr>
                    <w:spacing w:before="93" w:beforeLines="30" w:after="93" w:afterLines="30"/>
                    <w:jc w:val="center"/>
                    <w:rPr>
                      <w:b/>
                      <w:color w:val="000000" w:themeColor="text1"/>
                      <w:szCs w:val="21"/>
                      <w14:textFill>
                        <w14:solidFill>
                          <w14:schemeClr w14:val="tx1"/>
                        </w14:solidFill>
                      </w14:textFill>
                    </w:rPr>
                  </w:pPr>
                  <w:r>
                    <w:rPr>
                      <w:rFonts w:hint="eastAsia"/>
                      <w:b/>
                      <w:color w:val="000000" w:themeColor="text1"/>
                      <w:szCs w:val="21"/>
                      <w14:textFill>
                        <w14:solidFill>
                          <w14:schemeClr w14:val="tx1"/>
                        </w14:solidFill>
                      </w14:textFill>
                    </w:rPr>
                    <w:t>文件要求</w:t>
                  </w:r>
                </w:p>
              </w:tc>
              <w:tc>
                <w:tcPr>
                  <w:tcW w:w="2880" w:type="dxa"/>
                  <w:vAlign w:val="center"/>
                </w:tcPr>
                <w:p>
                  <w:pPr>
                    <w:spacing w:before="93" w:beforeLines="30" w:after="93" w:afterLines="30"/>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本项目相关内容</w:t>
                  </w:r>
                </w:p>
              </w:tc>
              <w:tc>
                <w:tcPr>
                  <w:tcW w:w="942" w:type="dxa"/>
                  <w:vAlign w:val="center"/>
                </w:tcPr>
                <w:p>
                  <w:pPr>
                    <w:spacing w:before="93" w:beforeLines="30" w:after="93" w:afterLines="30"/>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相符性</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622" w:type="dxa"/>
                  <w:vAlign w:val="center"/>
                </w:tcPr>
                <w:p>
                  <w:pPr>
                    <w:spacing w:before="93" w:beforeLines="30" w:after="93" w:afterLines="30"/>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1</w:t>
                  </w:r>
                </w:p>
              </w:tc>
              <w:tc>
                <w:tcPr>
                  <w:tcW w:w="3868" w:type="dxa"/>
                  <w:vAlign w:val="center"/>
                </w:tcPr>
                <w:p>
                  <w:pPr>
                    <w:spacing w:before="93" w:beforeLines="30" w:after="93" w:afterLines="30"/>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禁止在合规园区外建设、扩建钢铁、石化、化工、焦化、建材、有色等高污染项目</w:t>
                  </w:r>
                </w:p>
              </w:tc>
              <w:tc>
                <w:tcPr>
                  <w:tcW w:w="2880" w:type="dxa"/>
                  <w:vAlign w:val="center"/>
                </w:tcPr>
                <w:p>
                  <w:pPr>
                    <w:spacing w:before="93" w:beforeLines="30" w:after="93" w:afterLines="30"/>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本项目位于江苏省金坛</w:t>
                  </w:r>
                  <w:r>
                    <w:rPr>
                      <w:rFonts w:hint="eastAsia"/>
                      <w:color w:val="000000" w:themeColor="text1"/>
                      <w:szCs w:val="21"/>
                      <w:lang w:eastAsia="zh-CN"/>
                      <w14:textFill>
                        <w14:solidFill>
                          <w14:schemeClr w14:val="tx1"/>
                        </w14:solidFill>
                      </w14:textFill>
                    </w:rPr>
                    <w:t>经济开发区</w:t>
                  </w:r>
                  <w:r>
                    <w:rPr>
                      <w:color w:val="000000" w:themeColor="text1"/>
                      <w:szCs w:val="21"/>
                      <w14:textFill>
                        <w14:solidFill>
                          <w14:schemeClr w14:val="tx1"/>
                        </w14:solidFill>
                      </w14:textFill>
                    </w:rPr>
                    <w:t>，为合规园区</w:t>
                  </w:r>
                  <w:r>
                    <w:rPr>
                      <w:rFonts w:hint="eastAsia"/>
                      <w:color w:val="000000" w:themeColor="text1"/>
                      <w:szCs w:val="21"/>
                      <w14:textFill>
                        <w14:solidFill>
                          <w14:schemeClr w14:val="tx1"/>
                        </w14:solidFill>
                      </w14:textFill>
                    </w:rPr>
                    <w:t>；</w:t>
                  </w:r>
                  <w:r>
                    <w:rPr>
                      <w:color w:val="000000" w:themeColor="text1"/>
                      <w:szCs w:val="21"/>
                      <w14:textFill>
                        <w14:solidFill>
                          <w14:schemeClr w14:val="tx1"/>
                        </w14:solidFill>
                      </w14:textFill>
                    </w:rPr>
                    <w:t>且本项目不属于高污染项目。</w:t>
                  </w:r>
                </w:p>
              </w:tc>
              <w:tc>
                <w:tcPr>
                  <w:tcW w:w="942" w:type="dxa"/>
                  <w:vAlign w:val="center"/>
                </w:tcPr>
                <w:p>
                  <w:pPr>
                    <w:spacing w:before="93" w:beforeLines="30" w:after="93" w:afterLines="30"/>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不属于</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622" w:type="dxa"/>
                  <w:vAlign w:val="center"/>
                </w:tcPr>
                <w:p>
                  <w:pPr>
                    <w:spacing w:before="93" w:beforeLines="30" w:after="93" w:afterLines="30"/>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2</w:t>
                  </w:r>
                </w:p>
              </w:tc>
              <w:tc>
                <w:tcPr>
                  <w:tcW w:w="3868" w:type="dxa"/>
                  <w:vAlign w:val="center"/>
                </w:tcPr>
                <w:p>
                  <w:pPr>
                    <w:spacing w:before="93" w:beforeLines="30" w:after="93" w:afterLines="30"/>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禁止新建、扩建法律法规和相关政策明令制止的落后产能项目</w:t>
                  </w:r>
                </w:p>
              </w:tc>
              <w:tc>
                <w:tcPr>
                  <w:tcW w:w="2880" w:type="dxa"/>
                  <w:vAlign w:val="center"/>
                </w:tcPr>
                <w:p>
                  <w:pPr>
                    <w:spacing w:before="93" w:beforeLines="30" w:after="93" w:afterLines="30"/>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本项目符合国家、地方产业政策，不属于法律法规和相关政策明令禁止的落后产能项目。</w:t>
                  </w:r>
                </w:p>
              </w:tc>
              <w:tc>
                <w:tcPr>
                  <w:tcW w:w="942" w:type="dxa"/>
                  <w:vAlign w:val="center"/>
                </w:tcPr>
                <w:p>
                  <w:pPr>
                    <w:spacing w:before="93" w:beforeLines="30" w:after="93" w:afterLines="30"/>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不属于</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622" w:type="dxa"/>
                  <w:vAlign w:val="center"/>
                </w:tcPr>
                <w:p>
                  <w:pPr>
                    <w:spacing w:before="93" w:beforeLines="30" w:after="93" w:afterLines="30"/>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3</w:t>
                  </w:r>
                </w:p>
              </w:tc>
              <w:tc>
                <w:tcPr>
                  <w:tcW w:w="3868" w:type="dxa"/>
                  <w:vAlign w:val="center"/>
                </w:tcPr>
                <w:p>
                  <w:pPr>
                    <w:spacing w:before="93" w:beforeLines="30" w:after="93" w:afterLines="30"/>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禁止新建、扩建不符合国家产能置换要求的严重过剩产能行业的项目</w:t>
                  </w:r>
                </w:p>
              </w:tc>
              <w:tc>
                <w:tcPr>
                  <w:tcW w:w="2880" w:type="dxa"/>
                  <w:vAlign w:val="center"/>
                </w:tcPr>
                <w:p>
                  <w:pPr>
                    <w:spacing w:before="93" w:beforeLines="30" w:after="93" w:afterLines="30"/>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本项目不属于严重过剩产能行业</w:t>
                  </w:r>
                </w:p>
              </w:tc>
              <w:tc>
                <w:tcPr>
                  <w:tcW w:w="942" w:type="dxa"/>
                  <w:vAlign w:val="center"/>
                </w:tcPr>
                <w:p>
                  <w:pPr>
                    <w:spacing w:before="93" w:beforeLines="30" w:after="93" w:afterLines="30"/>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不属于</w:t>
                  </w:r>
                </w:p>
              </w:tc>
            </w:tr>
          </w:tbl>
          <w:p>
            <w:pPr>
              <w:adjustRightInd w:val="0"/>
              <w:snapToGrid w:val="0"/>
              <w:ind w:firstLine="482"/>
              <w:jc w:val="center"/>
              <w:rPr>
                <w:b/>
                <w:color w:val="000000" w:themeColor="text1"/>
                <w:szCs w:val="24"/>
                <w14:textFill>
                  <w14:solidFill>
                    <w14:schemeClr w14:val="tx1"/>
                  </w14:solidFill>
                </w14:textFill>
              </w:rPr>
            </w:pPr>
            <w:r>
              <w:rPr>
                <w:b/>
                <w:color w:val="000000" w:themeColor="text1"/>
                <w:szCs w:val="24"/>
                <w14:textFill>
                  <w14:solidFill>
                    <w14:schemeClr w14:val="tx1"/>
                  </w14:solidFill>
                </w14:textFill>
              </w:rPr>
              <w:t>表1-</w:t>
            </w:r>
            <w:r>
              <w:rPr>
                <w:rFonts w:hint="eastAsia"/>
                <w:b/>
                <w:color w:val="000000" w:themeColor="text1"/>
                <w:szCs w:val="24"/>
                <w14:textFill>
                  <w14:solidFill>
                    <w14:schemeClr w14:val="tx1"/>
                  </w14:solidFill>
                </w14:textFill>
              </w:rPr>
              <w:t xml:space="preserve">11 </w:t>
            </w:r>
            <w:r>
              <w:rPr>
                <w:b/>
                <w:color w:val="000000" w:themeColor="text1"/>
                <w:szCs w:val="24"/>
                <w14:textFill>
                  <w14:solidFill>
                    <w14:schemeClr w14:val="tx1"/>
                  </w14:solidFill>
                </w14:textFill>
              </w:rPr>
              <w:t>长江经济带发展负面清单指南江苏省实施细则（试行）负面清单</w:t>
            </w:r>
          </w:p>
          <w:tbl>
            <w:tblPr>
              <w:tblStyle w:val="56"/>
              <w:tblW w:w="0" w:type="auto"/>
              <w:tblInd w:w="0" w:type="dxa"/>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620"/>
              <w:gridCol w:w="3945"/>
              <w:gridCol w:w="2850"/>
              <w:gridCol w:w="897"/>
            </w:tblGrid>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620" w:type="dxa"/>
                  <w:vAlign w:val="center"/>
                </w:tcPr>
                <w:p>
                  <w:pPr>
                    <w:spacing w:before="93" w:beforeLines="30" w:after="93" w:afterLines="30"/>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序号</w:t>
                  </w:r>
                </w:p>
              </w:tc>
              <w:tc>
                <w:tcPr>
                  <w:tcW w:w="3945" w:type="dxa"/>
                  <w:vAlign w:val="center"/>
                </w:tcPr>
                <w:p>
                  <w:pPr>
                    <w:spacing w:before="93" w:beforeLines="30" w:after="93" w:afterLines="30"/>
                    <w:jc w:val="center"/>
                    <w:rPr>
                      <w:b/>
                      <w:color w:val="000000" w:themeColor="text1"/>
                      <w:szCs w:val="21"/>
                      <w14:textFill>
                        <w14:solidFill>
                          <w14:schemeClr w14:val="tx1"/>
                        </w14:solidFill>
                      </w14:textFill>
                    </w:rPr>
                  </w:pPr>
                  <w:r>
                    <w:rPr>
                      <w:rFonts w:hint="eastAsia"/>
                      <w:b/>
                      <w:color w:val="000000" w:themeColor="text1"/>
                      <w:szCs w:val="21"/>
                      <w14:textFill>
                        <w14:solidFill>
                          <w14:schemeClr w14:val="tx1"/>
                        </w14:solidFill>
                      </w14:textFill>
                    </w:rPr>
                    <w:t>文件要求</w:t>
                  </w:r>
                </w:p>
              </w:tc>
              <w:tc>
                <w:tcPr>
                  <w:tcW w:w="2850" w:type="dxa"/>
                  <w:vAlign w:val="center"/>
                </w:tcPr>
                <w:p>
                  <w:pPr>
                    <w:spacing w:before="93" w:beforeLines="30" w:after="93" w:afterLines="30"/>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本项目相关内容</w:t>
                  </w:r>
                </w:p>
              </w:tc>
              <w:tc>
                <w:tcPr>
                  <w:tcW w:w="897" w:type="dxa"/>
                  <w:vAlign w:val="center"/>
                </w:tcPr>
                <w:p>
                  <w:pPr>
                    <w:spacing w:before="93" w:beforeLines="30" w:after="93" w:afterLines="30"/>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相符性</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620" w:type="dxa"/>
                  <w:vAlign w:val="center"/>
                </w:tcPr>
                <w:p>
                  <w:pPr>
                    <w:spacing w:before="93" w:beforeLines="30" w:after="93" w:afterLines="30"/>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1</w:t>
                  </w:r>
                </w:p>
              </w:tc>
              <w:tc>
                <w:tcPr>
                  <w:tcW w:w="3945" w:type="dxa"/>
                  <w:vAlign w:val="center"/>
                </w:tcPr>
                <w:p>
                  <w:pPr>
                    <w:spacing w:before="93" w:beforeLines="30" w:after="93" w:afterLines="30"/>
                    <w:jc w:val="center"/>
                    <w:rPr>
                      <w:color w:val="000000" w:themeColor="text1"/>
                      <w:szCs w:val="21"/>
                      <w14:textFill>
                        <w14:solidFill>
                          <w14:schemeClr w14:val="tx1"/>
                        </w14:solidFill>
                      </w14:textFill>
                    </w:rPr>
                  </w:pPr>
                  <w:r>
                    <w:rPr>
                      <w:b/>
                      <w:bCs/>
                      <w:color w:val="000000" w:themeColor="text1"/>
                      <w:szCs w:val="21"/>
                      <w14:textFill>
                        <w14:solidFill>
                          <w14:schemeClr w14:val="tx1"/>
                        </w14:solidFill>
                      </w14:textFill>
                    </w:rPr>
                    <w:t>禁止在合规园区外建设、扩建钢铁、石化、化工、焦化、建材、有色等高污染项目。</w:t>
                  </w:r>
                  <w:r>
                    <w:rPr>
                      <w:color w:val="000000" w:themeColor="text1"/>
                      <w:szCs w:val="21"/>
                      <w14:textFill>
                        <w14:solidFill>
                          <w14:schemeClr w14:val="tx1"/>
                        </w14:solidFill>
                      </w14:textFill>
                    </w:rPr>
                    <w:t>合规园区名录按照《江苏省长江经济带发展负面清单实施细则（试行）合规园区名录》执行。高污染项目营严格按照《环境保护综合名录》等有关要求执行。</w:t>
                  </w:r>
                </w:p>
              </w:tc>
              <w:tc>
                <w:tcPr>
                  <w:tcW w:w="2850" w:type="dxa"/>
                  <w:vAlign w:val="center"/>
                </w:tcPr>
                <w:p>
                  <w:pPr>
                    <w:spacing w:before="93" w:beforeLines="30" w:after="93" w:afterLines="30"/>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本项目位于本项目位于</w:t>
                  </w:r>
                  <w:r>
                    <w:rPr>
                      <w:rFonts w:hint="eastAsia"/>
                      <w:color w:val="000000" w:themeColor="text1"/>
                      <w:szCs w:val="21"/>
                      <w:lang w:eastAsia="zh-CN"/>
                      <w14:textFill>
                        <w14:solidFill>
                          <w14:schemeClr w14:val="tx1"/>
                        </w14:solidFill>
                      </w14:textFill>
                    </w:rPr>
                    <w:t>江苏省金坛经济开发区</w:t>
                  </w:r>
                  <w:r>
                    <w:rPr>
                      <w:color w:val="000000" w:themeColor="text1"/>
                      <w:szCs w:val="21"/>
                      <w14:textFill>
                        <w14:solidFill>
                          <w14:schemeClr w14:val="tx1"/>
                        </w14:solidFill>
                      </w14:textFill>
                    </w:rPr>
                    <w:t>（苏环审【2015】52</w:t>
                  </w:r>
                  <w:r>
                    <w:rPr>
                      <w:rFonts w:hint="eastAsia"/>
                      <w:color w:val="000000" w:themeColor="text1"/>
                      <w:szCs w:val="21"/>
                      <w14:textFill>
                        <w14:solidFill>
                          <w14:schemeClr w14:val="tx1"/>
                        </w14:solidFill>
                      </w14:textFill>
                    </w:rPr>
                    <w:t>号</w:t>
                  </w:r>
                  <w:r>
                    <w:rPr>
                      <w:color w:val="000000" w:themeColor="text1"/>
                      <w:szCs w:val="21"/>
                      <w14:textFill>
                        <w14:solidFill>
                          <w14:schemeClr w14:val="tx1"/>
                        </w14:solidFill>
                      </w14:textFill>
                    </w:rPr>
                    <w:t>），且本项目不属于《环境保护综合名录》中高污染项目。</w:t>
                  </w:r>
                </w:p>
              </w:tc>
              <w:tc>
                <w:tcPr>
                  <w:tcW w:w="897" w:type="dxa"/>
                  <w:vAlign w:val="center"/>
                </w:tcPr>
                <w:p>
                  <w:pPr>
                    <w:spacing w:before="93" w:beforeLines="30" w:after="93" w:afterLines="30"/>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相符</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620" w:type="dxa"/>
                  <w:vAlign w:val="center"/>
                </w:tcPr>
                <w:p>
                  <w:pPr>
                    <w:spacing w:before="93" w:beforeLines="30" w:after="93" w:afterLines="30"/>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2</w:t>
                  </w:r>
                </w:p>
              </w:tc>
              <w:tc>
                <w:tcPr>
                  <w:tcW w:w="3945" w:type="dxa"/>
                  <w:vAlign w:val="center"/>
                </w:tcPr>
                <w:p>
                  <w:pPr>
                    <w:spacing w:before="93" w:beforeLines="30" w:after="93" w:afterLines="30"/>
                    <w:jc w:val="center"/>
                    <w:rPr>
                      <w:color w:val="000000" w:themeColor="text1"/>
                      <w:szCs w:val="21"/>
                      <w14:textFill>
                        <w14:solidFill>
                          <w14:schemeClr w14:val="tx1"/>
                        </w14:solidFill>
                      </w14:textFill>
                    </w:rPr>
                  </w:pPr>
                  <w:r>
                    <w:rPr>
                      <w:b/>
                      <w:bCs/>
                      <w:color w:val="000000" w:themeColor="text1"/>
                      <w:szCs w:val="21"/>
                      <w14:textFill>
                        <w14:solidFill>
                          <w14:schemeClr w14:val="tx1"/>
                        </w14:solidFill>
                      </w14:textFill>
                    </w:rPr>
                    <w:t>禁止新建、扩建法律法规和相关政策明令制止的落后产能项目。</w:t>
                  </w:r>
                  <w:r>
                    <w:rPr>
                      <w:color w:val="000000" w:themeColor="text1"/>
                      <w:szCs w:val="21"/>
                      <w14:textFill>
                        <w14:solidFill>
                          <w14:schemeClr w14:val="tx1"/>
                        </w14:solidFill>
                      </w14:textFill>
                    </w:rPr>
                    <w:t>禁止新建、扩建国家《产业结构调整指导目录》《江苏省产业结构调整限制、淘汰和禁止目录》明确的限制类、淘汰类、禁止类项目，法律法规和相关政策明令禁止的落后产能项目及明令淘汰的安全生产落后工艺及装备项目。</w:t>
                  </w:r>
                </w:p>
              </w:tc>
              <w:tc>
                <w:tcPr>
                  <w:tcW w:w="2850" w:type="dxa"/>
                  <w:vAlign w:val="center"/>
                </w:tcPr>
                <w:p>
                  <w:pPr>
                    <w:spacing w:before="93" w:beforeLines="30" w:after="93" w:afterLines="30"/>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本项目符合国家、地方产业政策，不属于法律法规和相关政策明令禁止的落后产能项目。</w:t>
                  </w:r>
                </w:p>
              </w:tc>
              <w:tc>
                <w:tcPr>
                  <w:tcW w:w="897" w:type="dxa"/>
                  <w:vAlign w:val="center"/>
                </w:tcPr>
                <w:p>
                  <w:pPr>
                    <w:spacing w:before="93" w:beforeLines="30" w:after="93" w:afterLines="30"/>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相符</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620" w:type="dxa"/>
                  <w:vAlign w:val="center"/>
                </w:tcPr>
                <w:p>
                  <w:pPr>
                    <w:spacing w:before="93" w:beforeLines="30" w:after="93" w:afterLines="30"/>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3</w:t>
                  </w:r>
                </w:p>
              </w:tc>
              <w:tc>
                <w:tcPr>
                  <w:tcW w:w="3945" w:type="dxa"/>
                  <w:vAlign w:val="center"/>
                </w:tcPr>
                <w:p>
                  <w:pPr>
                    <w:spacing w:before="93" w:beforeLines="30" w:after="93" w:afterLines="30"/>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禁止新建、扩建不符合国家产能置换要求的严重过剩产能行业的项目</w:t>
                  </w:r>
                </w:p>
              </w:tc>
              <w:tc>
                <w:tcPr>
                  <w:tcW w:w="2850" w:type="dxa"/>
                  <w:vAlign w:val="center"/>
                </w:tcPr>
                <w:p>
                  <w:pPr>
                    <w:spacing w:before="93" w:beforeLines="30" w:after="93" w:afterLines="30"/>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本项目不属于严重过剩产能行业</w:t>
                  </w:r>
                </w:p>
              </w:tc>
              <w:tc>
                <w:tcPr>
                  <w:tcW w:w="897" w:type="dxa"/>
                  <w:vAlign w:val="center"/>
                </w:tcPr>
                <w:p>
                  <w:pPr>
                    <w:spacing w:before="93" w:beforeLines="30" w:after="93" w:afterLines="30"/>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相符</w:t>
                  </w:r>
                </w:p>
              </w:tc>
            </w:tr>
          </w:tbl>
          <w:p>
            <w:pPr>
              <w:spacing w:line="360" w:lineRule="auto"/>
              <w:ind w:firstLine="480" w:firstLineChars="200"/>
              <w:rPr>
                <w:color w:val="000000" w:themeColor="text1"/>
                <w:sz w:val="24"/>
                <w14:textFill>
                  <w14:solidFill>
                    <w14:schemeClr w14:val="tx1"/>
                  </w14:solidFill>
                </w14:textFill>
              </w:rPr>
            </w:pPr>
            <w:r>
              <w:rPr>
                <w:color w:val="000000" w:themeColor="text1"/>
                <w:sz w:val="24"/>
                <w14:textFill>
                  <w14:solidFill>
                    <w14:schemeClr w14:val="tx1"/>
                  </w14:solidFill>
                </w14:textFill>
              </w:rPr>
              <w:t>综上所述，建设项目满足生态保护红线、环境质量底线以及资源利用上限的要求，并且不在区域环境准入负面清单中。</w:t>
            </w:r>
          </w:p>
          <w:p>
            <w:pPr>
              <w:adjustRightInd w:val="0"/>
              <w:spacing w:line="360" w:lineRule="auto"/>
              <w:ind w:firstLine="456" w:firstLineChars="200"/>
              <w:rPr>
                <w:color w:val="000000" w:themeColor="text1"/>
                <w:spacing w:val="-6"/>
                <w:sz w:val="24"/>
                <w14:textFill>
                  <w14:solidFill>
                    <w14:schemeClr w14:val="tx1"/>
                  </w14:solidFill>
                </w14:textFill>
              </w:rPr>
            </w:pPr>
            <w:r>
              <w:rPr>
                <w:color w:val="000000" w:themeColor="text1"/>
                <w:spacing w:val="-6"/>
                <w:sz w:val="24"/>
                <w14:textFill>
                  <w14:solidFill>
                    <w14:schemeClr w14:val="tx1"/>
                  </w14:solidFill>
                </w14:textFill>
              </w:rPr>
              <w:t>综上，本项目建设满足“三线一单”的要求。</w:t>
            </w:r>
          </w:p>
          <w:p>
            <w:pPr>
              <w:pStyle w:val="288"/>
              <w:adjustRightInd w:val="0"/>
              <w:snapToGrid w:val="0"/>
              <w:ind w:firstLine="482"/>
              <w:rPr>
                <w:b/>
                <w:bCs/>
                <w:color w:val="000000" w:themeColor="text1"/>
                <w:kern w:val="2"/>
                <w:szCs w:val="24"/>
                <w14:textFill>
                  <w14:solidFill>
                    <w14:schemeClr w14:val="tx1"/>
                  </w14:solidFill>
                </w14:textFill>
              </w:rPr>
            </w:pPr>
            <w:r>
              <w:rPr>
                <w:rFonts w:hint="eastAsia"/>
                <w:b/>
                <w:bCs/>
                <w:color w:val="000000" w:themeColor="text1"/>
                <w:kern w:val="2"/>
                <w:szCs w:val="24"/>
                <w14:textFill>
                  <w14:solidFill>
                    <w14:schemeClr w14:val="tx1"/>
                  </w14:solidFill>
                </w14:textFill>
              </w:rPr>
              <w:t>12、与《江苏省“三线一单”生态环境分区管控方案》（苏政发〔2020〕49号）相符性分析</w:t>
            </w:r>
          </w:p>
          <w:p>
            <w:pPr>
              <w:spacing w:line="360" w:lineRule="auto"/>
              <w:ind w:firstLine="480" w:firstLineChars="200"/>
              <w:rPr>
                <w:b/>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对照《江苏省“三线一单”生态环境分区管控方案》（苏政发〔2020〕49号）：本项目地属于重点管控单元（本项目与江苏省环境管控单元图位置关系详见附图10），相符性分析见下表：</w:t>
            </w:r>
          </w:p>
          <w:p>
            <w:pPr>
              <w:jc w:val="center"/>
              <w:rPr>
                <w:b/>
                <w:color w:val="000000" w:themeColor="text1"/>
                <w:szCs w:val="21"/>
                <w14:textFill>
                  <w14:solidFill>
                    <w14:schemeClr w14:val="tx1"/>
                  </w14:solidFill>
                </w14:textFill>
              </w:rPr>
            </w:pPr>
            <w:r>
              <w:rPr>
                <w:rFonts w:hint="eastAsia"/>
                <w:b/>
                <w:color w:val="000000" w:themeColor="text1"/>
                <w:szCs w:val="21"/>
                <w14:textFill>
                  <w14:solidFill>
                    <w14:schemeClr w14:val="tx1"/>
                  </w14:solidFill>
                </w14:textFill>
              </w:rPr>
              <w:t>表1-12 苏政发〔2020〕49号中重点管控要求</w:t>
            </w:r>
          </w:p>
          <w:tbl>
            <w:tblPr>
              <w:tblStyle w:val="57"/>
              <w:tblW w:w="0" w:type="auto"/>
              <w:tblInd w:w="5" w:type="dxa"/>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717"/>
              <w:gridCol w:w="668"/>
              <w:gridCol w:w="3217"/>
              <w:gridCol w:w="2404"/>
              <w:gridCol w:w="1287"/>
            </w:tblGrid>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717" w:type="dxa"/>
                  <w:tcBorders>
                    <w:tl2br w:val="nil"/>
                    <w:tr2bl w:val="nil"/>
                  </w:tcBorders>
                  <w:vAlign w:val="center"/>
                </w:tcPr>
                <w:p>
                  <w:pPr>
                    <w:spacing w:before="62" w:beforeLines="20" w:after="62" w:afterLines="20"/>
                    <w:jc w:val="center"/>
                    <w:rPr>
                      <w:b/>
                      <w:bCs/>
                      <w:color w:val="000000" w:themeColor="text1"/>
                      <w:szCs w:val="21"/>
                      <w14:textFill>
                        <w14:solidFill>
                          <w14:schemeClr w14:val="tx1"/>
                        </w14:solidFill>
                      </w14:textFill>
                    </w:rPr>
                  </w:pPr>
                  <w:r>
                    <w:rPr>
                      <w:rFonts w:hint="eastAsia"/>
                      <w:b/>
                      <w:bCs/>
                      <w:color w:val="000000" w:themeColor="text1"/>
                      <w:szCs w:val="21"/>
                      <w14:textFill>
                        <w14:solidFill>
                          <w14:schemeClr w14:val="tx1"/>
                        </w14:solidFill>
                      </w14:textFill>
                    </w:rPr>
                    <w:t>序号</w:t>
                  </w:r>
                </w:p>
              </w:tc>
              <w:tc>
                <w:tcPr>
                  <w:tcW w:w="3885" w:type="dxa"/>
                  <w:gridSpan w:val="2"/>
                  <w:tcBorders>
                    <w:tl2br w:val="nil"/>
                    <w:tr2bl w:val="nil"/>
                  </w:tcBorders>
                  <w:vAlign w:val="center"/>
                </w:tcPr>
                <w:p>
                  <w:pPr>
                    <w:spacing w:before="62" w:beforeLines="20" w:after="62" w:afterLines="20"/>
                    <w:jc w:val="center"/>
                    <w:rPr>
                      <w:b/>
                      <w:bCs/>
                      <w:color w:val="000000" w:themeColor="text1"/>
                      <w:szCs w:val="21"/>
                      <w14:textFill>
                        <w14:solidFill>
                          <w14:schemeClr w14:val="tx1"/>
                        </w14:solidFill>
                      </w14:textFill>
                    </w:rPr>
                  </w:pPr>
                  <w:r>
                    <w:rPr>
                      <w:rFonts w:hint="eastAsia"/>
                      <w:b/>
                      <w:bCs/>
                      <w:color w:val="000000" w:themeColor="text1"/>
                      <w:szCs w:val="21"/>
                      <w14:textFill>
                        <w14:solidFill>
                          <w14:schemeClr w14:val="tx1"/>
                        </w14:solidFill>
                      </w14:textFill>
                    </w:rPr>
                    <w:t>管控要求</w:t>
                  </w:r>
                </w:p>
              </w:tc>
              <w:tc>
                <w:tcPr>
                  <w:tcW w:w="2404" w:type="dxa"/>
                  <w:tcBorders>
                    <w:tl2br w:val="nil"/>
                    <w:tr2bl w:val="nil"/>
                  </w:tcBorders>
                  <w:vAlign w:val="center"/>
                </w:tcPr>
                <w:p>
                  <w:pPr>
                    <w:spacing w:before="62" w:beforeLines="20" w:after="62" w:afterLines="20"/>
                    <w:jc w:val="center"/>
                    <w:rPr>
                      <w:b/>
                      <w:bCs/>
                      <w:color w:val="000000" w:themeColor="text1"/>
                      <w:szCs w:val="21"/>
                      <w14:textFill>
                        <w14:solidFill>
                          <w14:schemeClr w14:val="tx1"/>
                        </w14:solidFill>
                      </w14:textFill>
                    </w:rPr>
                  </w:pPr>
                  <w:r>
                    <w:rPr>
                      <w:b/>
                      <w:color w:val="000000" w:themeColor="text1"/>
                      <w:szCs w:val="21"/>
                      <w14:textFill>
                        <w14:solidFill>
                          <w14:schemeClr w14:val="tx1"/>
                        </w14:solidFill>
                      </w14:textFill>
                    </w:rPr>
                    <w:t>本项目相关内容</w:t>
                  </w:r>
                </w:p>
              </w:tc>
              <w:tc>
                <w:tcPr>
                  <w:tcW w:w="1287" w:type="dxa"/>
                  <w:tcBorders>
                    <w:tl2br w:val="nil"/>
                    <w:tr2bl w:val="nil"/>
                  </w:tcBorders>
                  <w:vAlign w:val="center"/>
                </w:tcPr>
                <w:p>
                  <w:pPr>
                    <w:spacing w:before="62" w:beforeLines="20" w:after="62" w:afterLines="20"/>
                    <w:jc w:val="center"/>
                    <w:rPr>
                      <w:b/>
                      <w:bCs/>
                      <w:color w:val="000000" w:themeColor="text1"/>
                      <w:szCs w:val="21"/>
                      <w14:textFill>
                        <w14:solidFill>
                          <w14:schemeClr w14:val="tx1"/>
                        </w14:solidFill>
                      </w14:textFill>
                    </w:rPr>
                  </w:pPr>
                  <w:r>
                    <w:rPr>
                      <w:rFonts w:hint="eastAsia"/>
                      <w:b/>
                      <w:bCs/>
                      <w:color w:val="000000" w:themeColor="text1"/>
                      <w:szCs w:val="21"/>
                      <w14:textFill>
                        <w14:solidFill>
                          <w14:schemeClr w14:val="tx1"/>
                        </w14:solidFill>
                      </w14:textFill>
                    </w:rPr>
                    <w:t>相符性</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717" w:type="dxa"/>
                  <w:vMerge w:val="restart"/>
                  <w:tcBorders>
                    <w:tl2br w:val="nil"/>
                    <w:tr2bl w:val="nil"/>
                  </w:tcBorders>
                  <w:vAlign w:val="center"/>
                </w:tcPr>
                <w:p>
                  <w:pPr>
                    <w:spacing w:before="62" w:beforeLines="20" w:after="62" w:afterLines="20"/>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1</w:t>
                  </w:r>
                </w:p>
              </w:tc>
              <w:tc>
                <w:tcPr>
                  <w:tcW w:w="668" w:type="dxa"/>
                  <w:vMerge w:val="restart"/>
                  <w:tcBorders>
                    <w:tl2br w:val="nil"/>
                    <w:tr2bl w:val="nil"/>
                  </w:tcBorders>
                  <w:vAlign w:val="center"/>
                </w:tcPr>
                <w:p>
                  <w:pPr>
                    <w:spacing w:before="62" w:beforeLines="20" w:after="62" w:afterLines="20"/>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空间布局约束</w:t>
                  </w:r>
                </w:p>
              </w:tc>
              <w:tc>
                <w:tcPr>
                  <w:tcW w:w="3217" w:type="dxa"/>
                  <w:tcBorders>
                    <w:tl2br w:val="nil"/>
                    <w:tr2bl w:val="nil"/>
                  </w:tcBorders>
                  <w:vAlign w:val="center"/>
                </w:tcPr>
                <w:p>
                  <w:pPr>
                    <w:spacing w:before="62" w:beforeLines="20" w:after="62" w:afterLines="20"/>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严守生态保护红线，实行最严格的生态空间管控制度，确保全省生态功能不降低、面积不减少、性质不改变，切实维护生态安全</w:t>
                  </w:r>
                </w:p>
              </w:tc>
              <w:tc>
                <w:tcPr>
                  <w:tcW w:w="2404" w:type="dxa"/>
                  <w:tcBorders>
                    <w:tl2br w:val="nil"/>
                    <w:tr2bl w:val="nil"/>
                  </w:tcBorders>
                  <w:vAlign w:val="center"/>
                </w:tcPr>
                <w:p>
                  <w:pPr>
                    <w:spacing w:before="62" w:beforeLines="20" w:after="62" w:afterLines="20"/>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本项目不在国家级生态保护红线和生态空间管控区内，本项目的建设不会使生态功能降低、不会影响生态空间面积、不会改变生态空间性质</w:t>
                  </w:r>
                </w:p>
              </w:tc>
              <w:tc>
                <w:tcPr>
                  <w:tcW w:w="1287" w:type="dxa"/>
                  <w:tcBorders>
                    <w:tl2br w:val="nil"/>
                    <w:tr2bl w:val="nil"/>
                  </w:tcBorders>
                  <w:vAlign w:val="center"/>
                </w:tcPr>
                <w:p>
                  <w:pPr>
                    <w:spacing w:before="62" w:beforeLines="20" w:after="62" w:afterLines="20"/>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相符</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717" w:type="dxa"/>
                  <w:vMerge w:val="continue"/>
                  <w:tcBorders>
                    <w:tl2br w:val="nil"/>
                    <w:tr2bl w:val="nil"/>
                  </w:tcBorders>
                  <w:vAlign w:val="center"/>
                </w:tcPr>
                <w:p>
                  <w:pPr>
                    <w:spacing w:before="62" w:beforeLines="20" w:after="62" w:afterLines="20"/>
                    <w:jc w:val="center"/>
                    <w:rPr>
                      <w:color w:val="000000" w:themeColor="text1"/>
                      <w:szCs w:val="21"/>
                      <w14:textFill>
                        <w14:solidFill>
                          <w14:schemeClr w14:val="tx1"/>
                        </w14:solidFill>
                      </w14:textFill>
                    </w:rPr>
                  </w:pPr>
                </w:p>
              </w:tc>
              <w:tc>
                <w:tcPr>
                  <w:tcW w:w="668" w:type="dxa"/>
                  <w:vMerge w:val="continue"/>
                  <w:tcBorders>
                    <w:tl2br w:val="nil"/>
                    <w:tr2bl w:val="nil"/>
                  </w:tcBorders>
                  <w:vAlign w:val="center"/>
                </w:tcPr>
                <w:p>
                  <w:pPr>
                    <w:spacing w:before="62" w:beforeLines="20" w:after="62" w:afterLines="20"/>
                    <w:jc w:val="center"/>
                    <w:rPr>
                      <w:color w:val="000000" w:themeColor="text1"/>
                      <w:szCs w:val="21"/>
                      <w14:textFill>
                        <w14:solidFill>
                          <w14:schemeClr w14:val="tx1"/>
                        </w14:solidFill>
                      </w14:textFill>
                    </w:rPr>
                  </w:pPr>
                </w:p>
              </w:tc>
              <w:tc>
                <w:tcPr>
                  <w:tcW w:w="3217" w:type="dxa"/>
                  <w:tcBorders>
                    <w:tl2br w:val="nil"/>
                    <w:tr2bl w:val="nil"/>
                  </w:tcBorders>
                  <w:vAlign w:val="center"/>
                </w:tcPr>
                <w:p>
                  <w:pPr>
                    <w:spacing w:before="62" w:beforeLines="20" w:after="62" w:afterLines="20"/>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太湖流域需满足江苏省太湖水污染防治条例要求</w:t>
                  </w:r>
                </w:p>
              </w:tc>
              <w:tc>
                <w:tcPr>
                  <w:tcW w:w="2404" w:type="dxa"/>
                  <w:tcBorders>
                    <w:tl2br w:val="nil"/>
                    <w:tr2bl w:val="nil"/>
                  </w:tcBorders>
                  <w:vAlign w:val="center"/>
                </w:tcPr>
                <w:p>
                  <w:pPr>
                    <w:spacing w:before="62" w:beforeLines="20" w:after="62" w:afterLines="20"/>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本项目满足江苏省太湖水污染防治条例要求</w:t>
                  </w:r>
                </w:p>
              </w:tc>
              <w:tc>
                <w:tcPr>
                  <w:tcW w:w="1287" w:type="dxa"/>
                  <w:tcBorders>
                    <w:tl2br w:val="nil"/>
                    <w:tr2bl w:val="nil"/>
                  </w:tcBorders>
                  <w:vAlign w:val="center"/>
                </w:tcPr>
                <w:p>
                  <w:pPr>
                    <w:spacing w:before="62" w:beforeLines="20" w:after="62" w:afterLines="20"/>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相符</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717" w:type="dxa"/>
                  <w:vMerge w:val="restart"/>
                  <w:tcBorders>
                    <w:tl2br w:val="nil"/>
                    <w:tr2bl w:val="nil"/>
                  </w:tcBorders>
                  <w:vAlign w:val="center"/>
                </w:tcPr>
                <w:p>
                  <w:pPr>
                    <w:spacing w:before="62" w:beforeLines="20" w:after="62" w:afterLines="20"/>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2</w:t>
                  </w:r>
                </w:p>
              </w:tc>
              <w:tc>
                <w:tcPr>
                  <w:tcW w:w="668" w:type="dxa"/>
                  <w:vMerge w:val="restart"/>
                  <w:tcBorders>
                    <w:tl2br w:val="nil"/>
                    <w:tr2bl w:val="nil"/>
                  </w:tcBorders>
                  <w:vAlign w:val="center"/>
                </w:tcPr>
                <w:p>
                  <w:pPr>
                    <w:spacing w:before="62" w:beforeLines="20" w:after="62" w:afterLines="20"/>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污染物排放管控</w:t>
                  </w:r>
                </w:p>
              </w:tc>
              <w:tc>
                <w:tcPr>
                  <w:tcW w:w="3217" w:type="dxa"/>
                  <w:tcBorders>
                    <w:tl2br w:val="nil"/>
                    <w:tr2bl w:val="nil"/>
                  </w:tcBorders>
                  <w:vAlign w:val="center"/>
                </w:tcPr>
                <w:p>
                  <w:pPr>
                    <w:spacing w:before="62" w:beforeLines="20" w:after="62" w:afterLines="20"/>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坚持生态环境质量只能更好、不能变坏，实施污染物总量控制，以环境容量定产业、定项目、定规模，确保开发建设行为不突破生态环境承载力。2020年主要污染物排放总量要求：全省二氧化硫、氮氧化物、挥发性有机物、化学需氧量、氨氮、总氮、总磷排放总量分别为66.8万吨、 85.4万吨、149.6万吨、91.2万吨、11.9万吨、29.2万吨、2.7万吨。</w:t>
                  </w:r>
                </w:p>
              </w:tc>
              <w:tc>
                <w:tcPr>
                  <w:tcW w:w="2404" w:type="dxa"/>
                  <w:tcBorders>
                    <w:tl2br w:val="nil"/>
                    <w:tr2bl w:val="nil"/>
                  </w:tcBorders>
                  <w:vAlign w:val="center"/>
                </w:tcPr>
                <w:p>
                  <w:pPr>
                    <w:spacing w:before="62" w:beforeLines="20" w:after="62" w:afterLines="20"/>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本次环评要求建设单位向常州市金坛生态环境局申请总量</w:t>
                  </w:r>
                </w:p>
              </w:tc>
              <w:tc>
                <w:tcPr>
                  <w:tcW w:w="1287" w:type="dxa"/>
                  <w:tcBorders>
                    <w:tl2br w:val="nil"/>
                    <w:tr2bl w:val="nil"/>
                  </w:tcBorders>
                  <w:vAlign w:val="center"/>
                </w:tcPr>
                <w:p>
                  <w:pPr>
                    <w:spacing w:before="62" w:beforeLines="20" w:after="62" w:afterLines="20"/>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相符</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717" w:type="dxa"/>
                  <w:vMerge w:val="continue"/>
                  <w:tcBorders>
                    <w:tl2br w:val="nil"/>
                    <w:tr2bl w:val="nil"/>
                  </w:tcBorders>
                  <w:vAlign w:val="center"/>
                </w:tcPr>
                <w:p>
                  <w:pPr>
                    <w:spacing w:before="62" w:beforeLines="20" w:after="62" w:afterLines="20"/>
                    <w:jc w:val="center"/>
                    <w:rPr>
                      <w:color w:val="000000" w:themeColor="text1"/>
                      <w:szCs w:val="21"/>
                      <w14:textFill>
                        <w14:solidFill>
                          <w14:schemeClr w14:val="tx1"/>
                        </w14:solidFill>
                      </w14:textFill>
                    </w:rPr>
                  </w:pPr>
                </w:p>
              </w:tc>
              <w:tc>
                <w:tcPr>
                  <w:tcW w:w="668" w:type="dxa"/>
                  <w:vMerge w:val="continue"/>
                  <w:tcBorders>
                    <w:tl2br w:val="nil"/>
                    <w:tr2bl w:val="nil"/>
                  </w:tcBorders>
                  <w:vAlign w:val="center"/>
                </w:tcPr>
                <w:p>
                  <w:pPr>
                    <w:spacing w:before="62" w:beforeLines="20" w:after="62" w:afterLines="20"/>
                    <w:jc w:val="center"/>
                    <w:rPr>
                      <w:color w:val="000000" w:themeColor="text1"/>
                      <w:szCs w:val="21"/>
                      <w14:textFill>
                        <w14:solidFill>
                          <w14:schemeClr w14:val="tx1"/>
                        </w14:solidFill>
                      </w14:textFill>
                    </w:rPr>
                  </w:pPr>
                </w:p>
              </w:tc>
              <w:tc>
                <w:tcPr>
                  <w:tcW w:w="3217" w:type="dxa"/>
                  <w:tcBorders>
                    <w:tl2br w:val="nil"/>
                    <w:tr2bl w:val="nil"/>
                  </w:tcBorders>
                  <w:vAlign w:val="center"/>
                </w:tcPr>
                <w:p>
                  <w:pPr>
                    <w:spacing w:before="62" w:beforeLines="20" w:after="62" w:afterLines="20"/>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城镇污水处理厂、纺织工业、化学工业、造纸工业、钢铁工业、电镀工业和食品工业的污水处理设施执行《太湖地区城镇污水处理厂及重点工业行业主要水污染物排放限值》。</w:t>
                  </w:r>
                </w:p>
              </w:tc>
              <w:tc>
                <w:tcPr>
                  <w:tcW w:w="2404" w:type="dxa"/>
                  <w:tcBorders>
                    <w:tl2br w:val="nil"/>
                    <w:tr2bl w:val="nil"/>
                  </w:tcBorders>
                  <w:vAlign w:val="center"/>
                </w:tcPr>
                <w:p>
                  <w:pPr>
                    <w:spacing w:before="62" w:beforeLines="20" w:after="62" w:afterLines="20"/>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本项目无生产废水产生；生活污水接管至金坛区第二污水处理厂深度处理</w:t>
                  </w:r>
                </w:p>
              </w:tc>
              <w:tc>
                <w:tcPr>
                  <w:tcW w:w="1287" w:type="dxa"/>
                  <w:tcBorders>
                    <w:tl2br w:val="nil"/>
                    <w:tr2bl w:val="nil"/>
                  </w:tcBorders>
                  <w:vAlign w:val="center"/>
                </w:tcPr>
                <w:p>
                  <w:pPr>
                    <w:spacing w:before="62" w:beforeLines="20" w:after="62" w:afterLines="20"/>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相符</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717" w:type="dxa"/>
                  <w:vMerge w:val="restart"/>
                  <w:tcBorders>
                    <w:tl2br w:val="nil"/>
                    <w:tr2bl w:val="nil"/>
                  </w:tcBorders>
                  <w:vAlign w:val="center"/>
                </w:tcPr>
                <w:p>
                  <w:pPr>
                    <w:spacing w:before="62" w:beforeLines="20" w:after="62" w:afterLines="20"/>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3</w:t>
                  </w:r>
                </w:p>
              </w:tc>
              <w:tc>
                <w:tcPr>
                  <w:tcW w:w="668" w:type="dxa"/>
                  <w:vMerge w:val="restart"/>
                  <w:tcBorders>
                    <w:tl2br w:val="nil"/>
                    <w:tr2bl w:val="nil"/>
                  </w:tcBorders>
                  <w:vAlign w:val="center"/>
                </w:tcPr>
                <w:p>
                  <w:pPr>
                    <w:spacing w:before="62" w:beforeLines="20" w:after="62" w:afterLines="20"/>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环境风险防控</w:t>
                  </w:r>
                </w:p>
              </w:tc>
              <w:tc>
                <w:tcPr>
                  <w:tcW w:w="3217" w:type="dxa"/>
                  <w:tcBorders>
                    <w:tl2br w:val="nil"/>
                    <w:tr2bl w:val="nil"/>
                  </w:tcBorders>
                  <w:vAlign w:val="center"/>
                </w:tcPr>
                <w:p>
                  <w:pPr>
                    <w:spacing w:before="62" w:beforeLines="20" w:after="62" w:afterLines="20"/>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强化环境事故应急管理、强化环境风险防控能力建设</w:t>
                  </w:r>
                </w:p>
              </w:tc>
              <w:tc>
                <w:tcPr>
                  <w:tcW w:w="2404" w:type="dxa"/>
                  <w:tcBorders>
                    <w:tl2br w:val="nil"/>
                    <w:tr2bl w:val="nil"/>
                  </w:tcBorders>
                  <w:vAlign w:val="center"/>
                </w:tcPr>
                <w:p>
                  <w:pPr>
                    <w:spacing w:before="62" w:beforeLines="20" w:after="62" w:afterLines="20"/>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本项目设置风险防范措施；项目实施后，按要求编制应急预案</w:t>
                  </w:r>
                </w:p>
              </w:tc>
              <w:tc>
                <w:tcPr>
                  <w:tcW w:w="1287" w:type="dxa"/>
                  <w:tcBorders>
                    <w:tl2br w:val="nil"/>
                    <w:tr2bl w:val="nil"/>
                  </w:tcBorders>
                  <w:vAlign w:val="center"/>
                </w:tcPr>
                <w:p>
                  <w:pPr>
                    <w:spacing w:before="62" w:beforeLines="20" w:after="62" w:afterLines="20"/>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相符</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717" w:type="dxa"/>
                  <w:vMerge w:val="continue"/>
                  <w:tcBorders>
                    <w:tl2br w:val="nil"/>
                    <w:tr2bl w:val="nil"/>
                  </w:tcBorders>
                  <w:vAlign w:val="center"/>
                </w:tcPr>
                <w:p>
                  <w:pPr>
                    <w:spacing w:before="62" w:beforeLines="20" w:after="62" w:afterLines="20"/>
                    <w:jc w:val="center"/>
                    <w:rPr>
                      <w:color w:val="000000" w:themeColor="text1"/>
                      <w:szCs w:val="21"/>
                      <w14:textFill>
                        <w14:solidFill>
                          <w14:schemeClr w14:val="tx1"/>
                        </w14:solidFill>
                      </w14:textFill>
                    </w:rPr>
                  </w:pPr>
                </w:p>
              </w:tc>
              <w:tc>
                <w:tcPr>
                  <w:tcW w:w="668" w:type="dxa"/>
                  <w:vMerge w:val="continue"/>
                  <w:tcBorders>
                    <w:tl2br w:val="nil"/>
                    <w:tr2bl w:val="nil"/>
                  </w:tcBorders>
                  <w:vAlign w:val="center"/>
                </w:tcPr>
                <w:p>
                  <w:pPr>
                    <w:spacing w:before="62" w:beforeLines="20" w:after="62" w:afterLines="20"/>
                    <w:jc w:val="center"/>
                    <w:rPr>
                      <w:color w:val="000000" w:themeColor="text1"/>
                      <w:szCs w:val="21"/>
                      <w14:textFill>
                        <w14:solidFill>
                          <w14:schemeClr w14:val="tx1"/>
                        </w14:solidFill>
                      </w14:textFill>
                    </w:rPr>
                  </w:pPr>
                </w:p>
              </w:tc>
              <w:tc>
                <w:tcPr>
                  <w:tcW w:w="3217" w:type="dxa"/>
                  <w:tcBorders>
                    <w:tl2br w:val="nil"/>
                    <w:tr2bl w:val="nil"/>
                  </w:tcBorders>
                  <w:vAlign w:val="center"/>
                </w:tcPr>
                <w:p>
                  <w:pPr>
                    <w:spacing w:before="62" w:beforeLines="20" w:after="62" w:afterLines="20"/>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运输剧毒物质、危险化学品的船舶不得进入太湖。禁止向太湖流域水体排放或者倾倒油类、酸液、碱液、剧毒废渣废液、含放射性废渣废液、含病原体污水、工业废渣以及其他废弃物；加强太湖流域生态环境风险应急管控，着力提高防控太湖蓝藻水华风险预警和应急处置能力</w:t>
                  </w:r>
                </w:p>
              </w:tc>
              <w:tc>
                <w:tcPr>
                  <w:tcW w:w="2404" w:type="dxa"/>
                  <w:tcBorders>
                    <w:tl2br w:val="nil"/>
                    <w:tr2bl w:val="nil"/>
                  </w:tcBorders>
                  <w:vAlign w:val="center"/>
                </w:tcPr>
                <w:p>
                  <w:pPr>
                    <w:spacing w:before="62" w:beforeLines="20" w:after="62" w:afterLines="20"/>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本项目不涉及剧毒化学品及运输剧毒化学品、国家规定禁止通过内河运输的其他危险化学品。本项目不以任何形式向太湖排放废液、废弃物等</w:t>
                  </w:r>
                </w:p>
              </w:tc>
              <w:tc>
                <w:tcPr>
                  <w:tcW w:w="1287" w:type="dxa"/>
                  <w:tcBorders>
                    <w:tl2br w:val="nil"/>
                    <w:tr2bl w:val="nil"/>
                  </w:tcBorders>
                  <w:vAlign w:val="center"/>
                </w:tcPr>
                <w:p>
                  <w:pPr>
                    <w:spacing w:before="62" w:beforeLines="20" w:after="62" w:afterLines="20"/>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相符</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PrEx>
              <w:trPr>
                <w:trHeight w:val="2912" w:hRule="atLeast"/>
              </w:trPr>
              <w:tc>
                <w:tcPr>
                  <w:tcW w:w="717" w:type="dxa"/>
                  <w:tcBorders>
                    <w:tl2br w:val="nil"/>
                    <w:tr2bl w:val="nil"/>
                  </w:tcBorders>
                  <w:vAlign w:val="center"/>
                </w:tcPr>
                <w:p>
                  <w:pPr>
                    <w:spacing w:before="62" w:beforeLines="20" w:after="62" w:afterLines="20"/>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4</w:t>
                  </w:r>
                </w:p>
              </w:tc>
              <w:tc>
                <w:tcPr>
                  <w:tcW w:w="668" w:type="dxa"/>
                  <w:tcBorders>
                    <w:tl2br w:val="nil"/>
                    <w:tr2bl w:val="nil"/>
                  </w:tcBorders>
                  <w:vAlign w:val="center"/>
                </w:tcPr>
                <w:p>
                  <w:pPr>
                    <w:spacing w:before="62" w:beforeLines="20" w:after="62" w:afterLines="20"/>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资源利用效率要求</w:t>
                  </w:r>
                </w:p>
              </w:tc>
              <w:tc>
                <w:tcPr>
                  <w:tcW w:w="3217" w:type="dxa"/>
                  <w:tcBorders>
                    <w:tl2br w:val="nil"/>
                    <w:tr2bl w:val="nil"/>
                  </w:tcBorders>
                  <w:vAlign w:val="center"/>
                </w:tcPr>
                <w:p>
                  <w:pPr>
                    <w:spacing w:before="62" w:beforeLines="20" w:after="62" w:afterLines="20"/>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工业水循环利用率达90%；在禁燃区内，禁止销售、燃用高污染燃料；禁止新建、扩建燃用高污染燃料的设施，已建成的，应当在城市人民政府规定的期限内改用天然气、页岩气、液化石油气、电或者其他清洁能源。</w:t>
                  </w:r>
                </w:p>
              </w:tc>
              <w:tc>
                <w:tcPr>
                  <w:tcW w:w="2404" w:type="dxa"/>
                  <w:tcBorders>
                    <w:tl2br w:val="nil"/>
                    <w:tr2bl w:val="nil"/>
                  </w:tcBorders>
                  <w:vAlign w:val="center"/>
                </w:tcPr>
                <w:p>
                  <w:pPr>
                    <w:spacing w:before="62" w:beforeLines="20" w:after="62" w:afterLines="20"/>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本项目无生产废水产生；本项目不涉及使用燃料</w:t>
                  </w:r>
                </w:p>
              </w:tc>
              <w:tc>
                <w:tcPr>
                  <w:tcW w:w="1287" w:type="dxa"/>
                  <w:tcBorders>
                    <w:tl2br w:val="nil"/>
                    <w:tr2bl w:val="nil"/>
                  </w:tcBorders>
                  <w:vAlign w:val="center"/>
                </w:tcPr>
                <w:p>
                  <w:pPr>
                    <w:spacing w:before="62" w:beforeLines="20" w:after="62" w:afterLines="20"/>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相符</w:t>
                  </w:r>
                </w:p>
              </w:tc>
            </w:tr>
          </w:tbl>
          <w:p>
            <w:pPr>
              <w:autoSpaceDE w:val="0"/>
              <w:autoSpaceDN w:val="0"/>
              <w:spacing w:line="360" w:lineRule="auto"/>
              <w:ind w:firstLine="480" w:firstLineChars="200"/>
              <w:rPr>
                <w:b/>
                <w:color w:val="000000" w:themeColor="text1"/>
                <w14:textFill>
                  <w14:solidFill>
                    <w14:schemeClr w14:val="tx1"/>
                  </w14:solidFill>
                </w14:textFill>
              </w:rPr>
            </w:pPr>
            <w:r>
              <w:rPr>
                <w:rFonts w:hint="eastAsia"/>
                <w:color w:val="000000" w:themeColor="text1"/>
                <w:sz w:val="24"/>
                <w:szCs w:val="24"/>
                <w14:textFill>
                  <w14:solidFill>
                    <w14:schemeClr w14:val="tx1"/>
                  </w14:solidFill>
                </w14:textFill>
              </w:rPr>
              <w:t>综上</w:t>
            </w:r>
            <w:r>
              <w:rPr>
                <w:color w:val="000000" w:themeColor="text1"/>
                <w:sz w:val="24"/>
                <w:szCs w:val="24"/>
                <w14:textFill>
                  <w14:solidFill>
                    <w14:schemeClr w14:val="tx1"/>
                  </w14:solidFill>
                </w14:textFill>
              </w:rPr>
              <w:t>，本项目建设与《江苏省“三线一单”生态环境分区管控方案》（苏政发〔2020〕49号）相符。</w:t>
            </w:r>
          </w:p>
          <w:p>
            <w:pPr>
              <w:spacing w:line="360" w:lineRule="auto"/>
              <w:ind w:firstLine="480" w:firstLineChars="200"/>
              <w:rPr>
                <w:b/>
                <w:color w:val="000000" w:themeColor="text1"/>
                <w:sz w:val="24"/>
                <w:szCs w:val="24"/>
                <w14:textFill>
                  <w14:solidFill>
                    <w14:schemeClr w14:val="tx1"/>
                  </w14:solidFill>
                </w14:textFill>
              </w:rPr>
            </w:pPr>
            <w:r>
              <w:rPr>
                <w:b/>
                <w:color w:val="000000" w:themeColor="text1"/>
                <w:sz w:val="24"/>
                <w:szCs w:val="24"/>
                <w14:textFill>
                  <w14:solidFill>
                    <w14:schemeClr w14:val="tx1"/>
                  </w14:solidFill>
                </w14:textFill>
              </w:rPr>
              <w:t>1</w:t>
            </w:r>
            <w:r>
              <w:rPr>
                <w:rFonts w:hint="eastAsia"/>
                <w:b/>
                <w:color w:val="000000" w:themeColor="text1"/>
                <w:sz w:val="24"/>
                <w:szCs w:val="24"/>
                <w14:textFill>
                  <w14:solidFill>
                    <w14:schemeClr w14:val="tx1"/>
                  </w14:solidFill>
                </w14:textFill>
              </w:rPr>
              <w:t>3</w:t>
            </w:r>
            <w:r>
              <w:rPr>
                <w:b/>
                <w:color w:val="000000" w:themeColor="text1"/>
                <w:sz w:val="24"/>
                <w:szCs w:val="24"/>
                <w14:textFill>
                  <w14:solidFill>
                    <w14:schemeClr w14:val="tx1"/>
                  </w14:solidFill>
                </w14:textFill>
              </w:rPr>
              <w:t>、环保投资</w:t>
            </w:r>
          </w:p>
          <w:p>
            <w:pPr>
              <w:tabs>
                <w:tab w:val="left" w:pos="6691"/>
              </w:tabs>
              <w:spacing w:line="360" w:lineRule="auto"/>
              <w:ind w:firstLine="480" w:firstLineChars="200"/>
              <w:rPr>
                <w:color w:val="000000" w:themeColor="text1"/>
                <w:sz w:val="24"/>
                <w14:textFill>
                  <w14:solidFill>
                    <w14:schemeClr w14:val="tx1"/>
                  </w14:solidFill>
                </w14:textFill>
              </w:rPr>
            </w:pPr>
            <w:r>
              <w:rPr>
                <w:color w:val="000000" w:themeColor="text1"/>
                <w:sz w:val="24"/>
                <w14:textFill>
                  <w14:solidFill>
                    <w14:schemeClr w14:val="tx1"/>
                  </w14:solidFill>
                </w14:textFill>
              </w:rPr>
              <w:t>本项目环保投资为</w:t>
            </w:r>
            <w:r>
              <w:rPr>
                <w:rFonts w:hint="eastAsia"/>
                <w:color w:val="000000" w:themeColor="text1"/>
                <w:sz w:val="24"/>
                <w14:textFill>
                  <w14:solidFill>
                    <w14:schemeClr w14:val="tx1"/>
                  </w14:solidFill>
                </w14:textFill>
              </w:rPr>
              <w:t>1</w:t>
            </w:r>
            <w:r>
              <w:rPr>
                <w:rFonts w:hint="eastAsia"/>
                <w:color w:val="000000" w:themeColor="text1"/>
                <w:sz w:val="24"/>
                <w:lang w:val="en-US" w:eastAsia="zh-CN"/>
                <w14:textFill>
                  <w14:solidFill>
                    <w14:schemeClr w14:val="tx1"/>
                  </w14:solidFill>
                </w14:textFill>
              </w:rPr>
              <w:t>9</w:t>
            </w:r>
            <w:r>
              <w:rPr>
                <w:rFonts w:hint="eastAsia"/>
                <w:color w:val="000000" w:themeColor="text1"/>
                <w:sz w:val="24"/>
                <w14:textFill>
                  <w14:solidFill>
                    <w14:schemeClr w14:val="tx1"/>
                  </w14:solidFill>
                </w14:textFill>
              </w:rPr>
              <w:t>.4</w:t>
            </w:r>
            <w:r>
              <w:rPr>
                <w:color w:val="000000" w:themeColor="text1"/>
                <w:sz w:val="24"/>
                <w14:textFill>
                  <w14:solidFill>
                    <w14:schemeClr w14:val="tx1"/>
                  </w14:solidFill>
                </w14:textFill>
              </w:rPr>
              <w:t>万元，占总投资（</w:t>
            </w:r>
            <w:r>
              <w:rPr>
                <w:rFonts w:hint="eastAsia"/>
                <w:color w:val="000000" w:themeColor="text1"/>
                <w:sz w:val="24"/>
                <w:lang w:val="en-US" w:eastAsia="zh-CN"/>
                <w14:textFill>
                  <w14:solidFill>
                    <w14:schemeClr w14:val="tx1"/>
                  </w14:solidFill>
                </w14:textFill>
              </w:rPr>
              <w:t>3000</w:t>
            </w:r>
            <w:r>
              <w:rPr>
                <w:color w:val="000000" w:themeColor="text1"/>
                <w:sz w:val="24"/>
                <w14:textFill>
                  <w14:solidFill>
                    <w14:schemeClr w14:val="tx1"/>
                  </w14:solidFill>
                </w14:textFill>
              </w:rPr>
              <w:t>万元）的</w:t>
            </w:r>
            <w:r>
              <w:rPr>
                <w:rFonts w:hint="eastAsia"/>
                <w:color w:val="000000" w:themeColor="text1"/>
                <w:sz w:val="24"/>
                <w:lang w:val="en-US" w:eastAsia="zh-CN"/>
                <w14:textFill>
                  <w14:solidFill>
                    <w14:schemeClr w14:val="tx1"/>
                  </w14:solidFill>
                </w14:textFill>
              </w:rPr>
              <w:t>0.65</w:t>
            </w:r>
            <w:r>
              <w:rPr>
                <w:color w:val="000000" w:themeColor="text1"/>
                <w:sz w:val="24"/>
                <w14:textFill>
                  <w14:solidFill>
                    <w14:schemeClr w14:val="tx1"/>
                  </w14:solidFill>
                </w14:textFill>
              </w:rPr>
              <w:t>%，详见下表。</w:t>
            </w:r>
          </w:p>
          <w:p>
            <w:pPr>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表1-</w:t>
            </w:r>
            <w:r>
              <w:rPr>
                <w:rFonts w:hint="eastAsia"/>
                <w:b/>
                <w:color w:val="000000" w:themeColor="text1"/>
                <w:szCs w:val="21"/>
                <w14:textFill>
                  <w14:solidFill>
                    <w14:schemeClr w14:val="tx1"/>
                  </w14:solidFill>
                </w14:textFill>
              </w:rPr>
              <w:t>13</w:t>
            </w:r>
            <w:r>
              <w:rPr>
                <w:b/>
                <w:color w:val="000000" w:themeColor="text1"/>
                <w:szCs w:val="21"/>
                <w14:textFill>
                  <w14:solidFill>
                    <w14:schemeClr w14:val="tx1"/>
                  </w14:solidFill>
                </w14:textFill>
              </w:rPr>
              <w:t xml:space="preserve"> 环保投资估算</w:t>
            </w:r>
          </w:p>
          <w:tbl>
            <w:tblPr>
              <w:tblStyle w:val="56"/>
              <w:tblW w:w="4998" w:type="pct"/>
              <w:jc w:val="center"/>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45" w:type="dxa"/>
                <w:bottom w:w="0" w:type="dxa"/>
                <w:right w:w="45" w:type="dxa"/>
              </w:tblCellMar>
            </w:tblPr>
            <w:tblGrid>
              <w:gridCol w:w="846"/>
              <w:gridCol w:w="3493"/>
              <w:gridCol w:w="1881"/>
              <w:gridCol w:w="1087"/>
              <w:gridCol w:w="1016"/>
            </w:tblGrid>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45" w:type="dxa"/>
                  <w:bottom w:w="0" w:type="dxa"/>
                  <w:right w:w="45" w:type="dxa"/>
                </w:tblCellMar>
              </w:tblPrEx>
              <w:trPr>
                <w:trHeight w:val="324" w:hRule="atLeast"/>
                <w:jc w:val="center"/>
              </w:trPr>
              <w:tc>
                <w:tcPr>
                  <w:tcW w:w="508" w:type="pct"/>
                  <w:vAlign w:val="center"/>
                </w:tcPr>
                <w:p>
                  <w:pPr>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名称</w:t>
                  </w:r>
                </w:p>
              </w:tc>
              <w:tc>
                <w:tcPr>
                  <w:tcW w:w="2098" w:type="pct"/>
                  <w:vAlign w:val="center"/>
                </w:tcPr>
                <w:p>
                  <w:pPr>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环保设施名称</w:t>
                  </w:r>
                </w:p>
              </w:tc>
              <w:tc>
                <w:tcPr>
                  <w:tcW w:w="1130" w:type="pct"/>
                  <w:vAlign w:val="center"/>
                </w:tcPr>
                <w:p>
                  <w:pPr>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环保投资（万元）</w:t>
                  </w:r>
                </w:p>
              </w:tc>
              <w:tc>
                <w:tcPr>
                  <w:tcW w:w="653" w:type="pct"/>
                  <w:vAlign w:val="center"/>
                </w:tcPr>
                <w:p>
                  <w:pPr>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备注</w:t>
                  </w:r>
                </w:p>
              </w:tc>
              <w:tc>
                <w:tcPr>
                  <w:tcW w:w="610" w:type="pct"/>
                  <w:vAlign w:val="center"/>
                </w:tcPr>
                <w:p>
                  <w:pPr>
                    <w:jc w:val="center"/>
                    <w:rPr>
                      <w:b/>
                      <w:color w:val="000000" w:themeColor="text1"/>
                      <w:szCs w:val="21"/>
                      <w14:textFill>
                        <w14:solidFill>
                          <w14:schemeClr w14:val="tx1"/>
                        </w14:solidFill>
                      </w14:textFill>
                    </w:rPr>
                  </w:pPr>
                  <w:r>
                    <w:rPr>
                      <w:rFonts w:hint="eastAsia"/>
                      <w:b/>
                      <w:color w:val="000000" w:themeColor="text1"/>
                      <w:szCs w:val="21"/>
                      <w14:textFill>
                        <w14:solidFill>
                          <w14:schemeClr w14:val="tx1"/>
                        </w14:solidFill>
                      </w14:textFill>
                    </w:rPr>
                    <w:t>进度</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45" w:type="dxa"/>
                  <w:bottom w:w="0" w:type="dxa"/>
                  <w:right w:w="45" w:type="dxa"/>
                </w:tblCellMar>
              </w:tblPrEx>
              <w:trPr>
                <w:trHeight w:val="896" w:hRule="atLeast"/>
                <w:jc w:val="center"/>
              </w:trPr>
              <w:tc>
                <w:tcPr>
                  <w:tcW w:w="508" w:type="pct"/>
                  <w:vAlign w:val="center"/>
                </w:tcPr>
                <w:p>
                  <w:pPr>
                    <w:snapToGrid w:val="0"/>
                    <w:jc w:val="center"/>
                    <w:rPr>
                      <w:color w:val="000000" w:themeColor="text1"/>
                      <w:szCs w:val="22"/>
                      <w14:textFill>
                        <w14:solidFill>
                          <w14:schemeClr w14:val="tx1"/>
                        </w14:solidFill>
                      </w14:textFill>
                    </w:rPr>
                  </w:pPr>
                  <w:r>
                    <w:rPr>
                      <w:rFonts w:hint="eastAsia"/>
                      <w:color w:val="000000" w:themeColor="text1"/>
                      <w:szCs w:val="22"/>
                      <w14:textFill>
                        <w14:solidFill>
                          <w14:schemeClr w14:val="tx1"/>
                        </w14:solidFill>
                      </w14:textFill>
                    </w:rPr>
                    <w:t>废水</w:t>
                  </w:r>
                </w:p>
              </w:tc>
              <w:tc>
                <w:tcPr>
                  <w:tcW w:w="2098" w:type="pct"/>
                  <w:vAlign w:val="center"/>
                </w:tcPr>
                <w:p>
                  <w:pPr>
                    <w:snapToGrid w:val="0"/>
                    <w:jc w:val="center"/>
                    <w:rPr>
                      <w:color w:val="000000" w:themeColor="text1"/>
                      <w:szCs w:val="22"/>
                      <w14:textFill>
                        <w14:solidFill>
                          <w14:schemeClr w14:val="tx1"/>
                        </w14:solidFill>
                      </w14:textFill>
                    </w:rPr>
                  </w:pPr>
                  <w:r>
                    <w:rPr>
                      <w:rFonts w:hint="eastAsia"/>
                      <w:color w:val="000000" w:themeColor="text1"/>
                      <w:szCs w:val="22"/>
                      <w14:textFill>
                        <w14:solidFill>
                          <w14:schemeClr w14:val="tx1"/>
                        </w14:solidFill>
                      </w14:textFill>
                    </w:rPr>
                    <w:t>雨污管网、雨水排放口、污水接管口</w:t>
                  </w:r>
                </w:p>
              </w:tc>
              <w:tc>
                <w:tcPr>
                  <w:tcW w:w="1130" w:type="pct"/>
                  <w:vAlign w:val="center"/>
                </w:tcPr>
                <w:p>
                  <w:pPr>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0</w:t>
                  </w:r>
                </w:p>
              </w:tc>
              <w:tc>
                <w:tcPr>
                  <w:tcW w:w="653" w:type="pct"/>
                  <w:vAlign w:val="center"/>
                </w:tcPr>
                <w:p>
                  <w:pPr>
                    <w:adjustRightInd w:val="0"/>
                    <w:snapToGrid w:val="0"/>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依托</w:t>
                  </w:r>
                  <w:r>
                    <w:rPr>
                      <w:rFonts w:hint="eastAsia"/>
                      <w:color w:val="000000" w:themeColor="text1"/>
                      <w:szCs w:val="21"/>
                      <w14:textFill>
                        <w14:solidFill>
                          <w14:schemeClr w14:val="tx1"/>
                        </w14:solidFill>
                      </w14:textFill>
                    </w:rPr>
                    <w:t>现有</w:t>
                  </w:r>
                </w:p>
              </w:tc>
              <w:tc>
                <w:tcPr>
                  <w:tcW w:w="610" w:type="pct"/>
                  <w:vMerge w:val="restart"/>
                  <w:vAlign w:val="center"/>
                </w:tcPr>
                <w:p>
                  <w:pPr>
                    <w:adjustRightInd w:val="0"/>
                    <w:snapToGrid w:val="0"/>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与建设项目同时设计、同时施工、同时投入运行</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45" w:type="dxa"/>
                  <w:bottom w:w="0" w:type="dxa"/>
                  <w:right w:w="45" w:type="dxa"/>
                </w:tblCellMar>
              </w:tblPrEx>
              <w:trPr>
                <w:trHeight w:val="1200" w:hRule="atLeast"/>
                <w:jc w:val="center"/>
              </w:trPr>
              <w:tc>
                <w:tcPr>
                  <w:tcW w:w="508" w:type="pct"/>
                  <w:vAlign w:val="center"/>
                </w:tcPr>
                <w:p>
                  <w:pPr>
                    <w:snapToGrid w:val="0"/>
                    <w:jc w:val="center"/>
                    <w:rPr>
                      <w:color w:val="000000" w:themeColor="text1"/>
                      <w:szCs w:val="22"/>
                      <w14:textFill>
                        <w14:solidFill>
                          <w14:schemeClr w14:val="tx1"/>
                        </w14:solidFill>
                      </w14:textFill>
                    </w:rPr>
                  </w:pPr>
                  <w:r>
                    <w:rPr>
                      <w:rFonts w:hint="eastAsia"/>
                      <w:color w:val="000000" w:themeColor="text1"/>
                      <w:szCs w:val="22"/>
                      <w14:textFill>
                        <w14:solidFill>
                          <w14:schemeClr w14:val="tx1"/>
                        </w14:solidFill>
                      </w14:textFill>
                    </w:rPr>
                    <w:t>废气</w:t>
                  </w:r>
                </w:p>
              </w:tc>
              <w:tc>
                <w:tcPr>
                  <w:tcW w:w="2098" w:type="pct"/>
                  <w:vAlign w:val="center"/>
                </w:tcPr>
                <w:p>
                  <w:pPr>
                    <w:snapToGrid w:val="0"/>
                    <w:jc w:val="center"/>
                    <w:rPr>
                      <w:color w:val="000000" w:themeColor="text1"/>
                      <w:szCs w:val="22"/>
                      <w14:textFill>
                        <w14:solidFill>
                          <w14:schemeClr w14:val="tx1"/>
                        </w14:solidFill>
                      </w14:textFill>
                    </w:rPr>
                  </w:pPr>
                  <w:r>
                    <w:rPr>
                      <w:rFonts w:hint="eastAsia"/>
                      <w:color w:val="000000" w:themeColor="text1"/>
                      <w:szCs w:val="22"/>
                      <w:lang w:val="en-US" w:eastAsia="zh-CN"/>
                      <w14:textFill>
                        <w14:solidFill>
                          <w14:schemeClr w14:val="tx1"/>
                        </w14:solidFill>
                      </w14:textFill>
                    </w:rPr>
                    <w:t>1套布袋除尘器+</w:t>
                  </w:r>
                  <w:r>
                    <w:rPr>
                      <w:rFonts w:hint="eastAsia"/>
                      <w:color w:val="000000" w:themeColor="text1"/>
                      <w:szCs w:val="22"/>
                      <w14:textFill>
                        <w14:solidFill>
                          <w14:schemeClr w14:val="tx1"/>
                        </w14:solidFill>
                      </w14:textFill>
                    </w:rPr>
                    <w:t>1套“二级活性炭吸附设备”+配套风机、管道、排气筒1根</w:t>
                  </w:r>
                </w:p>
              </w:tc>
              <w:tc>
                <w:tcPr>
                  <w:tcW w:w="1130" w:type="pct"/>
                  <w:vAlign w:val="center"/>
                </w:tcPr>
                <w:p>
                  <w:pPr>
                    <w:jc w:val="center"/>
                    <w:rPr>
                      <w:rFonts w:hint="eastAsia" w:eastAsia="宋体"/>
                      <w:color w:val="000000" w:themeColor="text1"/>
                      <w:szCs w:val="21"/>
                      <w:lang w:eastAsia="zh-CN"/>
                      <w14:textFill>
                        <w14:solidFill>
                          <w14:schemeClr w14:val="tx1"/>
                        </w14:solidFill>
                      </w14:textFill>
                    </w:rPr>
                  </w:pPr>
                  <w:r>
                    <w:rPr>
                      <w:rFonts w:hint="eastAsia"/>
                      <w:color w:val="000000" w:themeColor="text1"/>
                      <w:szCs w:val="21"/>
                      <w14:textFill>
                        <w14:solidFill>
                          <w14:schemeClr w14:val="tx1"/>
                        </w14:solidFill>
                      </w14:textFill>
                    </w:rPr>
                    <w:t>1</w:t>
                  </w:r>
                  <w:r>
                    <w:rPr>
                      <w:rFonts w:hint="eastAsia"/>
                      <w:color w:val="000000" w:themeColor="text1"/>
                      <w:szCs w:val="21"/>
                      <w:lang w:val="en-US" w:eastAsia="zh-CN"/>
                      <w14:textFill>
                        <w14:solidFill>
                          <w14:schemeClr w14:val="tx1"/>
                        </w14:solidFill>
                      </w14:textFill>
                    </w:rPr>
                    <w:t>5</w:t>
                  </w:r>
                </w:p>
              </w:tc>
              <w:tc>
                <w:tcPr>
                  <w:tcW w:w="653" w:type="pct"/>
                  <w:vAlign w:val="center"/>
                </w:tcPr>
                <w:p>
                  <w:pPr>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新建</w:t>
                  </w:r>
                </w:p>
              </w:tc>
              <w:tc>
                <w:tcPr>
                  <w:tcW w:w="610" w:type="pct"/>
                  <w:vMerge w:val="continue"/>
                  <w:vAlign w:val="center"/>
                </w:tcPr>
                <w:p>
                  <w:pPr>
                    <w:jc w:val="center"/>
                    <w:rPr>
                      <w:color w:val="000000" w:themeColor="text1"/>
                      <w:szCs w:val="21"/>
                      <w14:textFill>
                        <w14:solidFill>
                          <w14:schemeClr w14:val="tx1"/>
                        </w14:solidFill>
                      </w14:textFill>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45" w:type="dxa"/>
                  <w:bottom w:w="0" w:type="dxa"/>
                  <w:right w:w="45" w:type="dxa"/>
                </w:tblCellMar>
              </w:tblPrEx>
              <w:trPr>
                <w:trHeight w:val="340" w:hRule="atLeast"/>
                <w:jc w:val="center"/>
              </w:trPr>
              <w:tc>
                <w:tcPr>
                  <w:tcW w:w="508" w:type="pct"/>
                  <w:vAlign w:val="center"/>
                </w:tcPr>
                <w:p>
                  <w:pPr>
                    <w:snapToGrid w:val="0"/>
                    <w:jc w:val="center"/>
                    <w:rPr>
                      <w:color w:val="000000" w:themeColor="text1"/>
                      <w:szCs w:val="22"/>
                      <w14:textFill>
                        <w14:solidFill>
                          <w14:schemeClr w14:val="tx1"/>
                        </w14:solidFill>
                      </w14:textFill>
                    </w:rPr>
                  </w:pPr>
                  <w:r>
                    <w:rPr>
                      <w:rFonts w:hint="eastAsia"/>
                      <w:color w:val="000000" w:themeColor="text1"/>
                      <w:szCs w:val="22"/>
                      <w14:textFill>
                        <w14:solidFill>
                          <w14:schemeClr w14:val="tx1"/>
                        </w14:solidFill>
                      </w14:textFill>
                    </w:rPr>
                    <w:t>固废</w:t>
                  </w:r>
                </w:p>
              </w:tc>
              <w:tc>
                <w:tcPr>
                  <w:tcW w:w="2098" w:type="pct"/>
                  <w:vAlign w:val="center"/>
                </w:tcPr>
                <w:p>
                  <w:pPr>
                    <w:snapToGrid w:val="0"/>
                    <w:jc w:val="center"/>
                    <w:rPr>
                      <w:color w:val="000000" w:themeColor="text1"/>
                      <w:szCs w:val="22"/>
                      <w14:textFill>
                        <w14:solidFill>
                          <w14:schemeClr w14:val="tx1"/>
                        </w14:solidFill>
                      </w14:textFill>
                    </w:rPr>
                  </w:pPr>
                  <w:r>
                    <w:rPr>
                      <w:rFonts w:hint="eastAsia"/>
                      <w:color w:val="000000" w:themeColor="text1"/>
                      <w:szCs w:val="22"/>
                      <w14:textFill>
                        <w14:solidFill>
                          <w14:schemeClr w14:val="tx1"/>
                        </w14:solidFill>
                      </w14:textFill>
                    </w:rPr>
                    <w:t>设置一般固废仓库1个、危废仓库1个</w:t>
                  </w:r>
                </w:p>
              </w:tc>
              <w:tc>
                <w:tcPr>
                  <w:tcW w:w="1130" w:type="pct"/>
                  <w:vAlign w:val="center"/>
                </w:tcPr>
                <w:p>
                  <w:pPr>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3</w:t>
                  </w:r>
                </w:p>
              </w:tc>
              <w:tc>
                <w:tcPr>
                  <w:tcW w:w="653" w:type="pct"/>
                  <w:vAlign w:val="center"/>
                </w:tcPr>
                <w:p>
                  <w:pPr>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新建</w:t>
                  </w:r>
                </w:p>
              </w:tc>
              <w:tc>
                <w:tcPr>
                  <w:tcW w:w="610" w:type="pct"/>
                  <w:vMerge w:val="continue"/>
                  <w:vAlign w:val="center"/>
                </w:tcPr>
                <w:p>
                  <w:pPr>
                    <w:jc w:val="center"/>
                    <w:rPr>
                      <w:color w:val="000000" w:themeColor="text1"/>
                      <w:szCs w:val="21"/>
                      <w14:textFill>
                        <w14:solidFill>
                          <w14:schemeClr w14:val="tx1"/>
                        </w14:solidFill>
                      </w14:textFill>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45" w:type="dxa"/>
                  <w:bottom w:w="0" w:type="dxa"/>
                  <w:right w:w="45" w:type="dxa"/>
                </w:tblCellMar>
              </w:tblPrEx>
              <w:trPr>
                <w:trHeight w:val="340" w:hRule="atLeast"/>
                <w:jc w:val="center"/>
              </w:trPr>
              <w:tc>
                <w:tcPr>
                  <w:tcW w:w="508" w:type="pct"/>
                  <w:vAlign w:val="center"/>
                </w:tcPr>
                <w:p>
                  <w:pPr>
                    <w:snapToGrid w:val="0"/>
                    <w:jc w:val="center"/>
                    <w:rPr>
                      <w:color w:val="000000" w:themeColor="text1"/>
                      <w:szCs w:val="22"/>
                      <w14:textFill>
                        <w14:solidFill>
                          <w14:schemeClr w14:val="tx1"/>
                        </w14:solidFill>
                      </w14:textFill>
                    </w:rPr>
                  </w:pPr>
                  <w:r>
                    <w:rPr>
                      <w:rFonts w:hint="eastAsia"/>
                      <w:color w:val="000000" w:themeColor="text1"/>
                      <w:szCs w:val="22"/>
                      <w14:textFill>
                        <w14:solidFill>
                          <w14:schemeClr w14:val="tx1"/>
                        </w14:solidFill>
                      </w14:textFill>
                    </w:rPr>
                    <w:t>噪声</w:t>
                  </w:r>
                </w:p>
              </w:tc>
              <w:tc>
                <w:tcPr>
                  <w:tcW w:w="2098" w:type="pct"/>
                  <w:vAlign w:val="center"/>
                </w:tcPr>
                <w:p>
                  <w:pPr>
                    <w:snapToGrid w:val="0"/>
                    <w:jc w:val="center"/>
                    <w:rPr>
                      <w:color w:val="000000" w:themeColor="text1"/>
                      <w:szCs w:val="22"/>
                      <w14:textFill>
                        <w14:solidFill>
                          <w14:schemeClr w14:val="tx1"/>
                        </w14:solidFill>
                      </w14:textFill>
                    </w:rPr>
                  </w:pPr>
                  <w:r>
                    <w:rPr>
                      <w:rFonts w:hint="eastAsia"/>
                      <w:color w:val="000000" w:themeColor="text1"/>
                      <w:szCs w:val="22"/>
                      <w14:textFill>
                        <w14:solidFill>
                          <w14:schemeClr w14:val="tx1"/>
                        </w14:solidFill>
                      </w14:textFill>
                    </w:rPr>
                    <w:t>减振、隔声设施</w:t>
                  </w:r>
                </w:p>
              </w:tc>
              <w:tc>
                <w:tcPr>
                  <w:tcW w:w="1130" w:type="pct"/>
                  <w:vAlign w:val="center"/>
                </w:tcPr>
                <w:p>
                  <w:pPr>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1</w:t>
                  </w:r>
                </w:p>
              </w:tc>
              <w:tc>
                <w:tcPr>
                  <w:tcW w:w="653" w:type="pct"/>
                  <w:vAlign w:val="center"/>
                </w:tcPr>
                <w:p>
                  <w:pPr>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新建</w:t>
                  </w:r>
                </w:p>
              </w:tc>
              <w:tc>
                <w:tcPr>
                  <w:tcW w:w="610" w:type="pct"/>
                  <w:vMerge w:val="continue"/>
                  <w:vAlign w:val="center"/>
                </w:tcPr>
                <w:p>
                  <w:pPr>
                    <w:jc w:val="center"/>
                    <w:rPr>
                      <w:color w:val="000000" w:themeColor="text1"/>
                      <w:szCs w:val="21"/>
                      <w14:textFill>
                        <w14:solidFill>
                          <w14:schemeClr w14:val="tx1"/>
                        </w14:solidFill>
                      </w14:textFill>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45" w:type="dxa"/>
                  <w:bottom w:w="0" w:type="dxa"/>
                  <w:right w:w="45" w:type="dxa"/>
                </w:tblCellMar>
              </w:tblPrEx>
              <w:trPr>
                <w:trHeight w:val="576" w:hRule="atLeast"/>
                <w:jc w:val="center"/>
              </w:trPr>
              <w:tc>
                <w:tcPr>
                  <w:tcW w:w="508" w:type="pct"/>
                  <w:vMerge w:val="restart"/>
                  <w:vAlign w:val="center"/>
                </w:tcPr>
                <w:p>
                  <w:pPr>
                    <w:snapToGrid w:val="0"/>
                    <w:jc w:val="center"/>
                    <w:rPr>
                      <w:color w:val="000000" w:themeColor="text1"/>
                      <w:szCs w:val="22"/>
                      <w14:textFill>
                        <w14:solidFill>
                          <w14:schemeClr w14:val="tx1"/>
                        </w14:solidFill>
                      </w14:textFill>
                    </w:rPr>
                  </w:pPr>
                  <w:r>
                    <w:rPr>
                      <w:rFonts w:hint="eastAsia"/>
                      <w:color w:val="000000" w:themeColor="text1"/>
                      <w:szCs w:val="22"/>
                      <w14:textFill>
                        <w14:solidFill>
                          <w14:schemeClr w14:val="tx1"/>
                        </w14:solidFill>
                      </w14:textFill>
                    </w:rPr>
                    <w:t>环保标志牌</w:t>
                  </w:r>
                </w:p>
              </w:tc>
              <w:tc>
                <w:tcPr>
                  <w:tcW w:w="2098" w:type="pct"/>
                  <w:vAlign w:val="center"/>
                </w:tcPr>
                <w:p>
                  <w:pPr>
                    <w:snapToGrid w:val="0"/>
                    <w:jc w:val="center"/>
                    <w:rPr>
                      <w:color w:val="000000" w:themeColor="text1"/>
                      <w:szCs w:val="22"/>
                      <w14:textFill>
                        <w14:solidFill>
                          <w14:schemeClr w14:val="tx1"/>
                        </w14:solidFill>
                      </w14:textFill>
                    </w:rPr>
                  </w:pPr>
                  <w:r>
                    <w:rPr>
                      <w:rFonts w:hint="eastAsia"/>
                      <w:color w:val="000000" w:themeColor="text1"/>
                      <w:szCs w:val="22"/>
                      <w14:textFill>
                        <w14:solidFill>
                          <w14:schemeClr w14:val="tx1"/>
                        </w14:solidFill>
                      </w14:textFill>
                    </w:rPr>
                    <w:t>污水排放口、雨水排放口</w:t>
                  </w:r>
                </w:p>
              </w:tc>
              <w:tc>
                <w:tcPr>
                  <w:tcW w:w="1130" w:type="pct"/>
                  <w:vAlign w:val="center"/>
                </w:tcPr>
                <w:p>
                  <w:pPr>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0</w:t>
                  </w:r>
                </w:p>
              </w:tc>
              <w:tc>
                <w:tcPr>
                  <w:tcW w:w="653" w:type="pct"/>
                  <w:vAlign w:val="center"/>
                </w:tcPr>
                <w:p>
                  <w:pPr>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依托</w:t>
                  </w:r>
                  <w:r>
                    <w:rPr>
                      <w:rFonts w:hint="eastAsia"/>
                      <w:color w:val="000000" w:themeColor="text1"/>
                      <w:szCs w:val="21"/>
                      <w14:textFill>
                        <w14:solidFill>
                          <w14:schemeClr w14:val="tx1"/>
                        </w14:solidFill>
                      </w14:textFill>
                    </w:rPr>
                    <w:t>现有</w:t>
                  </w:r>
                </w:p>
              </w:tc>
              <w:tc>
                <w:tcPr>
                  <w:tcW w:w="610" w:type="pct"/>
                  <w:vMerge w:val="continue"/>
                  <w:vAlign w:val="center"/>
                </w:tcPr>
                <w:p>
                  <w:pPr>
                    <w:jc w:val="center"/>
                    <w:rPr>
                      <w:color w:val="000000" w:themeColor="text1"/>
                      <w:szCs w:val="21"/>
                      <w14:textFill>
                        <w14:solidFill>
                          <w14:schemeClr w14:val="tx1"/>
                        </w14:solidFill>
                      </w14:textFill>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45" w:type="dxa"/>
                  <w:bottom w:w="0" w:type="dxa"/>
                  <w:right w:w="45" w:type="dxa"/>
                </w:tblCellMar>
              </w:tblPrEx>
              <w:trPr>
                <w:trHeight w:val="90" w:hRule="atLeast"/>
                <w:jc w:val="center"/>
              </w:trPr>
              <w:tc>
                <w:tcPr>
                  <w:tcW w:w="508" w:type="pct"/>
                  <w:vMerge w:val="continue"/>
                  <w:vAlign w:val="center"/>
                </w:tcPr>
                <w:p>
                  <w:pPr>
                    <w:snapToGrid w:val="0"/>
                    <w:jc w:val="center"/>
                    <w:rPr>
                      <w:color w:val="000000" w:themeColor="text1"/>
                      <w:szCs w:val="22"/>
                      <w14:textFill>
                        <w14:solidFill>
                          <w14:schemeClr w14:val="tx1"/>
                        </w14:solidFill>
                      </w14:textFill>
                    </w:rPr>
                  </w:pPr>
                </w:p>
              </w:tc>
              <w:tc>
                <w:tcPr>
                  <w:tcW w:w="2098" w:type="pct"/>
                  <w:vAlign w:val="center"/>
                </w:tcPr>
                <w:p>
                  <w:pPr>
                    <w:snapToGrid w:val="0"/>
                    <w:jc w:val="center"/>
                    <w:rPr>
                      <w:color w:val="000000" w:themeColor="text1"/>
                      <w:szCs w:val="22"/>
                      <w14:textFill>
                        <w14:solidFill>
                          <w14:schemeClr w14:val="tx1"/>
                        </w14:solidFill>
                      </w14:textFill>
                    </w:rPr>
                  </w:pPr>
                  <w:r>
                    <w:rPr>
                      <w:rFonts w:hint="eastAsia"/>
                      <w:color w:val="000000" w:themeColor="text1"/>
                      <w:szCs w:val="22"/>
                      <w14:textFill>
                        <w14:solidFill>
                          <w14:schemeClr w14:val="tx1"/>
                        </w14:solidFill>
                      </w14:textFill>
                    </w:rPr>
                    <w:t>废气排放口</w:t>
                  </w:r>
                </w:p>
              </w:tc>
              <w:tc>
                <w:tcPr>
                  <w:tcW w:w="1130" w:type="pct"/>
                  <w:vAlign w:val="center"/>
                </w:tcPr>
                <w:p>
                  <w:pPr>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0.1</w:t>
                  </w:r>
                </w:p>
              </w:tc>
              <w:tc>
                <w:tcPr>
                  <w:tcW w:w="653" w:type="pct"/>
                  <w:vAlign w:val="center"/>
                </w:tcPr>
                <w:p>
                  <w:pPr>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新建</w:t>
                  </w:r>
                </w:p>
              </w:tc>
              <w:tc>
                <w:tcPr>
                  <w:tcW w:w="610" w:type="pct"/>
                  <w:vMerge w:val="continue"/>
                  <w:vAlign w:val="center"/>
                </w:tcPr>
                <w:p>
                  <w:pPr>
                    <w:jc w:val="center"/>
                    <w:rPr>
                      <w:color w:val="000000" w:themeColor="text1"/>
                      <w:szCs w:val="21"/>
                      <w14:textFill>
                        <w14:solidFill>
                          <w14:schemeClr w14:val="tx1"/>
                        </w14:solidFill>
                      </w14:textFill>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45" w:type="dxa"/>
                  <w:bottom w:w="0" w:type="dxa"/>
                  <w:right w:w="45" w:type="dxa"/>
                </w:tblCellMar>
              </w:tblPrEx>
              <w:trPr>
                <w:trHeight w:val="340" w:hRule="atLeast"/>
                <w:jc w:val="center"/>
              </w:trPr>
              <w:tc>
                <w:tcPr>
                  <w:tcW w:w="508" w:type="pct"/>
                  <w:vMerge w:val="continue"/>
                  <w:vAlign w:val="center"/>
                </w:tcPr>
                <w:p>
                  <w:pPr>
                    <w:snapToGrid w:val="0"/>
                    <w:jc w:val="center"/>
                    <w:rPr>
                      <w:color w:val="000000" w:themeColor="text1"/>
                      <w:szCs w:val="22"/>
                      <w14:textFill>
                        <w14:solidFill>
                          <w14:schemeClr w14:val="tx1"/>
                        </w14:solidFill>
                      </w14:textFill>
                    </w:rPr>
                  </w:pPr>
                </w:p>
              </w:tc>
              <w:tc>
                <w:tcPr>
                  <w:tcW w:w="2098" w:type="pct"/>
                  <w:vAlign w:val="center"/>
                </w:tcPr>
                <w:p>
                  <w:pPr>
                    <w:snapToGrid w:val="0"/>
                    <w:jc w:val="center"/>
                    <w:rPr>
                      <w:color w:val="000000" w:themeColor="text1"/>
                      <w:szCs w:val="22"/>
                      <w14:textFill>
                        <w14:solidFill>
                          <w14:schemeClr w14:val="tx1"/>
                        </w14:solidFill>
                      </w14:textFill>
                    </w:rPr>
                  </w:pPr>
                  <w:r>
                    <w:rPr>
                      <w:rFonts w:hint="eastAsia"/>
                      <w:color w:val="000000" w:themeColor="text1"/>
                      <w:szCs w:val="22"/>
                      <w14:textFill>
                        <w14:solidFill>
                          <w14:schemeClr w14:val="tx1"/>
                        </w14:solidFill>
                      </w14:textFill>
                    </w:rPr>
                    <w:t>危废仓库、一般固废仓库</w:t>
                  </w:r>
                </w:p>
              </w:tc>
              <w:tc>
                <w:tcPr>
                  <w:tcW w:w="1130" w:type="pct"/>
                  <w:vAlign w:val="center"/>
                </w:tcPr>
                <w:p>
                  <w:pPr>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0.3</w:t>
                  </w:r>
                </w:p>
              </w:tc>
              <w:tc>
                <w:tcPr>
                  <w:tcW w:w="653" w:type="pct"/>
                  <w:vAlign w:val="center"/>
                </w:tcPr>
                <w:p>
                  <w:pPr>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新建</w:t>
                  </w:r>
                </w:p>
              </w:tc>
              <w:tc>
                <w:tcPr>
                  <w:tcW w:w="610" w:type="pct"/>
                  <w:vMerge w:val="continue"/>
                  <w:vAlign w:val="center"/>
                </w:tcPr>
                <w:p>
                  <w:pPr>
                    <w:jc w:val="center"/>
                    <w:rPr>
                      <w:color w:val="000000" w:themeColor="text1"/>
                      <w:szCs w:val="21"/>
                      <w14:textFill>
                        <w14:solidFill>
                          <w14:schemeClr w14:val="tx1"/>
                        </w14:solidFill>
                      </w14:textFill>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45" w:type="dxa"/>
                  <w:bottom w:w="0" w:type="dxa"/>
                  <w:right w:w="45" w:type="dxa"/>
                </w:tblCellMar>
              </w:tblPrEx>
              <w:trPr>
                <w:trHeight w:val="340" w:hRule="atLeast"/>
                <w:jc w:val="center"/>
              </w:trPr>
              <w:tc>
                <w:tcPr>
                  <w:tcW w:w="2606" w:type="pct"/>
                  <w:gridSpan w:val="2"/>
                  <w:vAlign w:val="center"/>
                </w:tcPr>
                <w:p>
                  <w:pPr>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合计</w:t>
                  </w:r>
                </w:p>
              </w:tc>
              <w:tc>
                <w:tcPr>
                  <w:tcW w:w="1783" w:type="pct"/>
                  <w:gridSpan w:val="2"/>
                  <w:vAlign w:val="center"/>
                </w:tcPr>
                <w:p>
                  <w:pPr>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1</w:t>
                  </w:r>
                  <w:r>
                    <w:rPr>
                      <w:rFonts w:hint="eastAsia"/>
                      <w:color w:val="000000" w:themeColor="text1"/>
                      <w:szCs w:val="21"/>
                      <w:lang w:val="en-US" w:eastAsia="zh-CN"/>
                      <w14:textFill>
                        <w14:solidFill>
                          <w14:schemeClr w14:val="tx1"/>
                        </w14:solidFill>
                      </w14:textFill>
                    </w:rPr>
                    <w:t>9</w:t>
                  </w:r>
                  <w:r>
                    <w:rPr>
                      <w:rFonts w:hint="eastAsia"/>
                      <w:color w:val="000000" w:themeColor="text1"/>
                      <w:szCs w:val="21"/>
                      <w14:textFill>
                        <w14:solidFill>
                          <w14:schemeClr w14:val="tx1"/>
                        </w14:solidFill>
                      </w14:textFill>
                    </w:rPr>
                    <w:t>.4</w:t>
                  </w:r>
                </w:p>
              </w:tc>
              <w:tc>
                <w:tcPr>
                  <w:tcW w:w="610" w:type="pct"/>
                  <w:vMerge w:val="continue"/>
                  <w:vAlign w:val="center"/>
                </w:tcPr>
                <w:p>
                  <w:pPr>
                    <w:jc w:val="center"/>
                    <w:rPr>
                      <w:color w:val="000000" w:themeColor="text1"/>
                      <w:szCs w:val="21"/>
                      <w14:textFill>
                        <w14:solidFill>
                          <w14:schemeClr w14:val="tx1"/>
                        </w14:solidFill>
                      </w14:textFill>
                    </w:rPr>
                  </w:pPr>
                </w:p>
              </w:tc>
            </w:tr>
          </w:tbl>
          <w:p>
            <w:pPr>
              <w:spacing w:line="360" w:lineRule="auto"/>
              <w:ind w:firstLine="480" w:firstLineChars="200"/>
              <w:rPr>
                <w:color w:val="000000" w:themeColor="text1"/>
                <w:sz w:val="24"/>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14" w:hRule="atLeast"/>
          <w:jc w:val="center"/>
        </w:trPr>
        <w:tc>
          <w:tcPr>
            <w:tcW w:w="8542" w:type="dxa"/>
            <w:gridSpan w:val="9"/>
            <w:tcBorders>
              <w:top w:val="single" w:color="auto" w:sz="12" w:space="0"/>
              <w:left w:val="single" w:color="auto" w:sz="12" w:space="0"/>
              <w:bottom w:val="single" w:color="auto" w:sz="12" w:space="0"/>
              <w:right w:val="single" w:color="auto" w:sz="12" w:space="0"/>
            </w:tcBorders>
          </w:tcPr>
          <w:p>
            <w:pPr>
              <w:spacing w:line="360" w:lineRule="auto"/>
              <w:rPr>
                <w:b/>
                <w:sz w:val="24"/>
              </w:rPr>
            </w:pPr>
            <w:r>
              <w:rPr>
                <w:b/>
                <w:sz w:val="24"/>
              </w:rPr>
              <w:t>与本项目有关的原有污染情况及主要环境问题：</w:t>
            </w:r>
          </w:p>
          <w:p>
            <w:pPr>
              <w:pStyle w:val="288"/>
              <w:adjustRightInd w:val="0"/>
              <w:snapToGrid w:val="0"/>
              <w:ind w:firstLine="480"/>
              <w:rPr>
                <w:szCs w:val="24"/>
              </w:rPr>
            </w:pPr>
            <w:r>
              <w:rPr>
                <w:rFonts w:hint="eastAsia"/>
                <w:szCs w:val="24"/>
              </w:rPr>
              <w:t>1、本项目有关的原有污染情况及主要环境问题</w:t>
            </w:r>
          </w:p>
          <w:p>
            <w:pPr>
              <w:pStyle w:val="288"/>
              <w:keepNext w:val="0"/>
              <w:keepLines w:val="0"/>
              <w:pageBreakBefore w:val="0"/>
              <w:widowControl w:val="0"/>
              <w:kinsoku/>
              <w:wordWrap/>
              <w:overflowPunct/>
              <w:topLinePunct w:val="0"/>
              <w:autoSpaceDE/>
              <w:autoSpaceDN/>
              <w:bidi w:val="0"/>
              <w:adjustRightInd w:val="0"/>
              <w:snapToGrid w:val="0"/>
              <w:ind w:left="0" w:leftChars="0" w:firstLine="480" w:firstLineChars="200"/>
              <w:jc w:val="both"/>
              <w:textAlignment w:val="auto"/>
              <w:rPr>
                <w:rFonts w:hint="eastAsia"/>
                <w:szCs w:val="24"/>
                <w:lang w:val="en-US" w:eastAsia="zh-CN"/>
              </w:rPr>
            </w:pPr>
            <w:r>
              <w:rPr>
                <w:rFonts w:hint="eastAsia"/>
                <w:szCs w:val="24"/>
                <w:lang w:val="en-US" w:eastAsia="zh-CN"/>
              </w:rPr>
              <w:t>本项目为新建项目，租用智科技园4#标准厂房所属建筑面积为4428平方米的闲置标准化车间进行生产，该厂房为新建厂房，目前已建设完成，未从事生产活动，故本项目无原有污染情况。</w:t>
            </w:r>
          </w:p>
          <w:p>
            <w:pPr>
              <w:pStyle w:val="288"/>
              <w:adjustRightInd w:val="0"/>
              <w:snapToGrid w:val="0"/>
              <w:ind w:firstLine="480"/>
              <w:rPr>
                <w:b/>
                <w:bCs/>
                <w:szCs w:val="24"/>
              </w:rPr>
            </w:pPr>
            <w:r>
              <w:rPr>
                <w:rFonts w:hint="eastAsia"/>
                <w:b/>
                <w:bCs/>
                <w:szCs w:val="24"/>
              </w:rPr>
              <w:t xml:space="preserve"> 2、本项目与</w:t>
            </w:r>
            <w:r>
              <w:rPr>
                <w:rFonts w:hint="eastAsia"/>
                <w:b/>
                <w:bCs/>
                <w:szCs w:val="24"/>
                <w:lang w:eastAsia="zh-CN"/>
              </w:rPr>
              <w:t>智谷科技园</w:t>
            </w:r>
            <w:r>
              <w:rPr>
                <w:rFonts w:hint="eastAsia"/>
                <w:b/>
                <w:bCs/>
                <w:szCs w:val="24"/>
              </w:rPr>
              <w:t>依托关系：</w:t>
            </w:r>
          </w:p>
          <w:p>
            <w:pPr>
              <w:pStyle w:val="288"/>
              <w:adjustRightInd w:val="0"/>
              <w:snapToGrid w:val="0"/>
              <w:ind w:firstLine="480"/>
              <w:rPr>
                <w:szCs w:val="24"/>
              </w:rPr>
            </w:pPr>
            <w:r>
              <w:rPr>
                <w:rFonts w:hint="eastAsia"/>
                <w:szCs w:val="24"/>
                <w:lang w:eastAsia="zh-CN"/>
              </w:rPr>
              <w:t>智谷科技园</w:t>
            </w:r>
            <w:r>
              <w:rPr>
                <w:rFonts w:hint="eastAsia"/>
                <w:szCs w:val="24"/>
              </w:rPr>
              <w:t>已按照“雨污分流”的原则进行建设，设置一个污水排放口和雨水排口。</w:t>
            </w:r>
          </w:p>
          <w:p>
            <w:pPr>
              <w:pStyle w:val="288"/>
              <w:adjustRightInd w:val="0"/>
              <w:snapToGrid w:val="0"/>
              <w:ind w:firstLine="480"/>
              <w:rPr>
                <w:szCs w:val="24"/>
              </w:rPr>
            </w:pPr>
            <w:r>
              <w:rPr>
                <w:rFonts w:hint="eastAsia"/>
                <w:szCs w:val="24"/>
              </w:rPr>
              <w:t>经与建设单位核实，本项目与其依托关系如下：</w:t>
            </w:r>
          </w:p>
          <w:p>
            <w:pPr>
              <w:pStyle w:val="288"/>
              <w:adjustRightInd w:val="0"/>
              <w:snapToGrid w:val="0"/>
              <w:ind w:firstLine="480"/>
              <w:rPr>
                <w:szCs w:val="24"/>
              </w:rPr>
            </w:pPr>
            <w:r>
              <w:rPr>
                <w:rFonts w:hint="eastAsia"/>
                <w:szCs w:val="24"/>
              </w:rPr>
              <w:t>（1）本项目员工生活污水依托</w:t>
            </w:r>
            <w:r>
              <w:rPr>
                <w:rFonts w:hint="eastAsia"/>
                <w:szCs w:val="24"/>
                <w:lang w:eastAsia="zh-CN"/>
              </w:rPr>
              <w:t>智谷科技园</w:t>
            </w:r>
            <w:r>
              <w:rPr>
                <w:rFonts w:hint="eastAsia"/>
                <w:szCs w:val="24"/>
              </w:rPr>
              <w:t>生活污水管网和排污口，接入区域污水管网。生活污水经化粪池处理后经市政污水管网排入金坛区第二污水处理厂处理，最终排入尧塘河。本项目在接入</w:t>
            </w:r>
            <w:r>
              <w:rPr>
                <w:rFonts w:hint="eastAsia"/>
                <w:szCs w:val="24"/>
                <w:lang w:eastAsia="zh-CN"/>
              </w:rPr>
              <w:t>智谷科技园</w:t>
            </w:r>
            <w:r>
              <w:rPr>
                <w:rFonts w:hint="eastAsia"/>
                <w:szCs w:val="24"/>
              </w:rPr>
              <w:t>污水管网的接管口前单独设置采样井及环境保护提示牌。</w:t>
            </w:r>
            <w:r>
              <w:rPr>
                <w:rFonts w:hint="eastAsia"/>
                <w:szCs w:val="24"/>
                <w:lang w:eastAsia="zh-CN"/>
              </w:rPr>
              <w:t>江苏华益壹品医疗科技有限公司</w:t>
            </w:r>
            <w:r>
              <w:rPr>
                <w:rFonts w:hint="eastAsia"/>
                <w:szCs w:val="24"/>
              </w:rPr>
              <w:t>应确保本项目仅排放员工的生活污水，严禁向排污口倾倒其他废水、废液等。</w:t>
            </w:r>
          </w:p>
          <w:p>
            <w:pPr>
              <w:pStyle w:val="288"/>
              <w:adjustRightInd w:val="0"/>
              <w:snapToGrid w:val="0"/>
              <w:ind w:firstLine="480"/>
              <w:rPr>
                <w:color w:val="auto"/>
                <w:szCs w:val="24"/>
              </w:rPr>
            </w:pPr>
            <w:r>
              <w:rPr>
                <w:rFonts w:hint="eastAsia"/>
                <w:szCs w:val="24"/>
              </w:rPr>
              <w:t>（2）本项目不增设雨水管网及雨水排口，依托</w:t>
            </w:r>
            <w:r>
              <w:rPr>
                <w:rFonts w:hint="eastAsia"/>
                <w:szCs w:val="24"/>
                <w:lang w:eastAsia="zh-CN"/>
              </w:rPr>
              <w:t>智谷科技园</w:t>
            </w:r>
            <w:r>
              <w:rPr>
                <w:rFonts w:hint="eastAsia"/>
                <w:szCs w:val="24"/>
              </w:rPr>
              <w:t>已有雨水管网及雨水排口。</w:t>
            </w:r>
          </w:p>
          <w:p>
            <w:pPr>
              <w:pStyle w:val="288"/>
              <w:adjustRightInd w:val="0"/>
              <w:snapToGrid w:val="0"/>
              <w:ind w:firstLine="480"/>
              <w:rPr>
                <w:color w:val="auto"/>
                <w:szCs w:val="24"/>
              </w:rPr>
            </w:pPr>
            <w:r>
              <w:rPr>
                <w:rFonts w:hint="eastAsia"/>
                <w:color w:val="auto"/>
                <w:szCs w:val="24"/>
              </w:rPr>
              <w:t>（3）本项目供水、供电等基础设施均依托</w:t>
            </w:r>
            <w:r>
              <w:rPr>
                <w:rFonts w:hint="eastAsia"/>
                <w:color w:val="auto"/>
                <w:szCs w:val="24"/>
                <w:lang w:eastAsia="zh-CN"/>
              </w:rPr>
              <w:t>智谷科技园</w:t>
            </w:r>
            <w:r>
              <w:rPr>
                <w:rFonts w:hint="eastAsia"/>
                <w:color w:val="auto"/>
                <w:szCs w:val="24"/>
              </w:rPr>
              <w:t>。</w:t>
            </w:r>
          </w:p>
          <w:p>
            <w:pPr>
              <w:pStyle w:val="288"/>
              <w:adjustRightInd w:val="0"/>
              <w:snapToGrid w:val="0"/>
              <w:ind w:firstLine="480"/>
              <w:rPr>
                <w:kern w:val="2"/>
                <w:szCs w:val="24"/>
              </w:rPr>
            </w:pPr>
            <w:r>
              <w:rPr>
                <w:rFonts w:hint="eastAsia"/>
                <w:color w:val="auto"/>
                <w:szCs w:val="24"/>
                <w:lang w:eastAsia="zh-CN"/>
              </w:rPr>
              <w:t>江苏华益壹品医疗科技有限公司</w:t>
            </w:r>
            <w:r>
              <w:rPr>
                <w:rFonts w:hint="eastAsia"/>
                <w:color w:val="auto"/>
                <w:szCs w:val="24"/>
              </w:rPr>
              <w:t>应加强管理，确保厂区废水总排污口各因子可达金坛区第二污水处理厂接管标准要求。若采样井出现超标排放，由</w:t>
            </w:r>
            <w:r>
              <w:rPr>
                <w:rFonts w:hint="eastAsia"/>
                <w:color w:val="auto"/>
                <w:szCs w:val="24"/>
                <w:lang w:eastAsia="zh-CN"/>
              </w:rPr>
              <w:t>江苏华益壹品医疗科技有限公司</w:t>
            </w:r>
            <w:r>
              <w:rPr>
                <w:rFonts w:hint="eastAsia"/>
                <w:color w:val="auto"/>
                <w:szCs w:val="24"/>
              </w:rPr>
              <w:t>承担相关责任。</w:t>
            </w:r>
          </w:p>
        </w:tc>
      </w:tr>
    </w:tbl>
    <w:p>
      <w:pPr>
        <w:pStyle w:val="312"/>
        <w:rPr>
          <w:rFonts w:ascii="Times New Roman" w:hAnsi="Times New Roman"/>
        </w:rPr>
      </w:pPr>
      <w:r>
        <w:rPr>
          <w:rFonts w:ascii="Times New Roman" w:hAnsi="Times New Roman"/>
        </w:rPr>
        <w:t>建设项目所在地自然环境</w:t>
      </w:r>
    </w:p>
    <w:tbl>
      <w:tblPr>
        <w:tblStyle w:val="56"/>
        <w:tblW w:w="8744"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8744"/>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3129" w:hRule="atLeast"/>
          <w:jc w:val="center"/>
        </w:trPr>
        <w:tc>
          <w:tcPr>
            <w:tcW w:w="8744" w:type="dxa"/>
          </w:tcPr>
          <w:p>
            <w:pPr>
              <w:adjustRightInd w:val="0"/>
              <w:snapToGrid w:val="0"/>
              <w:spacing w:line="360" w:lineRule="auto"/>
              <w:rPr>
                <w:b/>
                <w:sz w:val="24"/>
              </w:rPr>
            </w:pPr>
            <w:r>
              <w:rPr>
                <w:b/>
                <w:sz w:val="24"/>
              </w:rPr>
              <w:t>自然环境简况：</w:t>
            </w:r>
          </w:p>
          <w:p>
            <w:pPr>
              <w:spacing w:line="360" w:lineRule="auto"/>
              <w:ind w:firstLine="480" w:firstLineChars="200"/>
              <w:rPr>
                <w:b/>
                <w:sz w:val="24"/>
              </w:rPr>
            </w:pPr>
            <w:r>
              <w:rPr>
                <w:b/>
                <w:sz w:val="24"/>
              </w:rPr>
              <w:t>1、地理位置</w:t>
            </w:r>
          </w:p>
          <w:p>
            <w:pPr>
              <w:spacing w:line="360" w:lineRule="auto"/>
              <w:ind w:firstLine="480" w:firstLineChars="200"/>
              <w:rPr>
                <w:sz w:val="24"/>
              </w:rPr>
            </w:pPr>
            <w:r>
              <w:rPr>
                <w:sz w:val="24"/>
              </w:rPr>
              <w:t>金坛区地处苏南中部，茅山东麓，位于北纬31°33’42”-31°53’22”，东经119°17’45”-119°44’59”，为宁（南京）、沪（上海）、杭（杭州）三角地带之中枢。常州至溧水公路东西贯串，镇江至广德公路南北穿越。境内水陆交通方便，东与武进市相边；西界茅山，与句容市接壤；南濒洮湖，与溧阳、宜兴市依水相望；北与丹阳市、丹徒县毗邻。全境东西方向最长约50公里，南北方向最长约40公里，总面积976.3平方公里，其中陆地约占80%，水面约占20%。</w:t>
            </w:r>
          </w:p>
          <w:p>
            <w:pPr>
              <w:spacing w:line="360" w:lineRule="auto"/>
              <w:ind w:firstLine="480" w:firstLineChars="200"/>
              <w:rPr>
                <w:sz w:val="24"/>
                <w:szCs w:val="22"/>
              </w:rPr>
            </w:pPr>
            <w:r>
              <w:rPr>
                <w:rFonts w:hint="eastAsia"/>
                <w:sz w:val="24"/>
                <w:szCs w:val="22"/>
              </w:rPr>
              <w:t>金城镇是全国百家明星县(市)--金坛区政治、经济、文化的中心。全镇面积92.8平方千米(2017年)，人口60758人(2017年)，是典型的江南"鱼米之乡"。自古以来就以物产丰饶、繁荣富庶享誉大江南北。具有"钟灵毓秀、人文荟萃"和"江东福地"之誉。著名的数学家华罗庚就诞生于此。城内的名胜古迹有华罗庚纪念馆和段玉裁纪念馆等，附近的旅游景点主要有闻名遐迩的道教圣地--茅山。</w:t>
            </w:r>
          </w:p>
          <w:p>
            <w:pPr>
              <w:spacing w:line="360" w:lineRule="auto"/>
              <w:ind w:firstLine="480" w:firstLineChars="200"/>
              <w:rPr>
                <w:sz w:val="24"/>
              </w:rPr>
            </w:pPr>
            <w:r>
              <w:rPr>
                <w:sz w:val="24"/>
              </w:rPr>
              <w:t>本项目位于</w:t>
            </w:r>
            <w:r>
              <w:rPr>
                <w:rFonts w:hint="eastAsia"/>
                <w:sz w:val="24"/>
                <w:lang w:eastAsia="zh-CN"/>
              </w:rPr>
              <w:t>金坛经济开发区复兴路智谷科技园4号楼2楼西</w:t>
            </w:r>
            <w:r>
              <w:rPr>
                <w:sz w:val="24"/>
              </w:rPr>
              <w:t>，项目地理位置图见附图</w:t>
            </w:r>
            <w:r>
              <w:rPr>
                <w:rFonts w:hint="eastAsia"/>
                <w:sz w:val="24"/>
              </w:rPr>
              <w:t>1</w:t>
            </w:r>
            <w:r>
              <w:rPr>
                <w:sz w:val="24"/>
              </w:rPr>
              <w:t>。</w:t>
            </w:r>
          </w:p>
          <w:p>
            <w:pPr>
              <w:spacing w:line="360" w:lineRule="auto"/>
              <w:ind w:firstLine="480" w:firstLineChars="200"/>
              <w:rPr>
                <w:b/>
                <w:sz w:val="24"/>
              </w:rPr>
            </w:pPr>
            <w:r>
              <w:rPr>
                <w:b/>
                <w:sz w:val="24"/>
              </w:rPr>
              <w:t>2、地形、地貌、地质</w:t>
            </w:r>
          </w:p>
          <w:p>
            <w:pPr>
              <w:spacing w:line="360" w:lineRule="auto"/>
              <w:ind w:firstLine="480" w:firstLineChars="200"/>
              <w:rPr>
                <w:sz w:val="24"/>
              </w:rPr>
            </w:pPr>
            <w:r>
              <w:rPr>
                <w:sz w:val="24"/>
              </w:rPr>
              <w:t>金坛区域西缘为南北走向的茅山低山丘陵，其东为长江三角洲西部的冲积湖积平原区。冲击湖积平原区中央微凹，东西两侧微凸，至西向东可进一步分为三个次一级地貌单元：西部的黄土缓岗、中部的冲击湖积圩田平原和东部的高亢平原。从总体上看，全</w:t>
            </w:r>
            <w:r>
              <w:rPr>
                <w:rFonts w:hint="eastAsia"/>
                <w:sz w:val="24"/>
              </w:rPr>
              <w:t>区</w:t>
            </w:r>
            <w:r>
              <w:rPr>
                <w:sz w:val="24"/>
              </w:rPr>
              <w:t>地势自西向东倾斜。</w:t>
            </w:r>
          </w:p>
          <w:p>
            <w:pPr>
              <w:spacing w:line="360" w:lineRule="auto"/>
              <w:ind w:firstLine="480" w:firstLineChars="200"/>
              <w:rPr>
                <w:sz w:val="24"/>
              </w:rPr>
            </w:pPr>
            <w:r>
              <w:rPr>
                <w:sz w:val="24"/>
              </w:rPr>
              <w:t>低山丘陵：市域所属的茅山低山丘陵为茅山山脉北段山脊线以东部分，分布在境内西部的茅东林场以及茅麓、薛埠和罗村，海拔一般在50米以上，总面积约41平方公里，占全市总面积的4.2%。它由一系列近北东～西南向或近东西向的山体所组成。</w:t>
            </w:r>
          </w:p>
          <w:p>
            <w:pPr>
              <w:spacing w:line="360" w:lineRule="auto"/>
              <w:ind w:firstLine="480" w:firstLineChars="200"/>
              <w:rPr>
                <w:sz w:val="24"/>
              </w:rPr>
            </w:pPr>
            <w:r>
              <w:rPr>
                <w:sz w:val="24"/>
              </w:rPr>
              <w:t>茅山山脉是秦淮河水系和太湖水系的分水岭，山体主脉一般不低于海拔300米，山坡上中部坡度常大于25°。金坛与句容市界上的顶宫海拔372.5米，为市域最高峰。</w:t>
            </w:r>
          </w:p>
          <w:p>
            <w:pPr>
              <w:spacing w:line="360" w:lineRule="auto"/>
              <w:ind w:firstLine="480" w:firstLineChars="200"/>
              <w:rPr>
                <w:sz w:val="24"/>
              </w:rPr>
            </w:pPr>
            <w:r>
              <w:rPr>
                <w:sz w:val="24"/>
              </w:rPr>
              <w:t>黄土缓岗：即茅山山麓的二级和三级阶地，海拔一般10～30米。西至茅东水库东侧向东延伸到九江口一带，自北向南包括西、茅麓、茅麓茶场和花山的大部分，薛埠镇的东部、方麓茶场的全部和罗村的大部。面积约182平方公里，占全市的18.7%。</w:t>
            </w:r>
          </w:p>
          <w:p>
            <w:pPr>
              <w:spacing w:line="360" w:lineRule="auto"/>
              <w:ind w:firstLine="480" w:firstLineChars="200"/>
              <w:rPr>
                <w:sz w:val="24"/>
              </w:rPr>
            </w:pPr>
            <w:r>
              <w:rPr>
                <w:sz w:val="24"/>
              </w:rPr>
              <w:t>冲积、湖积圩田平原：大致分布在登冠、建昌、直溪、朱林、西岗、唐王、社头和指前，面积约387平方公里，占全市总面积的39.7%。该平原呈南北走向，地势低洼，大部分在海拔6米以下，湖荡众多，河道纵横。</w:t>
            </w:r>
          </w:p>
          <w:p>
            <w:pPr>
              <w:spacing w:line="360" w:lineRule="auto"/>
              <w:ind w:firstLine="480" w:firstLineChars="200"/>
              <w:rPr>
                <w:sz w:val="24"/>
              </w:rPr>
            </w:pPr>
            <w:r>
              <w:rPr>
                <w:sz w:val="24"/>
              </w:rPr>
              <w:t>高亢平原：主要分布在水北、五叶、儒林、汤庄、尧塘、岸头、城东、河头、白塔、后阳、城西和沭渎，面积约365平方公里，占全市面积的37.4%，海拔6～9米，地势平坦，河渠交错</w:t>
            </w:r>
            <w:r>
              <w:rPr>
                <w:rFonts w:hint="eastAsia"/>
                <w:sz w:val="24"/>
              </w:rPr>
              <w:t>。</w:t>
            </w:r>
          </w:p>
          <w:p>
            <w:pPr>
              <w:spacing w:line="360" w:lineRule="auto"/>
              <w:ind w:firstLine="480" w:firstLineChars="200"/>
              <w:rPr>
                <w:b/>
                <w:sz w:val="24"/>
                <w:szCs w:val="24"/>
              </w:rPr>
            </w:pPr>
            <w:r>
              <w:rPr>
                <w:b/>
                <w:sz w:val="24"/>
                <w:szCs w:val="24"/>
              </w:rPr>
              <w:t>3、气候、气象</w:t>
            </w:r>
          </w:p>
          <w:p>
            <w:pPr>
              <w:spacing w:line="360" w:lineRule="auto"/>
              <w:ind w:firstLine="480" w:firstLineChars="200"/>
              <w:rPr>
                <w:sz w:val="24"/>
              </w:rPr>
            </w:pPr>
            <w:r>
              <w:rPr>
                <w:sz w:val="24"/>
              </w:rPr>
              <w:t>金坛区属于亚热带湿润季风气候区，四季分明，气候温暖，雨量充沛，日照充足，无霜期长，常年主导风向为东南风，风向有明显的季节性变化。年平均气温15.3°C，年平均最高气温19.7°C，最低11.6°C。最热月（七月）平均气温27.8°C，最冷月（一月）平均气温2.4°C，极端最高温度（1959、8）39.3°C，极端最低温度（1955、1）-16.0°C。历年日最高温度≥35</w:t>
            </w:r>
            <w:r>
              <w:rPr>
                <w:rFonts w:hint="eastAsia" w:cs="宋体"/>
                <w:sz w:val="24"/>
              </w:rPr>
              <w:t>℃</w:t>
            </w:r>
            <w:r>
              <w:rPr>
                <w:sz w:val="24"/>
              </w:rPr>
              <w:t>的年均12天。冬春季寒潮平均每年出现3次。全境地处季风区。冬季多偏北风，夏季多东南风，全年以东南风的几率最多，年平均风速3.3米/秒。解放后出现最大风速20米/秒的有9年，年均大风日数为11.6天。台风年均2.7次，龙卷风3年一遇。</w:t>
            </w:r>
          </w:p>
          <w:p>
            <w:pPr>
              <w:spacing w:line="360" w:lineRule="auto"/>
              <w:ind w:firstLine="480" w:firstLineChars="200"/>
              <w:rPr>
                <w:sz w:val="24"/>
              </w:rPr>
            </w:pPr>
            <w:r>
              <w:rPr>
                <w:sz w:val="24"/>
              </w:rPr>
              <w:t>雨量丰沛，但时空分布不均匀。年平均降水量1063.5毫米，有80%的年份雨量在900毫米以上。全年降水时空分布不匀，有三个明显的多雨期：4-5月为春雨期，6-7月为梅雨期，9-10月为台风秋雨期。4-9月的降水量占全年的77.5%，7月雨量为最多月，一般150-200毫米；12月和1月为雨量最少月，平均30毫米左右。最大年降水量为1835.8毫米（1991年），最小年降水量为56.1毫米（1978年）。实测最大一日降水250.8毫米，最大月份降水量605.8毫米，历年日降水量≥0.1毫米的平均日数124.2天。历年平均蒸发量1349毫米，历年最大蒸发量1519.6毫米。蒸降比为1.27</w:t>
            </w:r>
            <w:r>
              <w:rPr>
                <w:rFonts w:hint="eastAsia"/>
                <w:sz w:val="24"/>
              </w:rPr>
              <w:t>。</w:t>
            </w:r>
          </w:p>
          <w:p>
            <w:pPr>
              <w:spacing w:line="360" w:lineRule="auto"/>
              <w:ind w:firstLine="480" w:firstLineChars="200"/>
              <w:rPr>
                <w:b/>
                <w:sz w:val="24"/>
                <w:szCs w:val="24"/>
              </w:rPr>
            </w:pPr>
            <w:r>
              <w:rPr>
                <w:b/>
                <w:sz w:val="24"/>
                <w:szCs w:val="24"/>
              </w:rPr>
              <w:t>4、水文</w:t>
            </w:r>
          </w:p>
          <w:p>
            <w:pPr>
              <w:spacing w:line="360" w:lineRule="auto"/>
              <w:ind w:firstLine="480" w:firstLineChars="200"/>
              <w:rPr>
                <w:sz w:val="24"/>
              </w:rPr>
            </w:pPr>
            <w:r>
              <w:rPr>
                <w:sz w:val="24"/>
              </w:rPr>
              <w:t>金坛水系属太湖流域水系，具有水域面积大、过境水量多、雨量充沛等特点。境内水域面积42.2万亩，除去部分荡滩、苇地、沟渠等，实际水面为36.5万亩，其中河流7.7万亩，占20.99％；湖泊12.6万亩，占34.38％；水库0.67万亩，占1.82％；塘坝7.95万亩，占21.78％；渔塘7.68万亩，占2l.03％。</w:t>
            </w:r>
          </w:p>
          <w:p>
            <w:pPr>
              <w:spacing w:line="360" w:lineRule="auto"/>
              <w:ind w:firstLine="480" w:firstLineChars="200"/>
              <w:rPr>
                <w:sz w:val="24"/>
              </w:rPr>
            </w:pPr>
            <w:r>
              <w:rPr>
                <w:sz w:val="24"/>
              </w:rPr>
              <w:t>金坛区的水系以丹金溧漕河为主，上游接丹阳境内大运河经谏壁通长江，下游向南连长荡湖、滆湖，注入太湖，市区内有通济河、运粮河、社桥河，东有尧塘河、下坵河，南有老鸭河及东、西城河。老城河仅在北部及东南部尚有残留河段，其余均已填没。金坛区以外还有许多湖泊，主要包括长荡湖、小型湖泊（如</w:t>
            </w:r>
            <w:bookmarkStart w:id="4" w:name="OLE_LINK20"/>
            <w:r>
              <w:rPr>
                <w:sz w:val="24"/>
              </w:rPr>
              <w:t>钱资荡</w:t>
            </w:r>
            <w:bookmarkEnd w:id="4"/>
            <w:r>
              <w:rPr>
                <w:sz w:val="24"/>
              </w:rPr>
              <w:t>）、湖荡（如天荒湖）三种。丹金溧漕河、钱资荡、长荡湖为市区地表水水源。</w:t>
            </w:r>
          </w:p>
          <w:p>
            <w:pPr>
              <w:spacing w:line="360" w:lineRule="auto"/>
              <w:ind w:firstLine="480" w:firstLineChars="200"/>
              <w:rPr>
                <w:sz w:val="24"/>
              </w:rPr>
            </w:pPr>
            <w:r>
              <w:rPr>
                <w:sz w:val="24"/>
              </w:rPr>
              <w:t>（1）丹金溧漕河：该河为太湖流域地区排洪、引水、航运的骨干河流，北接尧塘河，南入长荡湖，全长66.5公里。丹金溧漕河市区段河面宽60m，底宽20m，航道等级现为五级。2000年汛期入境水量为6.992亿m</w:t>
            </w:r>
            <w:r>
              <w:rPr>
                <w:sz w:val="24"/>
                <w:vertAlign w:val="superscript"/>
              </w:rPr>
              <w:t>3</w:t>
            </w:r>
            <w:r>
              <w:rPr>
                <w:sz w:val="24"/>
              </w:rPr>
              <w:t>，年平均流量为28.8m</w:t>
            </w:r>
            <w:r>
              <w:rPr>
                <w:sz w:val="24"/>
                <w:vertAlign w:val="superscript"/>
              </w:rPr>
              <w:t>3</w:t>
            </w:r>
            <w:r>
              <w:rPr>
                <w:sz w:val="24"/>
              </w:rPr>
              <w:t>/s，最高洪水水位为6.4m，最低枯水水位为2.12m，常年平均水位为3.49m，市区段全年水质处于</w:t>
            </w:r>
            <w:r>
              <w:rPr>
                <w:rFonts w:hint="eastAsia" w:cs="宋体"/>
                <w:sz w:val="24"/>
              </w:rPr>
              <w:t>Ⅳ</w:t>
            </w:r>
            <w:r>
              <w:rPr>
                <w:sz w:val="24"/>
              </w:rPr>
              <w:t>～</w:t>
            </w:r>
            <w:r>
              <w:rPr>
                <w:rFonts w:hint="eastAsia" w:cs="宋体"/>
                <w:sz w:val="24"/>
              </w:rPr>
              <w:t>Ⅴ</w:t>
            </w:r>
            <w:r>
              <w:rPr>
                <w:sz w:val="24"/>
              </w:rPr>
              <w:t>类。</w:t>
            </w:r>
          </w:p>
          <w:p>
            <w:pPr>
              <w:spacing w:line="360" w:lineRule="auto"/>
              <w:ind w:firstLine="480" w:firstLineChars="200"/>
              <w:rPr>
                <w:sz w:val="24"/>
              </w:rPr>
            </w:pPr>
            <w:r>
              <w:rPr>
                <w:sz w:val="24"/>
              </w:rPr>
              <w:t>（2）尧塘河：为丹金溧漕河支流，水面宽32m，平均水深1.5m，流速0.16m/s，西起丹金溧漕河，东至武进夏溪镇，全长17.3公里，主要功能为工业、农业用水，属于太湖流域湖西水系，水质目标为</w:t>
            </w:r>
            <w:r>
              <w:rPr>
                <w:rFonts w:hint="eastAsia" w:cs="宋体"/>
                <w:sz w:val="24"/>
              </w:rPr>
              <w:t>Ⅳ</w:t>
            </w:r>
            <w:r>
              <w:rPr>
                <w:sz w:val="24"/>
              </w:rPr>
              <w:t>类。</w:t>
            </w:r>
          </w:p>
          <w:p>
            <w:pPr>
              <w:spacing w:line="360" w:lineRule="auto"/>
              <w:ind w:firstLine="480" w:firstLineChars="200"/>
              <w:rPr>
                <w:sz w:val="24"/>
              </w:rPr>
            </w:pPr>
            <w:r>
              <w:rPr>
                <w:sz w:val="24"/>
              </w:rPr>
              <w:t>（3）通济河：有名直溪、直里河，通济河总集体面积752平方公里，跨越镇江市句容、丹徒、丹阳。其西北为丘陵山区，东南为平原圩区，地面高差达60余米，属山丘区特性的河道。自丹徒县丁角开始至三岔河入金坛境，经直溪、舍田桥至三里桥与丹金溧漕河相会，金坛区地段全厂25.88公里。通济河下游分支河道通济河南河，从舍田桥经铜板桥至白龙荡，长11.06公里。水质目标为</w:t>
            </w:r>
            <w:r>
              <w:rPr>
                <w:rFonts w:hint="eastAsia" w:cs="宋体"/>
                <w:sz w:val="24"/>
              </w:rPr>
              <w:t>Ⅳ</w:t>
            </w:r>
            <w:r>
              <w:rPr>
                <w:sz w:val="24"/>
              </w:rPr>
              <w:t>类。</w:t>
            </w:r>
          </w:p>
          <w:p>
            <w:pPr>
              <w:spacing w:line="360" w:lineRule="auto"/>
              <w:ind w:firstLine="480" w:firstLineChars="200"/>
              <w:rPr>
                <w:sz w:val="24"/>
              </w:rPr>
            </w:pPr>
            <w:r>
              <w:rPr>
                <w:sz w:val="24"/>
              </w:rPr>
              <w:t>此外，金坛区以外还有许多湖泊。其中，长荡湖现面积约99平方公里，属金坛境内的水面面积76.58平方公里(11.49万亩)，具有蓄洪、灌溉、养殖之功能，是金坛区的主要湖泊。其次还有钱资荡、南天荒湖等。中小型水库27座，总库容量4347.8万立方米，其中中型水库有茅东水库；小型水库有海底水库、新浮山水库、东进水库、向阳山水库、青龙洞水库和瓦沟水库；其他小型水库共有20座</w:t>
            </w:r>
            <w:r>
              <w:rPr>
                <w:rFonts w:hint="eastAsia"/>
                <w:sz w:val="24"/>
              </w:rPr>
              <w:t>。</w:t>
            </w:r>
          </w:p>
          <w:p>
            <w:pPr>
              <w:spacing w:line="360" w:lineRule="auto"/>
              <w:ind w:firstLine="480" w:firstLineChars="200"/>
              <w:rPr>
                <w:b/>
                <w:sz w:val="24"/>
                <w:szCs w:val="24"/>
              </w:rPr>
            </w:pPr>
            <w:r>
              <w:rPr>
                <w:b/>
                <w:sz w:val="24"/>
                <w:szCs w:val="24"/>
              </w:rPr>
              <w:t>5、生态概况</w:t>
            </w:r>
          </w:p>
          <w:p>
            <w:pPr>
              <w:spacing w:line="360" w:lineRule="auto"/>
              <w:ind w:firstLine="480" w:firstLineChars="200"/>
              <w:rPr>
                <w:sz w:val="24"/>
              </w:rPr>
            </w:pPr>
            <w:r>
              <w:rPr>
                <w:sz w:val="24"/>
              </w:rPr>
              <w:t>在开发的过程中，金坛区十分重视自然生态环境的保护，但总体上，随着工业用地不断扩张，自然生态逐步被人工生态所替代，建成区内已基本无大型野生动物，野生植被也日趋被人工植被所代替。</w:t>
            </w:r>
          </w:p>
          <w:p>
            <w:pPr>
              <w:spacing w:line="360" w:lineRule="auto"/>
              <w:ind w:firstLine="480" w:firstLineChars="200"/>
              <w:rPr>
                <w:sz w:val="24"/>
              </w:rPr>
            </w:pPr>
            <w:r>
              <w:rPr>
                <w:sz w:val="24"/>
              </w:rPr>
              <w:t>出于防洪和通航的需要，区内主要河流丹金溧漕河两岸驳岸硬化程度较高；但尧塘河与下塘河还保持较好的生态环境，两岸沟塘较多，原生植被被保留；开发区内大部分河道中还有鱼、虾等水生动物存在，水生生态较好。</w:t>
            </w:r>
          </w:p>
          <w:p>
            <w:pPr>
              <w:tabs>
                <w:tab w:val="left" w:pos="2310"/>
              </w:tabs>
              <w:spacing w:line="360" w:lineRule="auto"/>
              <w:ind w:firstLine="482"/>
              <w:rPr>
                <w:sz w:val="24"/>
              </w:rPr>
            </w:pPr>
            <w:r>
              <w:rPr>
                <w:sz w:val="24"/>
              </w:rPr>
              <w:t>居民小区、学校以及村宅房前屋后亦以绿化环境为目的的种植乔、灌、草以及各种花卉，由于人类活动和生态环境的改变，树木草丛仅有人工饲养的禽畜以及少量的鸟类、鼠类、蛙类、蛇类及各种昆虫等小型动物</w:t>
            </w:r>
            <w:bookmarkStart w:id="5" w:name="_Toc100113718"/>
            <w:r>
              <w:rPr>
                <w:sz w:val="24"/>
              </w:rPr>
              <w:t>。</w:t>
            </w:r>
            <w:bookmarkEnd w:id="5"/>
          </w:p>
          <w:p>
            <w:pPr>
              <w:tabs>
                <w:tab w:val="left" w:pos="2310"/>
              </w:tabs>
              <w:spacing w:line="360" w:lineRule="auto"/>
              <w:ind w:firstLine="482"/>
              <w:rPr>
                <w:sz w:val="24"/>
              </w:rPr>
            </w:pPr>
            <w:r>
              <w:rPr>
                <w:rStyle w:val="75"/>
                <w:rFonts w:hint="eastAsia"/>
              </w:rPr>
              <w:t xml:space="preserve"> </w:t>
            </w:r>
          </w:p>
          <w:p>
            <w:pPr>
              <w:tabs>
                <w:tab w:val="left" w:pos="2310"/>
              </w:tabs>
              <w:spacing w:line="360" w:lineRule="auto"/>
              <w:ind w:firstLine="482"/>
              <w:rPr>
                <w:sz w:val="24"/>
              </w:rPr>
            </w:pPr>
          </w:p>
        </w:tc>
      </w:tr>
    </w:tbl>
    <w:p>
      <w:pPr>
        <w:pStyle w:val="312"/>
        <w:rPr>
          <w:rFonts w:ascii="Times New Roman" w:hAnsi="Times New Roman"/>
        </w:rPr>
      </w:pPr>
      <w:r>
        <w:rPr>
          <w:rFonts w:ascii="Times New Roman" w:hAnsi="Times New Roman"/>
        </w:rPr>
        <w:t>环境质量状况</w:t>
      </w:r>
    </w:p>
    <w:tbl>
      <w:tblPr>
        <w:tblStyle w:val="56"/>
        <w:tblW w:w="8528"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8528"/>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3153" w:hRule="atLeast"/>
          <w:jc w:val="center"/>
        </w:trPr>
        <w:tc>
          <w:tcPr>
            <w:tcW w:w="8528" w:type="dxa"/>
          </w:tcPr>
          <w:p>
            <w:pPr>
              <w:snapToGrid w:val="0"/>
              <w:rPr>
                <w:b/>
                <w:sz w:val="10"/>
              </w:rPr>
            </w:pPr>
          </w:p>
          <w:p>
            <w:pPr>
              <w:snapToGrid w:val="0"/>
              <w:rPr>
                <w:b/>
                <w:bCs/>
                <w:sz w:val="24"/>
                <w:szCs w:val="24"/>
              </w:rPr>
            </w:pPr>
            <w:r>
              <w:rPr>
                <w:b/>
                <w:bCs/>
                <w:sz w:val="24"/>
                <w:szCs w:val="24"/>
              </w:rPr>
              <w:t>建设项目所在地区域环境质量现状及主要环境问题(环境空气、地面水、地下水、声环境、生态环境等)：</w:t>
            </w:r>
          </w:p>
          <w:p>
            <w:pPr>
              <w:spacing w:line="360" w:lineRule="auto"/>
              <w:ind w:firstLine="480" w:firstLineChars="200"/>
              <w:textAlignment w:val="baseline"/>
              <w:rPr>
                <w:b/>
                <w:kern w:val="28"/>
                <w:sz w:val="24"/>
              </w:rPr>
            </w:pPr>
            <w:r>
              <w:rPr>
                <w:b/>
                <w:kern w:val="28"/>
                <w:sz w:val="24"/>
              </w:rPr>
              <w:t>1、大气环境质量现状</w:t>
            </w:r>
          </w:p>
          <w:p>
            <w:pPr>
              <w:pStyle w:val="285"/>
              <w:widowControl w:val="0"/>
              <w:adjustRightInd w:val="0"/>
              <w:snapToGrid w:val="0"/>
              <w:spacing w:line="360" w:lineRule="auto"/>
              <w:ind w:left="482"/>
              <w:jc w:val="both"/>
              <w:rPr>
                <w:rFonts w:ascii="Times New Roman" w:hAnsi="Times New Roman"/>
                <w:b/>
                <w:bCs/>
                <w:kern w:val="2"/>
                <w:sz w:val="24"/>
              </w:rPr>
            </w:pPr>
            <w:r>
              <w:rPr>
                <w:rFonts w:hint="eastAsia" w:ascii="Times New Roman" w:hAnsi="Times New Roman"/>
                <w:b/>
                <w:bCs/>
                <w:kern w:val="2"/>
                <w:sz w:val="24"/>
              </w:rPr>
              <w:t>（1）项目所在区域达标情况判断</w:t>
            </w:r>
          </w:p>
          <w:p>
            <w:pPr>
              <w:autoSpaceDE w:val="0"/>
              <w:autoSpaceDN w:val="0"/>
              <w:adjustRightInd w:val="0"/>
              <w:snapToGrid w:val="0"/>
              <w:spacing w:line="360" w:lineRule="auto"/>
              <w:ind w:firstLine="480" w:firstLineChars="200"/>
              <w:jc w:val="left"/>
              <w:rPr>
                <w:sz w:val="24"/>
              </w:rPr>
            </w:pPr>
            <w:r>
              <w:rPr>
                <w:rFonts w:hint="eastAsia"/>
                <w:sz w:val="24"/>
                <w:szCs w:val="22"/>
              </w:rPr>
              <w:t>为了解项目所在地区的环境质量现状，本项目引用《常州市生态环境质量报告（2019 年）</w:t>
            </w:r>
            <w:r>
              <w:rPr>
                <w:sz w:val="24"/>
              </w:rPr>
              <w:t>》中环境空气质量数据。本次评价选取201</w:t>
            </w:r>
            <w:r>
              <w:rPr>
                <w:rFonts w:hint="eastAsia"/>
                <w:sz w:val="24"/>
              </w:rPr>
              <w:t>9</w:t>
            </w:r>
            <w:r>
              <w:rPr>
                <w:sz w:val="24"/>
              </w:rPr>
              <w:t>年作为评价基准年，根据《</w:t>
            </w:r>
            <w:r>
              <w:rPr>
                <w:rFonts w:hint="eastAsia"/>
                <w:sz w:val="24"/>
              </w:rPr>
              <w:t>常州市生态环境质量报告（2019 年）》</w:t>
            </w:r>
            <w:r>
              <w:rPr>
                <w:sz w:val="24"/>
              </w:rPr>
              <w:t>，项目所在区域环境空气质量汇总见表3-1。</w:t>
            </w:r>
          </w:p>
          <w:p>
            <w:pPr>
              <w:pStyle w:val="15"/>
              <w:keepNext/>
              <w:jc w:val="center"/>
              <w:rPr>
                <w:rFonts w:ascii="Times New Roman" w:hAnsi="Times New Roman"/>
                <w:color w:val="auto"/>
                <w:sz w:val="21"/>
                <w:szCs w:val="21"/>
              </w:rPr>
            </w:pPr>
            <w:r>
              <w:rPr>
                <w:rFonts w:ascii="Times New Roman" w:hAnsi="Times New Roman"/>
                <w:color w:val="auto"/>
                <w:sz w:val="21"/>
                <w:szCs w:val="21"/>
              </w:rPr>
              <w:t>表3-1  项目所在地环境空气质量现状</w:t>
            </w:r>
          </w:p>
          <w:tbl>
            <w:tblPr>
              <w:tblStyle w:val="56"/>
              <w:tblW w:w="8312" w:type="dxa"/>
              <w:jc w:val="center"/>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936"/>
              <w:gridCol w:w="2789"/>
              <w:gridCol w:w="1230"/>
              <w:gridCol w:w="1169"/>
              <w:gridCol w:w="1007"/>
              <w:gridCol w:w="1181"/>
            </w:tblGrid>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936" w:type="dxa"/>
                  <w:vAlign w:val="center"/>
                </w:tcPr>
                <w:p>
                  <w:pPr>
                    <w:adjustRightInd w:val="0"/>
                    <w:snapToGrid w:val="0"/>
                    <w:jc w:val="center"/>
                    <w:rPr>
                      <w:b/>
                      <w:kern w:val="0"/>
                      <w:szCs w:val="21"/>
                    </w:rPr>
                  </w:pPr>
                  <w:r>
                    <w:rPr>
                      <w:b/>
                      <w:kern w:val="0"/>
                      <w:szCs w:val="21"/>
                    </w:rPr>
                    <w:t>污染物</w:t>
                  </w:r>
                </w:p>
              </w:tc>
              <w:tc>
                <w:tcPr>
                  <w:tcW w:w="2789" w:type="dxa"/>
                  <w:tcBorders>
                    <w:top w:val="single" w:color="auto" w:sz="12" w:space="0"/>
                    <w:bottom w:val="single" w:color="auto" w:sz="4" w:space="0"/>
                  </w:tcBorders>
                  <w:vAlign w:val="center"/>
                </w:tcPr>
                <w:p>
                  <w:pPr>
                    <w:adjustRightInd w:val="0"/>
                    <w:snapToGrid w:val="0"/>
                    <w:jc w:val="center"/>
                    <w:rPr>
                      <w:b/>
                      <w:kern w:val="0"/>
                      <w:szCs w:val="21"/>
                    </w:rPr>
                  </w:pPr>
                  <w:r>
                    <w:rPr>
                      <w:b/>
                      <w:kern w:val="0"/>
                      <w:szCs w:val="21"/>
                    </w:rPr>
                    <w:t>年平均指标</w:t>
                  </w:r>
                </w:p>
              </w:tc>
              <w:tc>
                <w:tcPr>
                  <w:tcW w:w="1230" w:type="dxa"/>
                  <w:tcBorders>
                    <w:top w:val="single" w:color="auto" w:sz="12" w:space="0"/>
                    <w:bottom w:val="single" w:color="auto" w:sz="4" w:space="0"/>
                  </w:tcBorders>
                  <w:vAlign w:val="center"/>
                </w:tcPr>
                <w:p>
                  <w:pPr>
                    <w:adjustRightInd w:val="0"/>
                    <w:snapToGrid w:val="0"/>
                    <w:jc w:val="center"/>
                    <w:rPr>
                      <w:b/>
                      <w:bCs/>
                      <w:szCs w:val="22"/>
                    </w:rPr>
                  </w:pPr>
                  <w:r>
                    <w:rPr>
                      <w:b/>
                      <w:bCs/>
                      <w:szCs w:val="22"/>
                    </w:rPr>
                    <w:t>现状浓度</w:t>
                  </w:r>
                </w:p>
                <w:p>
                  <w:pPr>
                    <w:pStyle w:val="17"/>
                    <w:jc w:val="center"/>
                    <w:rPr>
                      <w:b/>
                      <w:bCs/>
                      <w:szCs w:val="22"/>
                    </w:rPr>
                  </w:pPr>
                  <w:r>
                    <w:rPr>
                      <w:b/>
                      <w:bCs/>
                      <w:szCs w:val="22"/>
                    </w:rPr>
                    <w:t>μg/m</w:t>
                  </w:r>
                  <w:r>
                    <w:rPr>
                      <w:b/>
                      <w:bCs/>
                      <w:szCs w:val="22"/>
                      <w:vertAlign w:val="superscript"/>
                    </w:rPr>
                    <w:t>3</w:t>
                  </w:r>
                </w:p>
              </w:tc>
              <w:tc>
                <w:tcPr>
                  <w:tcW w:w="1169" w:type="dxa"/>
                  <w:tcBorders>
                    <w:top w:val="single" w:color="auto" w:sz="12" w:space="0"/>
                    <w:bottom w:val="single" w:color="auto" w:sz="4" w:space="0"/>
                  </w:tcBorders>
                  <w:vAlign w:val="center"/>
                </w:tcPr>
                <w:p>
                  <w:pPr>
                    <w:adjustRightInd w:val="0"/>
                    <w:snapToGrid w:val="0"/>
                    <w:jc w:val="center"/>
                    <w:rPr>
                      <w:b/>
                      <w:bCs/>
                      <w:szCs w:val="22"/>
                    </w:rPr>
                  </w:pPr>
                  <w:r>
                    <w:rPr>
                      <w:b/>
                      <w:bCs/>
                      <w:szCs w:val="22"/>
                    </w:rPr>
                    <w:t>标准限值</w:t>
                  </w:r>
                </w:p>
                <w:p>
                  <w:pPr>
                    <w:pStyle w:val="17"/>
                    <w:jc w:val="center"/>
                    <w:rPr>
                      <w:b/>
                      <w:bCs/>
                      <w:szCs w:val="22"/>
                    </w:rPr>
                  </w:pPr>
                  <w:r>
                    <w:rPr>
                      <w:b/>
                      <w:bCs/>
                      <w:szCs w:val="22"/>
                    </w:rPr>
                    <w:t>μg/m</w:t>
                  </w:r>
                  <w:r>
                    <w:rPr>
                      <w:b/>
                      <w:bCs/>
                      <w:szCs w:val="22"/>
                      <w:vertAlign w:val="superscript"/>
                    </w:rPr>
                    <w:t>3</w:t>
                  </w:r>
                </w:p>
              </w:tc>
              <w:tc>
                <w:tcPr>
                  <w:tcW w:w="1007" w:type="dxa"/>
                  <w:tcBorders>
                    <w:top w:val="single" w:color="auto" w:sz="12" w:space="0"/>
                    <w:bottom w:val="single" w:color="auto" w:sz="4" w:space="0"/>
                  </w:tcBorders>
                  <w:vAlign w:val="center"/>
                </w:tcPr>
                <w:p>
                  <w:pPr>
                    <w:adjustRightInd w:val="0"/>
                    <w:snapToGrid w:val="0"/>
                    <w:jc w:val="center"/>
                    <w:rPr>
                      <w:b/>
                      <w:kern w:val="0"/>
                      <w:szCs w:val="21"/>
                    </w:rPr>
                  </w:pPr>
                  <w:r>
                    <w:rPr>
                      <w:b/>
                      <w:kern w:val="0"/>
                      <w:szCs w:val="21"/>
                    </w:rPr>
                    <w:t>占标率</w:t>
                  </w:r>
                </w:p>
                <w:p>
                  <w:pPr>
                    <w:adjustRightInd w:val="0"/>
                    <w:snapToGrid w:val="0"/>
                    <w:jc w:val="center"/>
                    <w:rPr>
                      <w:b/>
                      <w:kern w:val="0"/>
                      <w:szCs w:val="21"/>
                    </w:rPr>
                  </w:pPr>
                  <w:r>
                    <w:rPr>
                      <w:b/>
                      <w:kern w:val="0"/>
                      <w:szCs w:val="21"/>
                    </w:rPr>
                    <w:t>%</w:t>
                  </w:r>
                </w:p>
              </w:tc>
              <w:tc>
                <w:tcPr>
                  <w:tcW w:w="1181" w:type="dxa"/>
                  <w:tcBorders>
                    <w:top w:val="single" w:color="auto" w:sz="12" w:space="0"/>
                    <w:bottom w:val="single" w:color="auto" w:sz="4" w:space="0"/>
                  </w:tcBorders>
                  <w:vAlign w:val="center"/>
                </w:tcPr>
                <w:p>
                  <w:pPr>
                    <w:adjustRightInd w:val="0"/>
                    <w:snapToGrid w:val="0"/>
                    <w:jc w:val="center"/>
                    <w:rPr>
                      <w:b/>
                      <w:kern w:val="0"/>
                      <w:szCs w:val="21"/>
                    </w:rPr>
                  </w:pPr>
                  <w:r>
                    <w:rPr>
                      <w:b/>
                      <w:kern w:val="0"/>
                      <w:szCs w:val="21"/>
                    </w:rPr>
                    <w:t>达标情况</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936" w:type="dxa"/>
                  <w:vAlign w:val="center"/>
                </w:tcPr>
                <w:p>
                  <w:pPr>
                    <w:adjustRightInd w:val="0"/>
                    <w:snapToGrid w:val="0"/>
                    <w:jc w:val="center"/>
                    <w:rPr>
                      <w:kern w:val="0"/>
                      <w:szCs w:val="21"/>
                    </w:rPr>
                  </w:pPr>
                  <w:r>
                    <w:rPr>
                      <w:kern w:val="0"/>
                      <w:szCs w:val="21"/>
                    </w:rPr>
                    <w:t>PM</w:t>
                  </w:r>
                  <w:r>
                    <w:rPr>
                      <w:kern w:val="0"/>
                      <w:szCs w:val="21"/>
                      <w:vertAlign w:val="subscript"/>
                    </w:rPr>
                    <w:t>2.5</w:t>
                  </w:r>
                </w:p>
              </w:tc>
              <w:tc>
                <w:tcPr>
                  <w:tcW w:w="2789" w:type="dxa"/>
                  <w:tcBorders>
                    <w:top w:val="single" w:color="auto" w:sz="4" w:space="0"/>
                  </w:tcBorders>
                  <w:vAlign w:val="center"/>
                </w:tcPr>
                <w:p>
                  <w:pPr>
                    <w:adjustRightInd w:val="0"/>
                    <w:snapToGrid w:val="0"/>
                    <w:jc w:val="center"/>
                    <w:rPr>
                      <w:kern w:val="0"/>
                      <w:szCs w:val="21"/>
                    </w:rPr>
                  </w:pPr>
                  <w:r>
                    <w:rPr>
                      <w:kern w:val="0"/>
                      <w:szCs w:val="21"/>
                    </w:rPr>
                    <w:t>年平均质量浓度</w:t>
                  </w:r>
                </w:p>
              </w:tc>
              <w:tc>
                <w:tcPr>
                  <w:tcW w:w="1230" w:type="dxa"/>
                  <w:tcBorders>
                    <w:top w:val="single" w:color="auto" w:sz="4" w:space="0"/>
                  </w:tcBorders>
                  <w:vAlign w:val="center"/>
                </w:tcPr>
                <w:p>
                  <w:pPr>
                    <w:adjustRightInd w:val="0"/>
                    <w:snapToGrid w:val="0"/>
                    <w:jc w:val="center"/>
                    <w:rPr>
                      <w:kern w:val="0"/>
                      <w:szCs w:val="21"/>
                    </w:rPr>
                  </w:pPr>
                  <w:r>
                    <w:rPr>
                      <w:rFonts w:hint="eastAsia"/>
                      <w:kern w:val="0"/>
                      <w:szCs w:val="21"/>
                    </w:rPr>
                    <w:t>44</w:t>
                  </w:r>
                </w:p>
              </w:tc>
              <w:tc>
                <w:tcPr>
                  <w:tcW w:w="1169" w:type="dxa"/>
                  <w:tcBorders>
                    <w:top w:val="single" w:color="auto" w:sz="4" w:space="0"/>
                  </w:tcBorders>
                  <w:vAlign w:val="center"/>
                </w:tcPr>
                <w:p>
                  <w:pPr>
                    <w:adjustRightInd w:val="0"/>
                    <w:snapToGrid w:val="0"/>
                    <w:jc w:val="center"/>
                    <w:rPr>
                      <w:kern w:val="0"/>
                      <w:szCs w:val="21"/>
                    </w:rPr>
                  </w:pPr>
                  <w:r>
                    <w:rPr>
                      <w:kern w:val="0"/>
                      <w:szCs w:val="21"/>
                    </w:rPr>
                    <w:t>35</w:t>
                  </w:r>
                </w:p>
              </w:tc>
              <w:tc>
                <w:tcPr>
                  <w:tcW w:w="1007" w:type="dxa"/>
                  <w:tcBorders>
                    <w:top w:val="single" w:color="auto" w:sz="4" w:space="0"/>
                    <w:left w:val="nil"/>
                    <w:bottom w:val="single" w:color="auto" w:sz="8" w:space="0"/>
                    <w:right w:val="single" w:color="auto" w:sz="8" w:space="0"/>
                  </w:tcBorders>
                  <w:vAlign w:val="center"/>
                </w:tcPr>
                <w:p>
                  <w:pPr>
                    <w:jc w:val="center"/>
                    <w:rPr>
                      <w:szCs w:val="21"/>
                    </w:rPr>
                  </w:pPr>
                  <w:r>
                    <w:rPr>
                      <w:rFonts w:hint="eastAsia"/>
                      <w:szCs w:val="21"/>
                    </w:rPr>
                    <w:t>125.71</w:t>
                  </w:r>
                </w:p>
              </w:tc>
              <w:tc>
                <w:tcPr>
                  <w:tcW w:w="1181" w:type="dxa"/>
                  <w:tcBorders>
                    <w:top w:val="single" w:color="auto" w:sz="4" w:space="0"/>
                  </w:tcBorders>
                  <w:vAlign w:val="center"/>
                </w:tcPr>
                <w:p>
                  <w:pPr>
                    <w:adjustRightInd w:val="0"/>
                    <w:snapToGrid w:val="0"/>
                    <w:jc w:val="center"/>
                    <w:rPr>
                      <w:kern w:val="0"/>
                      <w:szCs w:val="21"/>
                    </w:rPr>
                  </w:pPr>
                  <w:r>
                    <w:rPr>
                      <w:kern w:val="0"/>
                      <w:szCs w:val="21"/>
                    </w:rPr>
                    <w:t>不达标</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936" w:type="dxa"/>
                  <w:vAlign w:val="center"/>
                </w:tcPr>
                <w:p>
                  <w:pPr>
                    <w:adjustRightInd w:val="0"/>
                    <w:snapToGrid w:val="0"/>
                    <w:jc w:val="center"/>
                    <w:rPr>
                      <w:kern w:val="0"/>
                      <w:szCs w:val="21"/>
                    </w:rPr>
                  </w:pPr>
                  <w:r>
                    <w:rPr>
                      <w:kern w:val="0"/>
                      <w:szCs w:val="21"/>
                    </w:rPr>
                    <w:t>PM</w:t>
                  </w:r>
                  <w:r>
                    <w:rPr>
                      <w:kern w:val="0"/>
                      <w:szCs w:val="21"/>
                      <w:vertAlign w:val="subscript"/>
                    </w:rPr>
                    <w:t>10</w:t>
                  </w:r>
                </w:p>
              </w:tc>
              <w:tc>
                <w:tcPr>
                  <w:tcW w:w="2789" w:type="dxa"/>
                  <w:vAlign w:val="center"/>
                </w:tcPr>
                <w:p>
                  <w:pPr>
                    <w:adjustRightInd w:val="0"/>
                    <w:snapToGrid w:val="0"/>
                    <w:jc w:val="center"/>
                    <w:rPr>
                      <w:kern w:val="0"/>
                      <w:szCs w:val="21"/>
                    </w:rPr>
                  </w:pPr>
                  <w:r>
                    <w:rPr>
                      <w:kern w:val="0"/>
                      <w:szCs w:val="21"/>
                    </w:rPr>
                    <w:t>年平均质量浓度</w:t>
                  </w:r>
                </w:p>
              </w:tc>
              <w:tc>
                <w:tcPr>
                  <w:tcW w:w="1230" w:type="dxa"/>
                  <w:vAlign w:val="center"/>
                </w:tcPr>
                <w:p>
                  <w:pPr>
                    <w:adjustRightInd w:val="0"/>
                    <w:snapToGrid w:val="0"/>
                    <w:jc w:val="center"/>
                    <w:rPr>
                      <w:kern w:val="0"/>
                      <w:szCs w:val="21"/>
                    </w:rPr>
                  </w:pPr>
                  <w:r>
                    <w:rPr>
                      <w:rFonts w:hint="eastAsia"/>
                      <w:kern w:val="0"/>
                      <w:szCs w:val="21"/>
                    </w:rPr>
                    <w:t>69</w:t>
                  </w:r>
                </w:p>
              </w:tc>
              <w:tc>
                <w:tcPr>
                  <w:tcW w:w="1169" w:type="dxa"/>
                  <w:vAlign w:val="center"/>
                </w:tcPr>
                <w:p>
                  <w:pPr>
                    <w:adjustRightInd w:val="0"/>
                    <w:snapToGrid w:val="0"/>
                    <w:jc w:val="center"/>
                    <w:rPr>
                      <w:kern w:val="0"/>
                      <w:szCs w:val="21"/>
                    </w:rPr>
                  </w:pPr>
                  <w:r>
                    <w:rPr>
                      <w:kern w:val="0"/>
                      <w:szCs w:val="21"/>
                    </w:rPr>
                    <w:t>70</w:t>
                  </w:r>
                </w:p>
              </w:tc>
              <w:tc>
                <w:tcPr>
                  <w:tcW w:w="1007" w:type="dxa"/>
                  <w:tcBorders>
                    <w:top w:val="nil"/>
                    <w:left w:val="nil"/>
                    <w:bottom w:val="single" w:color="auto" w:sz="8" w:space="0"/>
                    <w:right w:val="single" w:color="auto" w:sz="8" w:space="0"/>
                  </w:tcBorders>
                  <w:vAlign w:val="center"/>
                </w:tcPr>
                <w:p>
                  <w:pPr>
                    <w:jc w:val="center"/>
                    <w:rPr>
                      <w:szCs w:val="21"/>
                    </w:rPr>
                  </w:pPr>
                  <w:r>
                    <w:rPr>
                      <w:rFonts w:hint="eastAsia"/>
                      <w:szCs w:val="21"/>
                    </w:rPr>
                    <w:t>98.57</w:t>
                  </w:r>
                </w:p>
              </w:tc>
              <w:tc>
                <w:tcPr>
                  <w:tcW w:w="1181" w:type="dxa"/>
                  <w:vAlign w:val="center"/>
                </w:tcPr>
                <w:p>
                  <w:pPr>
                    <w:adjustRightInd w:val="0"/>
                    <w:snapToGrid w:val="0"/>
                    <w:jc w:val="center"/>
                    <w:rPr>
                      <w:kern w:val="0"/>
                      <w:szCs w:val="21"/>
                    </w:rPr>
                  </w:pPr>
                  <w:r>
                    <w:rPr>
                      <w:kern w:val="0"/>
                      <w:szCs w:val="21"/>
                    </w:rPr>
                    <w:t>达标</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936" w:type="dxa"/>
                  <w:vAlign w:val="center"/>
                </w:tcPr>
                <w:p>
                  <w:pPr>
                    <w:adjustRightInd w:val="0"/>
                    <w:snapToGrid w:val="0"/>
                    <w:jc w:val="center"/>
                    <w:rPr>
                      <w:kern w:val="0"/>
                      <w:szCs w:val="21"/>
                    </w:rPr>
                  </w:pPr>
                  <w:r>
                    <w:rPr>
                      <w:bCs/>
                      <w:kern w:val="0"/>
                      <w:szCs w:val="21"/>
                    </w:rPr>
                    <w:t>SO</w:t>
                  </w:r>
                  <w:r>
                    <w:rPr>
                      <w:bCs/>
                      <w:kern w:val="0"/>
                      <w:szCs w:val="21"/>
                      <w:vertAlign w:val="subscript"/>
                    </w:rPr>
                    <w:t>2</w:t>
                  </w:r>
                </w:p>
              </w:tc>
              <w:tc>
                <w:tcPr>
                  <w:tcW w:w="2789" w:type="dxa"/>
                  <w:vAlign w:val="center"/>
                </w:tcPr>
                <w:p>
                  <w:pPr>
                    <w:adjustRightInd w:val="0"/>
                    <w:snapToGrid w:val="0"/>
                    <w:jc w:val="center"/>
                    <w:rPr>
                      <w:kern w:val="0"/>
                      <w:szCs w:val="21"/>
                    </w:rPr>
                  </w:pPr>
                  <w:r>
                    <w:rPr>
                      <w:kern w:val="0"/>
                      <w:szCs w:val="21"/>
                    </w:rPr>
                    <w:t>年平均质量浓度</w:t>
                  </w:r>
                </w:p>
              </w:tc>
              <w:tc>
                <w:tcPr>
                  <w:tcW w:w="1230" w:type="dxa"/>
                  <w:vAlign w:val="center"/>
                </w:tcPr>
                <w:p>
                  <w:pPr>
                    <w:adjustRightInd w:val="0"/>
                    <w:snapToGrid w:val="0"/>
                    <w:jc w:val="center"/>
                    <w:rPr>
                      <w:kern w:val="0"/>
                      <w:szCs w:val="21"/>
                    </w:rPr>
                  </w:pPr>
                  <w:r>
                    <w:rPr>
                      <w:rFonts w:hint="eastAsia"/>
                      <w:kern w:val="0"/>
                      <w:szCs w:val="21"/>
                    </w:rPr>
                    <w:t>10</w:t>
                  </w:r>
                </w:p>
              </w:tc>
              <w:tc>
                <w:tcPr>
                  <w:tcW w:w="1169" w:type="dxa"/>
                  <w:vAlign w:val="center"/>
                </w:tcPr>
                <w:p>
                  <w:pPr>
                    <w:adjustRightInd w:val="0"/>
                    <w:snapToGrid w:val="0"/>
                    <w:jc w:val="center"/>
                    <w:rPr>
                      <w:kern w:val="0"/>
                      <w:szCs w:val="21"/>
                    </w:rPr>
                  </w:pPr>
                  <w:r>
                    <w:rPr>
                      <w:kern w:val="0"/>
                      <w:szCs w:val="21"/>
                    </w:rPr>
                    <w:t>60</w:t>
                  </w:r>
                </w:p>
              </w:tc>
              <w:tc>
                <w:tcPr>
                  <w:tcW w:w="1007" w:type="dxa"/>
                  <w:tcBorders>
                    <w:top w:val="nil"/>
                    <w:left w:val="nil"/>
                    <w:bottom w:val="single" w:color="auto" w:sz="8" w:space="0"/>
                    <w:right w:val="single" w:color="auto" w:sz="8" w:space="0"/>
                  </w:tcBorders>
                  <w:vAlign w:val="center"/>
                </w:tcPr>
                <w:p>
                  <w:pPr>
                    <w:jc w:val="center"/>
                    <w:rPr>
                      <w:szCs w:val="21"/>
                    </w:rPr>
                  </w:pPr>
                  <w:r>
                    <w:rPr>
                      <w:rFonts w:hint="eastAsia"/>
                      <w:szCs w:val="21"/>
                    </w:rPr>
                    <w:t>16.67</w:t>
                  </w:r>
                </w:p>
              </w:tc>
              <w:tc>
                <w:tcPr>
                  <w:tcW w:w="1181" w:type="dxa"/>
                  <w:vAlign w:val="center"/>
                </w:tcPr>
                <w:p>
                  <w:pPr>
                    <w:adjustRightInd w:val="0"/>
                    <w:snapToGrid w:val="0"/>
                    <w:jc w:val="center"/>
                    <w:rPr>
                      <w:kern w:val="0"/>
                      <w:szCs w:val="21"/>
                    </w:rPr>
                  </w:pPr>
                  <w:r>
                    <w:rPr>
                      <w:kern w:val="0"/>
                      <w:szCs w:val="21"/>
                    </w:rPr>
                    <w:t>达标</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936" w:type="dxa"/>
                  <w:vAlign w:val="center"/>
                </w:tcPr>
                <w:p>
                  <w:pPr>
                    <w:adjustRightInd w:val="0"/>
                    <w:snapToGrid w:val="0"/>
                    <w:jc w:val="center"/>
                    <w:rPr>
                      <w:kern w:val="0"/>
                      <w:szCs w:val="21"/>
                    </w:rPr>
                  </w:pPr>
                  <w:r>
                    <w:rPr>
                      <w:bCs/>
                      <w:kern w:val="0"/>
                      <w:szCs w:val="21"/>
                    </w:rPr>
                    <w:t>NO</w:t>
                  </w:r>
                  <w:r>
                    <w:rPr>
                      <w:bCs/>
                      <w:kern w:val="0"/>
                      <w:szCs w:val="21"/>
                      <w:vertAlign w:val="subscript"/>
                    </w:rPr>
                    <w:t>2</w:t>
                  </w:r>
                </w:p>
              </w:tc>
              <w:tc>
                <w:tcPr>
                  <w:tcW w:w="2789" w:type="dxa"/>
                  <w:vAlign w:val="center"/>
                </w:tcPr>
                <w:p>
                  <w:pPr>
                    <w:adjustRightInd w:val="0"/>
                    <w:snapToGrid w:val="0"/>
                    <w:jc w:val="center"/>
                    <w:rPr>
                      <w:kern w:val="0"/>
                      <w:szCs w:val="21"/>
                    </w:rPr>
                  </w:pPr>
                  <w:r>
                    <w:rPr>
                      <w:kern w:val="0"/>
                      <w:szCs w:val="21"/>
                    </w:rPr>
                    <w:t>年平均质量浓度</w:t>
                  </w:r>
                </w:p>
              </w:tc>
              <w:tc>
                <w:tcPr>
                  <w:tcW w:w="1230" w:type="dxa"/>
                  <w:vAlign w:val="center"/>
                </w:tcPr>
                <w:p>
                  <w:pPr>
                    <w:adjustRightInd w:val="0"/>
                    <w:snapToGrid w:val="0"/>
                    <w:jc w:val="center"/>
                    <w:rPr>
                      <w:kern w:val="0"/>
                      <w:szCs w:val="21"/>
                    </w:rPr>
                  </w:pPr>
                  <w:r>
                    <w:rPr>
                      <w:rFonts w:hint="eastAsia"/>
                      <w:kern w:val="0"/>
                      <w:szCs w:val="21"/>
                    </w:rPr>
                    <w:t>37</w:t>
                  </w:r>
                </w:p>
              </w:tc>
              <w:tc>
                <w:tcPr>
                  <w:tcW w:w="1169" w:type="dxa"/>
                  <w:vAlign w:val="center"/>
                </w:tcPr>
                <w:p>
                  <w:pPr>
                    <w:adjustRightInd w:val="0"/>
                    <w:snapToGrid w:val="0"/>
                    <w:jc w:val="center"/>
                    <w:rPr>
                      <w:kern w:val="0"/>
                      <w:szCs w:val="21"/>
                    </w:rPr>
                  </w:pPr>
                  <w:r>
                    <w:rPr>
                      <w:kern w:val="0"/>
                      <w:szCs w:val="21"/>
                    </w:rPr>
                    <w:t>40</w:t>
                  </w:r>
                </w:p>
              </w:tc>
              <w:tc>
                <w:tcPr>
                  <w:tcW w:w="1007" w:type="dxa"/>
                  <w:tcBorders>
                    <w:top w:val="nil"/>
                    <w:left w:val="nil"/>
                    <w:bottom w:val="single" w:color="auto" w:sz="8" w:space="0"/>
                    <w:right w:val="single" w:color="auto" w:sz="8" w:space="0"/>
                  </w:tcBorders>
                  <w:vAlign w:val="center"/>
                </w:tcPr>
                <w:p>
                  <w:pPr>
                    <w:jc w:val="center"/>
                    <w:rPr>
                      <w:szCs w:val="21"/>
                    </w:rPr>
                  </w:pPr>
                  <w:r>
                    <w:rPr>
                      <w:rFonts w:hint="eastAsia"/>
                      <w:szCs w:val="21"/>
                    </w:rPr>
                    <w:t>92.5</w:t>
                  </w:r>
                </w:p>
              </w:tc>
              <w:tc>
                <w:tcPr>
                  <w:tcW w:w="1181" w:type="dxa"/>
                  <w:vAlign w:val="center"/>
                </w:tcPr>
                <w:p>
                  <w:pPr>
                    <w:adjustRightInd w:val="0"/>
                    <w:snapToGrid w:val="0"/>
                    <w:jc w:val="center"/>
                    <w:rPr>
                      <w:kern w:val="0"/>
                      <w:szCs w:val="21"/>
                    </w:rPr>
                  </w:pPr>
                  <w:r>
                    <w:rPr>
                      <w:kern w:val="0"/>
                      <w:szCs w:val="21"/>
                    </w:rPr>
                    <w:t>达标</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936" w:type="dxa"/>
                  <w:vAlign w:val="center"/>
                </w:tcPr>
                <w:p>
                  <w:pPr>
                    <w:adjustRightInd w:val="0"/>
                    <w:snapToGrid w:val="0"/>
                    <w:jc w:val="center"/>
                    <w:rPr>
                      <w:kern w:val="0"/>
                      <w:szCs w:val="21"/>
                    </w:rPr>
                  </w:pPr>
                  <w:r>
                    <w:rPr>
                      <w:bCs/>
                      <w:kern w:val="0"/>
                      <w:szCs w:val="21"/>
                    </w:rPr>
                    <w:t>CO</w:t>
                  </w:r>
                </w:p>
              </w:tc>
              <w:tc>
                <w:tcPr>
                  <w:tcW w:w="2789" w:type="dxa"/>
                  <w:vAlign w:val="center"/>
                </w:tcPr>
                <w:p>
                  <w:pPr>
                    <w:adjustRightInd w:val="0"/>
                    <w:snapToGrid w:val="0"/>
                    <w:jc w:val="center"/>
                    <w:rPr>
                      <w:kern w:val="0"/>
                      <w:szCs w:val="21"/>
                    </w:rPr>
                  </w:pPr>
                  <w:r>
                    <w:rPr>
                      <w:kern w:val="0"/>
                      <w:szCs w:val="21"/>
                    </w:rPr>
                    <w:t>24小时平均第95百分位数</w:t>
                  </w:r>
                </w:p>
              </w:tc>
              <w:tc>
                <w:tcPr>
                  <w:tcW w:w="1230" w:type="dxa"/>
                  <w:vAlign w:val="center"/>
                </w:tcPr>
                <w:p>
                  <w:pPr>
                    <w:adjustRightInd w:val="0"/>
                    <w:snapToGrid w:val="0"/>
                    <w:jc w:val="center"/>
                    <w:rPr>
                      <w:kern w:val="0"/>
                      <w:szCs w:val="21"/>
                    </w:rPr>
                  </w:pPr>
                  <w:r>
                    <w:rPr>
                      <w:rFonts w:hint="eastAsia"/>
                      <w:kern w:val="0"/>
                      <w:szCs w:val="21"/>
                    </w:rPr>
                    <w:t>1200</w:t>
                  </w:r>
                </w:p>
              </w:tc>
              <w:tc>
                <w:tcPr>
                  <w:tcW w:w="1169" w:type="dxa"/>
                  <w:vAlign w:val="center"/>
                </w:tcPr>
                <w:p>
                  <w:pPr>
                    <w:adjustRightInd w:val="0"/>
                    <w:snapToGrid w:val="0"/>
                    <w:jc w:val="center"/>
                    <w:rPr>
                      <w:kern w:val="0"/>
                      <w:szCs w:val="21"/>
                    </w:rPr>
                  </w:pPr>
                  <w:r>
                    <w:rPr>
                      <w:kern w:val="0"/>
                      <w:szCs w:val="21"/>
                    </w:rPr>
                    <w:t>4000</w:t>
                  </w:r>
                </w:p>
              </w:tc>
              <w:tc>
                <w:tcPr>
                  <w:tcW w:w="1007" w:type="dxa"/>
                  <w:tcBorders>
                    <w:top w:val="nil"/>
                    <w:left w:val="nil"/>
                    <w:bottom w:val="single" w:color="auto" w:sz="8" w:space="0"/>
                    <w:right w:val="single" w:color="auto" w:sz="8" w:space="0"/>
                  </w:tcBorders>
                  <w:vAlign w:val="center"/>
                </w:tcPr>
                <w:p>
                  <w:pPr>
                    <w:jc w:val="center"/>
                    <w:rPr>
                      <w:szCs w:val="21"/>
                    </w:rPr>
                  </w:pPr>
                  <w:r>
                    <w:rPr>
                      <w:rFonts w:hint="eastAsia"/>
                      <w:szCs w:val="21"/>
                    </w:rPr>
                    <w:t>30</w:t>
                  </w:r>
                </w:p>
              </w:tc>
              <w:tc>
                <w:tcPr>
                  <w:tcW w:w="1181" w:type="dxa"/>
                  <w:vAlign w:val="center"/>
                </w:tcPr>
                <w:p>
                  <w:pPr>
                    <w:adjustRightInd w:val="0"/>
                    <w:snapToGrid w:val="0"/>
                    <w:jc w:val="center"/>
                    <w:rPr>
                      <w:kern w:val="0"/>
                      <w:szCs w:val="21"/>
                    </w:rPr>
                  </w:pPr>
                  <w:r>
                    <w:rPr>
                      <w:kern w:val="0"/>
                      <w:szCs w:val="21"/>
                    </w:rPr>
                    <w:t>达标</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936" w:type="dxa"/>
                  <w:vAlign w:val="center"/>
                </w:tcPr>
                <w:p>
                  <w:pPr>
                    <w:adjustRightInd w:val="0"/>
                    <w:snapToGrid w:val="0"/>
                    <w:jc w:val="center"/>
                    <w:rPr>
                      <w:kern w:val="0"/>
                      <w:szCs w:val="21"/>
                    </w:rPr>
                  </w:pPr>
                  <w:r>
                    <w:rPr>
                      <w:bCs/>
                      <w:kern w:val="0"/>
                      <w:szCs w:val="21"/>
                    </w:rPr>
                    <w:t>O</w:t>
                  </w:r>
                  <w:r>
                    <w:rPr>
                      <w:bCs/>
                      <w:kern w:val="0"/>
                      <w:szCs w:val="21"/>
                      <w:vertAlign w:val="subscript"/>
                    </w:rPr>
                    <w:t>3</w:t>
                  </w:r>
                </w:p>
              </w:tc>
              <w:tc>
                <w:tcPr>
                  <w:tcW w:w="2789" w:type="dxa"/>
                  <w:vAlign w:val="center"/>
                </w:tcPr>
                <w:p>
                  <w:pPr>
                    <w:adjustRightInd w:val="0"/>
                    <w:snapToGrid w:val="0"/>
                    <w:jc w:val="center"/>
                    <w:rPr>
                      <w:kern w:val="0"/>
                      <w:szCs w:val="21"/>
                    </w:rPr>
                  </w:pPr>
                  <w:r>
                    <w:rPr>
                      <w:kern w:val="0"/>
                      <w:szCs w:val="21"/>
                    </w:rPr>
                    <w:t>日最大8小时滑动平均值的第90百分位数</w:t>
                  </w:r>
                </w:p>
              </w:tc>
              <w:tc>
                <w:tcPr>
                  <w:tcW w:w="1230" w:type="dxa"/>
                  <w:vAlign w:val="center"/>
                </w:tcPr>
                <w:p>
                  <w:pPr>
                    <w:adjustRightInd w:val="0"/>
                    <w:snapToGrid w:val="0"/>
                    <w:jc w:val="center"/>
                    <w:rPr>
                      <w:kern w:val="0"/>
                      <w:szCs w:val="21"/>
                    </w:rPr>
                  </w:pPr>
                  <w:r>
                    <w:rPr>
                      <w:rFonts w:hint="eastAsia"/>
                      <w:kern w:val="0"/>
                      <w:szCs w:val="21"/>
                    </w:rPr>
                    <w:t>175</w:t>
                  </w:r>
                </w:p>
              </w:tc>
              <w:tc>
                <w:tcPr>
                  <w:tcW w:w="1169" w:type="dxa"/>
                  <w:vAlign w:val="center"/>
                </w:tcPr>
                <w:p>
                  <w:pPr>
                    <w:adjustRightInd w:val="0"/>
                    <w:snapToGrid w:val="0"/>
                    <w:jc w:val="center"/>
                    <w:rPr>
                      <w:kern w:val="0"/>
                      <w:szCs w:val="21"/>
                    </w:rPr>
                  </w:pPr>
                  <w:r>
                    <w:rPr>
                      <w:kern w:val="0"/>
                      <w:szCs w:val="21"/>
                    </w:rPr>
                    <w:t>160</w:t>
                  </w:r>
                </w:p>
              </w:tc>
              <w:tc>
                <w:tcPr>
                  <w:tcW w:w="1007" w:type="dxa"/>
                  <w:tcBorders>
                    <w:top w:val="nil"/>
                    <w:left w:val="nil"/>
                    <w:bottom w:val="single" w:color="auto" w:sz="12" w:space="0"/>
                    <w:right w:val="single" w:color="auto" w:sz="8" w:space="0"/>
                  </w:tcBorders>
                  <w:vAlign w:val="center"/>
                </w:tcPr>
                <w:p>
                  <w:pPr>
                    <w:jc w:val="center"/>
                    <w:rPr>
                      <w:szCs w:val="21"/>
                    </w:rPr>
                  </w:pPr>
                  <w:r>
                    <w:rPr>
                      <w:rFonts w:hint="eastAsia"/>
                      <w:szCs w:val="21"/>
                    </w:rPr>
                    <w:t>109.4</w:t>
                  </w:r>
                </w:p>
              </w:tc>
              <w:tc>
                <w:tcPr>
                  <w:tcW w:w="1181" w:type="dxa"/>
                  <w:vAlign w:val="center"/>
                </w:tcPr>
                <w:p>
                  <w:pPr>
                    <w:adjustRightInd w:val="0"/>
                    <w:snapToGrid w:val="0"/>
                    <w:jc w:val="center"/>
                    <w:rPr>
                      <w:kern w:val="0"/>
                      <w:szCs w:val="21"/>
                    </w:rPr>
                  </w:pPr>
                  <w:r>
                    <w:rPr>
                      <w:kern w:val="0"/>
                      <w:szCs w:val="21"/>
                    </w:rPr>
                    <w:t>不达标</w:t>
                  </w:r>
                </w:p>
              </w:tc>
            </w:tr>
          </w:tbl>
          <w:p>
            <w:pPr>
              <w:spacing w:line="360" w:lineRule="auto"/>
              <w:ind w:firstLine="480" w:firstLineChars="200"/>
              <w:jc w:val="left"/>
              <w:rPr>
                <w:sz w:val="24"/>
                <w:szCs w:val="24"/>
              </w:rPr>
            </w:pPr>
            <w:r>
              <w:rPr>
                <w:sz w:val="24"/>
                <w:szCs w:val="24"/>
              </w:rPr>
              <w:t>2019年常州市环境空气中SO</w:t>
            </w:r>
            <w:r>
              <w:rPr>
                <w:sz w:val="24"/>
                <w:szCs w:val="24"/>
                <w:vertAlign w:val="subscript"/>
              </w:rPr>
              <w:t>2</w:t>
            </w:r>
            <w:r>
              <w:rPr>
                <w:sz w:val="24"/>
                <w:szCs w:val="24"/>
              </w:rPr>
              <w:t>年平均值、NO</w:t>
            </w:r>
            <w:r>
              <w:rPr>
                <w:sz w:val="24"/>
                <w:szCs w:val="24"/>
                <w:vertAlign w:val="subscript"/>
              </w:rPr>
              <w:t>2</w:t>
            </w:r>
            <w:r>
              <w:rPr>
                <w:sz w:val="24"/>
                <w:szCs w:val="24"/>
              </w:rPr>
              <w:t>年平均值、PM</w:t>
            </w:r>
            <w:r>
              <w:rPr>
                <w:sz w:val="24"/>
                <w:szCs w:val="24"/>
                <w:vertAlign w:val="subscript"/>
              </w:rPr>
              <w:t>10</w:t>
            </w:r>
            <w:r>
              <w:rPr>
                <w:sz w:val="24"/>
                <w:szCs w:val="24"/>
              </w:rPr>
              <w:t>年平均值和 CO</w:t>
            </w:r>
            <w:r>
              <w:rPr>
                <w:rFonts w:hint="eastAsia"/>
                <w:sz w:val="24"/>
                <w:szCs w:val="24"/>
              </w:rPr>
              <w:t>的</w:t>
            </w:r>
            <w:r>
              <w:rPr>
                <w:sz w:val="24"/>
                <w:szCs w:val="24"/>
              </w:rPr>
              <w:t>24小时滑动平均值的第</w:t>
            </w:r>
            <w:r>
              <w:rPr>
                <w:rFonts w:hint="eastAsia"/>
                <w:sz w:val="24"/>
                <w:szCs w:val="24"/>
              </w:rPr>
              <w:t>95</w:t>
            </w:r>
            <w:r>
              <w:rPr>
                <w:sz w:val="24"/>
                <w:szCs w:val="24"/>
              </w:rPr>
              <w:t>百分位数《环境空气质量标准》（GB3095-2012）中二级标准， PM</w:t>
            </w:r>
            <w:r>
              <w:rPr>
                <w:sz w:val="24"/>
                <w:szCs w:val="24"/>
                <w:vertAlign w:val="subscript"/>
              </w:rPr>
              <w:t>2.5</w:t>
            </w:r>
            <w:r>
              <w:rPr>
                <w:sz w:val="24"/>
                <w:szCs w:val="24"/>
              </w:rPr>
              <w:t>年平均值和O</w:t>
            </w:r>
            <w:r>
              <w:rPr>
                <w:sz w:val="24"/>
                <w:szCs w:val="24"/>
                <w:vertAlign w:val="subscript"/>
              </w:rPr>
              <w:t>3</w:t>
            </w:r>
            <w:r>
              <w:rPr>
                <w:sz w:val="24"/>
                <w:szCs w:val="24"/>
              </w:rPr>
              <w:t>日最大8小时滑动平均值的第90百分位数超过《环境空气质量标准》（GB3095-2012）中二级标准，因此判定为非达标区域。</w:t>
            </w:r>
          </w:p>
          <w:p>
            <w:pPr>
              <w:spacing w:line="360" w:lineRule="auto"/>
              <w:ind w:firstLine="480" w:firstLineChars="200"/>
              <w:jc w:val="left"/>
              <w:rPr>
                <w:rFonts w:ascii="宋体" w:cs="宋体"/>
                <w:b/>
                <w:kern w:val="0"/>
                <w:sz w:val="24"/>
                <w:szCs w:val="24"/>
              </w:rPr>
            </w:pPr>
            <w:r>
              <w:rPr>
                <w:rFonts w:hint="eastAsia" w:ascii="宋体" w:cs="宋体"/>
                <w:b/>
                <w:kern w:val="0"/>
                <w:sz w:val="24"/>
                <w:szCs w:val="24"/>
              </w:rPr>
              <w:t>（2）其他污染物环境质量现状评价:</w:t>
            </w:r>
          </w:p>
          <w:p>
            <w:pPr>
              <w:spacing w:line="360" w:lineRule="auto"/>
              <w:ind w:firstLine="501" w:firstLineChars="209"/>
              <w:rPr>
                <w:color w:val="auto"/>
                <w:sz w:val="24"/>
                <w:szCs w:val="24"/>
              </w:rPr>
            </w:pPr>
            <w:r>
              <w:rPr>
                <w:rFonts w:hint="eastAsia"/>
                <w:color w:val="auto"/>
                <w:sz w:val="24"/>
              </w:rPr>
              <w:t>项目特征污染因子非甲烷总烃引用</w:t>
            </w:r>
            <w:r>
              <w:rPr>
                <w:rFonts w:hint="eastAsia"/>
                <w:color w:val="auto"/>
                <w:sz w:val="24"/>
                <w:szCs w:val="24"/>
              </w:rPr>
              <w:t>《北电爱思特（江苏）科技有限公司新能源汽车用高性能三元材料（NCM）电池芯研发与产业化项目（重新报批）环境影响报告》中在G2半岛珑庭处非甲烷总烃的历史数据，检测报告编号CQHH191443，检测时间为2019.10.10-2019.10.16。监测数据如下表3-1（检测报告见附件）。</w:t>
            </w:r>
          </w:p>
          <w:p>
            <w:pPr>
              <w:spacing w:line="360" w:lineRule="auto"/>
              <w:ind w:firstLine="501" w:firstLineChars="209"/>
              <w:rPr>
                <w:sz w:val="24"/>
                <w:szCs w:val="24"/>
              </w:rPr>
            </w:pPr>
            <w:r>
              <w:rPr>
                <w:rFonts w:hint="eastAsia"/>
                <w:b/>
                <w:sz w:val="24"/>
                <w:szCs w:val="24"/>
              </w:rPr>
              <w:t>监测数据引用的有效性分析：</w:t>
            </w:r>
          </w:p>
          <w:p>
            <w:pPr>
              <w:pStyle w:val="15"/>
              <w:keepNext/>
              <w:spacing w:line="360" w:lineRule="auto"/>
              <w:ind w:firstLine="480" w:firstLineChars="200"/>
              <w:jc w:val="both"/>
              <w:rPr>
                <w:rFonts w:ascii="Times New Roman" w:hAnsi="Times New Roman"/>
                <w:b w:val="0"/>
                <w:bCs w:val="0"/>
                <w:color w:val="auto"/>
                <w:kern w:val="2"/>
                <w:sz w:val="24"/>
                <w:szCs w:val="24"/>
              </w:rPr>
            </w:pPr>
            <w:r>
              <w:rPr>
                <w:rFonts w:hint="eastAsia" w:ascii="Times New Roman" w:hAnsi="Times New Roman"/>
                <w:b w:val="0"/>
                <w:bCs w:val="0"/>
                <w:color w:val="auto"/>
                <w:kern w:val="2"/>
                <w:sz w:val="24"/>
                <w:szCs w:val="24"/>
              </w:rPr>
              <w:t>本项目引用因子为非甲烷总烃，监测时间为20</w:t>
            </w:r>
            <w:r>
              <w:rPr>
                <w:rFonts w:hint="eastAsia" w:ascii="Times New Roman" w:hAnsi="Times New Roman"/>
                <w:b w:val="0"/>
                <w:bCs w:val="0"/>
                <w:color w:val="auto"/>
                <w:kern w:val="2"/>
                <w:sz w:val="24"/>
                <w:szCs w:val="24"/>
                <w:lang w:val="en-US" w:eastAsia="zh-CN"/>
              </w:rPr>
              <w:t>19</w:t>
            </w:r>
            <w:r>
              <w:rPr>
                <w:rFonts w:hint="eastAsia" w:ascii="Times New Roman" w:hAnsi="Times New Roman"/>
                <w:b w:val="0"/>
                <w:bCs w:val="0"/>
                <w:color w:val="auto"/>
                <w:kern w:val="2"/>
                <w:sz w:val="24"/>
                <w:szCs w:val="24"/>
              </w:rPr>
              <w:t>年</w:t>
            </w:r>
            <w:r>
              <w:rPr>
                <w:rFonts w:hint="eastAsia" w:ascii="Times New Roman" w:hAnsi="Times New Roman"/>
                <w:b w:val="0"/>
                <w:bCs w:val="0"/>
                <w:color w:val="auto"/>
                <w:kern w:val="2"/>
                <w:sz w:val="24"/>
                <w:szCs w:val="24"/>
                <w:lang w:val="en-US" w:eastAsia="zh-CN"/>
              </w:rPr>
              <w:t>10</w:t>
            </w:r>
            <w:r>
              <w:rPr>
                <w:rFonts w:hint="eastAsia" w:ascii="Times New Roman" w:hAnsi="Times New Roman"/>
                <w:b w:val="0"/>
                <w:bCs w:val="0"/>
                <w:color w:val="auto"/>
                <w:kern w:val="2"/>
                <w:sz w:val="24"/>
                <w:szCs w:val="24"/>
              </w:rPr>
              <w:t>月，监测数据距今尚在3年有效期内，引用点位位于本项目</w:t>
            </w:r>
            <w:r>
              <w:rPr>
                <w:rFonts w:hint="eastAsia" w:ascii="Times New Roman" w:hAnsi="Times New Roman"/>
                <w:b w:val="0"/>
                <w:bCs w:val="0"/>
                <w:color w:val="auto"/>
                <w:kern w:val="2"/>
                <w:sz w:val="24"/>
                <w:szCs w:val="24"/>
                <w:lang w:eastAsia="zh-CN"/>
              </w:rPr>
              <w:t>东</w:t>
            </w:r>
            <w:r>
              <w:rPr>
                <w:rFonts w:hint="eastAsia" w:ascii="Times New Roman" w:hAnsi="Times New Roman"/>
                <w:b w:val="0"/>
                <w:bCs w:val="0"/>
                <w:color w:val="auto"/>
                <w:kern w:val="2"/>
                <w:sz w:val="24"/>
                <w:szCs w:val="24"/>
              </w:rPr>
              <w:t>侧1</w:t>
            </w:r>
            <w:r>
              <w:rPr>
                <w:rFonts w:hint="eastAsia" w:ascii="Times New Roman" w:hAnsi="Times New Roman"/>
                <w:b w:val="0"/>
                <w:bCs w:val="0"/>
                <w:color w:val="auto"/>
                <w:kern w:val="2"/>
                <w:sz w:val="24"/>
                <w:szCs w:val="24"/>
                <w:lang w:val="en-US" w:eastAsia="zh-CN"/>
              </w:rPr>
              <w:t>00</w:t>
            </w:r>
            <w:r>
              <w:rPr>
                <w:rFonts w:hint="eastAsia" w:ascii="Times New Roman" w:hAnsi="Times New Roman"/>
                <w:b w:val="0"/>
                <w:bCs w:val="0"/>
                <w:color w:val="auto"/>
                <w:kern w:val="2"/>
                <w:sz w:val="24"/>
                <w:szCs w:val="24"/>
              </w:rPr>
              <w:t>m，在评价范围内，监测期间至今，区域内未新增明显的大气污染源，因此本次引用的大气环境质量数据符合引用原则。</w:t>
            </w:r>
          </w:p>
          <w:p>
            <w:pPr>
              <w:pStyle w:val="15"/>
              <w:keepNext/>
              <w:jc w:val="center"/>
              <w:rPr>
                <w:rFonts w:ascii="Times New Roman" w:hAnsi="Times New Roman"/>
                <w:color w:val="auto"/>
                <w:sz w:val="21"/>
                <w:szCs w:val="21"/>
              </w:rPr>
            </w:pPr>
            <w:r>
              <w:rPr>
                <w:rFonts w:hint="eastAsia" w:ascii="Times New Roman" w:hAnsi="Times New Roman"/>
                <w:color w:val="auto"/>
                <w:sz w:val="21"/>
                <w:szCs w:val="21"/>
              </w:rPr>
              <w:t>表3-2 其他污染物补充监测点位基本信息</w:t>
            </w:r>
          </w:p>
          <w:tbl>
            <w:tblPr>
              <w:tblStyle w:val="56"/>
              <w:tblW w:w="8302" w:type="dxa"/>
              <w:tblInd w:w="0" w:type="dxa"/>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1051"/>
              <w:gridCol w:w="1023"/>
              <w:gridCol w:w="1023"/>
              <w:gridCol w:w="1156"/>
              <w:gridCol w:w="1974"/>
              <w:gridCol w:w="856"/>
              <w:gridCol w:w="1219"/>
            </w:tblGrid>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1051" w:type="dxa"/>
                  <w:vMerge w:val="restart"/>
                  <w:vAlign w:val="center"/>
                </w:tcPr>
                <w:p>
                  <w:pPr>
                    <w:jc w:val="center"/>
                    <w:rPr>
                      <w:b/>
                      <w:szCs w:val="21"/>
                    </w:rPr>
                  </w:pPr>
                  <w:r>
                    <w:rPr>
                      <w:rFonts w:hint="eastAsia"/>
                      <w:b/>
                      <w:szCs w:val="21"/>
                    </w:rPr>
                    <w:t>监测点名称</w:t>
                  </w:r>
                </w:p>
              </w:tc>
              <w:tc>
                <w:tcPr>
                  <w:tcW w:w="2046" w:type="dxa"/>
                  <w:gridSpan w:val="2"/>
                  <w:vAlign w:val="center"/>
                </w:tcPr>
                <w:p>
                  <w:pPr>
                    <w:jc w:val="center"/>
                    <w:rPr>
                      <w:b/>
                      <w:szCs w:val="21"/>
                    </w:rPr>
                  </w:pPr>
                  <w:r>
                    <w:rPr>
                      <w:rFonts w:hint="eastAsia"/>
                      <w:b/>
                      <w:szCs w:val="21"/>
                    </w:rPr>
                    <w:t>监测点坐标</w:t>
                  </w:r>
                </w:p>
              </w:tc>
              <w:tc>
                <w:tcPr>
                  <w:tcW w:w="1156" w:type="dxa"/>
                  <w:vMerge w:val="restart"/>
                  <w:vAlign w:val="center"/>
                </w:tcPr>
                <w:p>
                  <w:pPr>
                    <w:jc w:val="center"/>
                    <w:rPr>
                      <w:b/>
                      <w:szCs w:val="21"/>
                    </w:rPr>
                  </w:pPr>
                  <w:r>
                    <w:rPr>
                      <w:rFonts w:hint="eastAsia"/>
                      <w:b/>
                      <w:szCs w:val="21"/>
                    </w:rPr>
                    <w:t>监测因子</w:t>
                  </w:r>
                </w:p>
              </w:tc>
              <w:tc>
                <w:tcPr>
                  <w:tcW w:w="1974" w:type="dxa"/>
                  <w:vMerge w:val="restart"/>
                  <w:vAlign w:val="center"/>
                </w:tcPr>
                <w:p>
                  <w:pPr>
                    <w:jc w:val="center"/>
                    <w:rPr>
                      <w:b/>
                      <w:szCs w:val="21"/>
                    </w:rPr>
                  </w:pPr>
                  <w:r>
                    <w:rPr>
                      <w:rFonts w:hint="eastAsia"/>
                      <w:b/>
                      <w:szCs w:val="21"/>
                    </w:rPr>
                    <w:t>监测时段</w:t>
                  </w:r>
                </w:p>
              </w:tc>
              <w:tc>
                <w:tcPr>
                  <w:tcW w:w="856" w:type="dxa"/>
                  <w:vMerge w:val="restart"/>
                  <w:vAlign w:val="center"/>
                </w:tcPr>
                <w:p>
                  <w:pPr>
                    <w:jc w:val="center"/>
                    <w:rPr>
                      <w:b/>
                      <w:szCs w:val="21"/>
                    </w:rPr>
                  </w:pPr>
                  <w:r>
                    <w:rPr>
                      <w:rFonts w:hint="eastAsia"/>
                      <w:b/>
                      <w:szCs w:val="21"/>
                    </w:rPr>
                    <w:t>相对厂址方位</w:t>
                  </w:r>
                </w:p>
              </w:tc>
              <w:tc>
                <w:tcPr>
                  <w:tcW w:w="1219" w:type="dxa"/>
                  <w:vMerge w:val="restart"/>
                  <w:vAlign w:val="center"/>
                </w:tcPr>
                <w:p>
                  <w:pPr>
                    <w:jc w:val="center"/>
                    <w:rPr>
                      <w:b/>
                      <w:szCs w:val="21"/>
                    </w:rPr>
                  </w:pPr>
                  <w:r>
                    <w:rPr>
                      <w:rFonts w:hint="eastAsia"/>
                      <w:b/>
                      <w:szCs w:val="21"/>
                    </w:rPr>
                    <w:t>相对厂界距离（m）</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1051" w:type="dxa"/>
                  <w:vMerge w:val="continue"/>
                  <w:vAlign w:val="center"/>
                </w:tcPr>
                <w:p>
                  <w:pPr>
                    <w:jc w:val="center"/>
                    <w:rPr>
                      <w:szCs w:val="21"/>
                    </w:rPr>
                  </w:pPr>
                </w:p>
              </w:tc>
              <w:tc>
                <w:tcPr>
                  <w:tcW w:w="1023" w:type="dxa"/>
                  <w:vAlign w:val="center"/>
                </w:tcPr>
                <w:p>
                  <w:pPr>
                    <w:spacing w:line="360" w:lineRule="auto"/>
                    <w:jc w:val="center"/>
                    <w:rPr>
                      <w:szCs w:val="21"/>
                    </w:rPr>
                  </w:pPr>
                  <w:r>
                    <w:rPr>
                      <w:rFonts w:hint="eastAsia"/>
                      <w:szCs w:val="21"/>
                    </w:rPr>
                    <w:t>X</w:t>
                  </w:r>
                </w:p>
              </w:tc>
              <w:tc>
                <w:tcPr>
                  <w:tcW w:w="1023" w:type="dxa"/>
                  <w:vAlign w:val="center"/>
                </w:tcPr>
                <w:p>
                  <w:pPr>
                    <w:spacing w:line="360" w:lineRule="auto"/>
                    <w:jc w:val="center"/>
                    <w:rPr>
                      <w:szCs w:val="21"/>
                    </w:rPr>
                  </w:pPr>
                  <w:r>
                    <w:rPr>
                      <w:rFonts w:hint="eastAsia"/>
                      <w:szCs w:val="21"/>
                    </w:rPr>
                    <w:t>Y</w:t>
                  </w:r>
                </w:p>
              </w:tc>
              <w:tc>
                <w:tcPr>
                  <w:tcW w:w="1156" w:type="dxa"/>
                  <w:vMerge w:val="continue"/>
                  <w:vAlign w:val="center"/>
                </w:tcPr>
                <w:p>
                  <w:pPr>
                    <w:jc w:val="center"/>
                    <w:rPr>
                      <w:szCs w:val="21"/>
                    </w:rPr>
                  </w:pPr>
                </w:p>
              </w:tc>
              <w:tc>
                <w:tcPr>
                  <w:tcW w:w="1974" w:type="dxa"/>
                  <w:vMerge w:val="continue"/>
                  <w:vAlign w:val="center"/>
                </w:tcPr>
                <w:p>
                  <w:pPr>
                    <w:jc w:val="center"/>
                    <w:rPr>
                      <w:szCs w:val="21"/>
                    </w:rPr>
                  </w:pPr>
                </w:p>
              </w:tc>
              <w:tc>
                <w:tcPr>
                  <w:tcW w:w="856" w:type="dxa"/>
                  <w:vMerge w:val="continue"/>
                  <w:vAlign w:val="center"/>
                </w:tcPr>
                <w:p>
                  <w:pPr>
                    <w:jc w:val="center"/>
                    <w:rPr>
                      <w:szCs w:val="21"/>
                    </w:rPr>
                  </w:pPr>
                </w:p>
              </w:tc>
              <w:tc>
                <w:tcPr>
                  <w:tcW w:w="1219" w:type="dxa"/>
                  <w:vMerge w:val="continue"/>
                  <w:vAlign w:val="center"/>
                </w:tcPr>
                <w:p>
                  <w:pPr>
                    <w:jc w:val="center"/>
                    <w:rPr>
                      <w:szCs w:val="21"/>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1051" w:type="dxa"/>
                  <w:vAlign w:val="center"/>
                </w:tcPr>
                <w:p>
                  <w:pPr>
                    <w:jc w:val="center"/>
                    <w:rPr>
                      <w:szCs w:val="21"/>
                    </w:rPr>
                  </w:pPr>
                  <w:r>
                    <w:rPr>
                      <w:color w:val="auto"/>
                      <w:szCs w:val="21"/>
                    </w:rPr>
                    <w:t>G</w:t>
                  </w:r>
                  <w:r>
                    <w:rPr>
                      <w:rFonts w:hint="eastAsia"/>
                      <w:color w:val="auto"/>
                      <w:szCs w:val="21"/>
                      <w:lang w:val="en-US" w:eastAsia="zh-CN"/>
                    </w:rPr>
                    <w:t>2半岛珑庭</w:t>
                  </w:r>
                </w:p>
              </w:tc>
              <w:tc>
                <w:tcPr>
                  <w:tcW w:w="1023" w:type="dxa"/>
                  <w:vAlign w:val="center"/>
                </w:tcPr>
                <w:p>
                  <w:pPr>
                    <w:pStyle w:val="50"/>
                    <w:widowControl w:val="0"/>
                    <w:adjustRightInd w:val="0"/>
                    <w:snapToGrid w:val="0"/>
                    <w:spacing w:before="0" w:line="240" w:lineRule="auto"/>
                    <w:ind w:firstLine="0" w:firstLineChars="0"/>
                    <w:jc w:val="center"/>
                    <w:rPr>
                      <w:szCs w:val="21"/>
                    </w:rPr>
                  </w:pPr>
                  <w:r>
                    <w:rPr>
                      <w:rFonts w:hint="eastAsia" w:ascii="Times New Roman" w:hAnsi="Times New Roman" w:eastAsia="宋体" w:cs="Times New Roman"/>
                      <w:color w:val="auto"/>
                      <w:spacing w:val="0"/>
                      <w:kern w:val="2"/>
                      <w:sz w:val="21"/>
                      <w:szCs w:val="21"/>
                      <w:lang w:val="en-US" w:eastAsia="zh-CN" w:bidi="ar-SA"/>
                    </w:rPr>
                    <w:t>119.636237</w:t>
                  </w:r>
                </w:p>
              </w:tc>
              <w:tc>
                <w:tcPr>
                  <w:tcW w:w="1023" w:type="dxa"/>
                  <w:vAlign w:val="center"/>
                </w:tcPr>
                <w:p>
                  <w:pPr>
                    <w:pStyle w:val="50"/>
                    <w:widowControl w:val="0"/>
                    <w:adjustRightInd w:val="0"/>
                    <w:snapToGrid w:val="0"/>
                    <w:spacing w:before="0" w:line="240" w:lineRule="auto"/>
                    <w:ind w:firstLine="0" w:firstLineChars="0"/>
                    <w:jc w:val="center"/>
                    <w:rPr>
                      <w:szCs w:val="21"/>
                    </w:rPr>
                  </w:pPr>
                  <w:r>
                    <w:rPr>
                      <w:rFonts w:hint="eastAsia" w:ascii="Times New Roman" w:hAnsi="Times New Roman" w:eastAsia="宋体" w:cs="Times New Roman"/>
                      <w:color w:val="auto"/>
                      <w:spacing w:val="0"/>
                      <w:kern w:val="2"/>
                      <w:sz w:val="21"/>
                      <w:szCs w:val="21"/>
                      <w:lang w:val="en-US" w:eastAsia="zh-CN" w:bidi="ar-SA"/>
                    </w:rPr>
                    <w:t>31.754215</w:t>
                  </w:r>
                </w:p>
              </w:tc>
              <w:tc>
                <w:tcPr>
                  <w:tcW w:w="1156" w:type="dxa"/>
                  <w:vAlign w:val="center"/>
                </w:tcPr>
                <w:p>
                  <w:pPr>
                    <w:jc w:val="center"/>
                    <w:rPr>
                      <w:szCs w:val="21"/>
                    </w:rPr>
                  </w:pPr>
                  <w:r>
                    <w:rPr>
                      <w:rFonts w:hint="eastAsia"/>
                      <w:spacing w:val="-16"/>
                      <w:szCs w:val="21"/>
                    </w:rPr>
                    <w:t>非甲烷总烃</w:t>
                  </w:r>
                </w:p>
              </w:tc>
              <w:tc>
                <w:tcPr>
                  <w:tcW w:w="1974" w:type="dxa"/>
                  <w:vAlign w:val="center"/>
                </w:tcPr>
                <w:p>
                  <w:pPr>
                    <w:jc w:val="center"/>
                    <w:rPr>
                      <w:szCs w:val="21"/>
                    </w:rPr>
                  </w:pPr>
                  <w:r>
                    <w:rPr>
                      <w:rFonts w:hint="eastAsia"/>
                      <w:color w:val="auto"/>
                      <w:szCs w:val="21"/>
                    </w:rPr>
                    <w:t>2019.10.10-2019.10.16</w:t>
                  </w:r>
                </w:p>
              </w:tc>
              <w:tc>
                <w:tcPr>
                  <w:tcW w:w="856" w:type="dxa"/>
                  <w:vAlign w:val="center"/>
                </w:tcPr>
                <w:p>
                  <w:pPr>
                    <w:jc w:val="center"/>
                    <w:rPr>
                      <w:rFonts w:hint="eastAsia" w:eastAsia="宋体"/>
                      <w:szCs w:val="21"/>
                      <w:lang w:eastAsia="zh-CN"/>
                    </w:rPr>
                  </w:pPr>
                  <w:r>
                    <w:rPr>
                      <w:rFonts w:hint="eastAsia"/>
                      <w:szCs w:val="21"/>
                      <w:lang w:val="en-US" w:eastAsia="zh-CN"/>
                    </w:rPr>
                    <w:t>E</w:t>
                  </w:r>
                </w:p>
              </w:tc>
              <w:tc>
                <w:tcPr>
                  <w:tcW w:w="1219" w:type="dxa"/>
                  <w:vAlign w:val="center"/>
                </w:tcPr>
                <w:p>
                  <w:pPr>
                    <w:jc w:val="center"/>
                    <w:rPr>
                      <w:rFonts w:hint="default" w:eastAsia="宋体"/>
                      <w:szCs w:val="21"/>
                      <w:lang w:val="en-US" w:eastAsia="zh-CN"/>
                    </w:rPr>
                  </w:pPr>
                  <w:r>
                    <w:rPr>
                      <w:rFonts w:hint="eastAsia"/>
                      <w:szCs w:val="21"/>
                      <w:lang w:val="en-US" w:eastAsia="zh-CN"/>
                    </w:rPr>
                    <w:t>100</w:t>
                  </w:r>
                </w:p>
              </w:tc>
            </w:tr>
          </w:tbl>
          <w:p>
            <w:pPr>
              <w:pStyle w:val="15"/>
              <w:keepNext/>
              <w:jc w:val="center"/>
              <w:rPr>
                <w:rFonts w:ascii="Times New Roman" w:hAnsi="Times New Roman"/>
                <w:color w:val="auto"/>
                <w:sz w:val="21"/>
                <w:szCs w:val="21"/>
              </w:rPr>
            </w:pPr>
            <w:r>
              <w:rPr>
                <w:rFonts w:hint="eastAsia" w:ascii="Times New Roman" w:hAnsi="Times New Roman"/>
                <w:color w:val="auto"/>
                <w:sz w:val="21"/>
                <w:szCs w:val="21"/>
              </w:rPr>
              <w:t>表3-3 其他污染物环境质量现状（监测结果）表</w:t>
            </w:r>
          </w:p>
          <w:tbl>
            <w:tblPr>
              <w:tblStyle w:val="56"/>
              <w:tblW w:w="8302" w:type="dxa"/>
              <w:tblInd w:w="0" w:type="dxa"/>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694"/>
              <w:gridCol w:w="1206"/>
              <w:gridCol w:w="1109"/>
              <w:gridCol w:w="679"/>
              <w:gridCol w:w="679"/>
              <w:gridCol w:w="800"/>
              <w:gridCol w:w="960"/>
              <w:gridCol w:w="748"/>
              <w:gridCol w:w="748"/>
              <w:gridCol w:w="679"/>
            </w:tblGrid>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694" w:type="dxa"/>
                  <w:vMerge w:val="restart"/>
                  <w:vAlign w:val="center"/>
                </w:tcPr>
                <w:p>
                  <w:pPr>
                    <w:jc w:val="center"/>
                    <w:rPr>
                      <w:b/>
                      <w:szCs w:val="21"/>
                    </w:rPr>
                  </w:pPr>
                  <w:r>
                    <w:rPr>
                      <w:rFonts w:hint="eastAsia"/>
                      <w:b/>
                      <w:szCs w:val="21"/>
                    </w:rPr>
                    <w:t>监测点名称</w:t>
                  </w:r>
                </w:p>
              </w:tc>
              <w:tc>
                <w:tcPr>
                  <w:tcW w:w="2315" w:type="dxa"/>
                  <w:gridSpan w:val="2"/>
                  <w:vAlign w:val="center"/>
                </w:tcPr>
                <w:p>
                  <w:pPr>
                    <w:jc w:val="center"/>
                    <w:rPr>
                      <w:b/>
                      <w:szCs w:val="21"/>
                    </w:rPr>
                  </w:pPr>
                  <w:r>
                    <w:rPr>
                      <w:rFonts w:hint="eastAsia"/>
                      <w:b/>
                      <w:szCs w:val="21"/>
                    </w:rPr>
                    <w:t>监测点坐标</w:t>
                  </w:r>
                </w:p>
              </w:tc>
              <w:tc>
                <w:tcPr>
                  <w:tcW w:w="679" w:type="dxa"/>
                  <w:vMerge w:val="restart"/>
                  <w:vAlign w:val="center"/>
                </w:tcPr>
                <w:p>
                  <w:pPr>
                    <w:jc w:val="center"/>
                    <w:rPr>
                      <w:b/>
                      <w:szCs w:val="21"/>
                    </w:rPr>
                  </w:pPr>
                  <w:r>
                    <w:rPr>
                      <w:rFonts w:hint="eastAsia"/>
                      <w:b/>
                      <w:szCs w:val="21"/>
                    </w:rPr>
                    <w:t>污染物</w:t>
                  </w:r>
                </w:p>
              </w:tc>
              <w:tc>
                <w:tcPr>
                  <w:tcW w:w="679" w:type="dxa"/>
                  <w:vMerge w:val="restart"/>
                  <w:vAlign w:val="center"/>
                </w:tcPr>
                <w:p>
                  <w:pPr>
                    <w:jc w:val="center"/>
                    <w:rPr>
                      <w:b/>
                      <w:szCs w:val="21"/>
                    </w:rPr>
                  </w:pPr>
                  <w:r>
                    <w:rPr>
                      <w:rFonts w:hint="eastAsia"/>
                      <w:b/>
                      <w:szCs w:val="21"/>
                    </w:rPr>
                    <w:t>平均时间</w:t>
                  </w:r>
                </w:p>
              </w:tc>
              <w:tc>
                <w:tcPr>
                  <w:tcW w:w="800" w:type="dxa"/>
                  <w:vMerge w:val="restart"/>
                  <w:vAlign w:val="center"/>
                </w:tcPr>
                <w:p>
                  <w:pPr>
                    <w:jc w:val="center"/>
                    <w:rPr>
                      <w:b/>
                      <w:szCs w:val="21"/>
                    </w:rPr>
                  </w:pPr>
                  <w:r>
                    <w:rPr>
                      <w:rFonts w:hint="eastAsia"/>
                      <w:b/>
                      <w:szCs w:val="21"/>
                    </w:rPr>
                    <w:t>评价标准/ug/m</w:t>
                  </w:r>
                  <w:r>
                    <w:rPr>
                      <w:rFonts w:hint="eastAsia"/>
                      <w:b/>
                      <w:szCs w:val="21"/>
                      <w:vertAlign w:val="superscript"/>
                    </w:rPr>
                    <w:t>3</w:t>
                  </w:r>
                </w:p>
              </w:tc>
              <w:tc>
                <w:tcPr>
                  <w:tcW w:w="960" w:type="dxa"/>
                  <w:vMerge w:val="restart"/>
                  <w:vAlign w:val="center"/>
                </w:tcPr>
                <w:p>
                  <w:pPr>
                    <w:jc w:val="center"/>
                    <w:rPr>
                      <w:b/>
                      <w:szCs w:val="21"/>
                    </w:rPr>
                  </w:pPr>
                  <w:r>
                    <w:rPr>
                      <w:rFonts w:hint="eastAsia"/>
                      <w:b/>
                      <w:szCs w:val="21"/>
                    </w:rPr>
                    <w:t>监测浓度范围/ ug/m</w:t>
                  </w:r>
                  <w:r>
                    <w:rPr>
                      <w:rFonts w:hint="eastAsia"/>
                      <w:b/>
                      <w:szCs w:val="21"/>
                      <w:vertAlign w:val="superscript"/>
                    </w:rPr>
                    <w:t>3</w:t>
                  </w:r>
                </w:p>
              </w:tc>
              <w:tc>
                <w:tcPr>
                  <w:tcW w:w="748" w:type="dxa"/>
                  <w:vMerge w:val="restart"/>
                  <w:vAlign w:val="center"/>
                </w:tcPr>
                <w:p>
                  <w:pPr>
                    <w:jc w:val="center"/>
                    <w:rPr>
                      <w:b/>
                      <w:szCs w:val="21"/>
                    </w:rPr>
                  </w:pPr>
                  <w:r>
                    <w:rPr>
                      <w:rFonts w:hint="eastAsia"/>
                      <w:b/>
                      <w:szCs w:val="21"/>
                    </w:rPr>
                    <w:t>最大浓度占标率%</w:t>
                  </w:r>
                </w:p>
              </w:tc>
              <w:tc>
                <w:tcPr>
                  <w:tcW w:w="748" w:type="dxa"/>
                  <w:vMerge w:val="restart"/>
                  <w:vAlign w:val="center"/>
                </w:tcPr>
                <w:p>
                  <w:pPr>
                    <w:jc w:val="center"/>
                    <w:rPr>
                      <w:b/>
                      <w:szCs w:val="21"/>
                    </w:rPr>
                  </w:pPr>
                  <w:r>
                    <w:rPr>
                      <w:rFonts w:hint="eastAsia"/>
                      <w:b/>
                      <w:szCs w:val="21"/>
                    </w:rPr>
                    <w:t>超标率%</w:t>
                  </w:r>
                </w:p>
              </w:tc>
              <w:tc>
                <w:tcPr>
                  <w:tcW w:w="679" w:type="dxa"/>
                  <w:vMerge w:val="restart"/>
                  <w:vAlign w:val="center"/>
                </w:tcPr>
                <w:p>
                  <w:pPr>
                    <w:jc w:val="center"/>
                    <w:rPr>
                      <w:b/>
                      <w:szCs w:val="21"/>
                    </w:rPr>
                  </w:pPr>
                  <w:r>
                    <w:rPr>
                      <w:rFonts w:hint="eastAsia"/>
                      <w:b/>
                      <w:szCs w:val="21"/>
                    </w:rPr>
                    <w:t>达标情况</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696" w:hRule="atLeast"/>
              </w:trPr>
              <w:tc>
                <w:tcPr>
                  <w:tcW w:w="694" w:type="dxa"/>
                  <w:vMerge w:val="continue"/>
                  <w:vAlign w:val="center"/>
                </w:tcPr>
                <w:p>
                  <w:pPr>
                    <w:jc w:val="center"/>
                    <w:rPr>
                      <w:szCs w:val="21"/>
                    </w:rPr>
                  </w:pPr>
                </w:p>
              </w:tc>
              <w:tc>
                <w:tcPr>
                  <w:tcW w:w="1206" w:type="dxa"/>
                  <w:vAlign w:val="center"/>
                </w:tcPr>
                <w:p>
                  <w:pPr>
                    <w:spacing w:line="360" w:lineRule="auto"/>
                    <w:jc w:val="center"/>
                    <w:rPr>
                      <w:szCs w:val="21"/>
                    </w:rPr>
                  </w:pPr>
                  <w:r>
                    <w:rPr>
                      <w:rFonts w:hint="eastAsia"/>
                      <w:szCs w:val="21"/>
                    </w:rPr>
                    <w:t>X</w:t>
                  </w:r>
                </w:p>
              </w:tc>
              <w:tc>
                <w:tcPr>
                  <w:tcW w:w="1109" w:type="dxa"/>
                  <w:vAlign w:val="center"/>
                </w:tcPr>
                <w:p>
                  <w:pPr>
                    <w:spacing w:line="360" w:lineRule="auto"/>
                    <w:jc w:val="center"/>
                    <w:rPr>
                      <w:szCs w:val="21"/>
                    </w:rPr>
                  </w:pPr>
                  <w:r>
                    <w:rPr>
                      <w:rFonts w:hint="eastAsia"/>
                      <w:szCs w:val="21"/>
                    </w:rPr>
                    <w:t>Y</w:t>
                  </w:r>
                </w:p>
              </w:tc>
              <w:tc>
                <w:tcPr>
                  <w:tcW w:w="679" w:type="dxa"/>
                  <w:vMerge w:val="continue"/>
                  <w:vAlign w:val="center"/>
                </w:tcPr>
                <w:p>
                  <w:pPr>
                    <w:jc w:val="center"/>
                    <w:rPr>
                      <w:szCs w:val="21"/>
                    </w:rPr>
                  </w:pPr>
                </w:p>
              </w:tc>
              <w:tc>
                <w:tcPr>
                  <w:tcW w:w="679" w:type="dxa"/>
                  <w:vMerge w:val="continue"/>
                  <w:vAlign w:val="center"/>
                </w:tcPr>
                <w:p>
                  <w:pPr>
                    <w:jc w:val="center"/>
                    <w:rPr>
                      <w:szCs w:val="21"/>
                    </w:rPr>
                  </w:pPr>
                </w:p>
              </w:tc>
              <w:tc>
                <w:tcPr>
                  <w:tcW w:w="800" w:type="dxa"/>
                  <w:vMerge w:val="continue"/>
                  <w:vAlign w:val="center"/>
                </w:tcPr>
                <w:p>
                  <w:pPr>
                    <w:jc w:val="center"/>
                    <w:rPr>
                      <w:szCs w:val="21"/>
                    </w:rPr>
                  </w:pPr>
                </w:p>
              </w:tc>
              <w:tc>
                <w:tcPr>
                  <w:tcW w:w="960" w:type="dxa"/>
                  <w:vMerge w:val="continue"/>
                  <w:vAlign w:val="center"/>
                </w:tcPr>
                <w:p>
                  <w:pPr>
                    <w:jc w:val="center"/>
                    <w:rPr>
                      <w:szCs w:val="21"/>
                    </w:rPr>
                  </w:pPr>
                </w:p>
              </w:tc>
              <w:tc>
                <w:tcPr>
                  <w:tcW w:w="748" w:type="dxa"/>
                  <w:vMerge w:val="continue"/>
                  <w:vAlign w:val="center"/>
                </w:tcPr>
                <w:p>
                  <w:pPr>
                    <w:jc w:val="center"/>
                    <w:rPr>
                      <w:szCs w:val="21"/>
                    </w:rPr>
                  </w:pPr>
                </w:p>
              </w:tc>
              <w:tc>
                <w:tcPr>
                  <w:tcW w:w="748" w:type="dxa"/>
                  <w:vMerge w:val="continue"/>
                  <w:vAlign w:val="center"/>
                </w:tcPr>
                <w:p>
                  <w:pPr>
                    <w:jc w:val="center"/>
                    <w:rPr>
                      <w:szCs w:val="21"/>
                    </w:rPr>
                  </w:pPr>
                </w:p>
              </w:tc>
              <w:tc>
                <w:tcPr>
                  <w:tcW w:w="679" w:type="dxa"/>
                  <w:vMerge w:val="continue"/>
                  <w:vAlign w:val="center"/>
                </w:tcPr>
                <w:p>
                  <w:pPr>
                    <w:jc w:val="center"/>
                    <w:rPr>
                      <w:szCs w:val="21"/>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694" w:type="dxa"/>
                  <w:vAlign w:val="center"/>
                </w:tcPr>
                <w:p>
                  <w:pPr>
                    <w:jc w:val="center"/>
                    <w:rPr>
                      <w:szCs w:val="21"/>
                    </w:rPr>
                  </w:pPr>
                  <w:r>
                    <w:rPr>
                      <w:color w:val="auto"/>
                      <w:szCs w:val="21"/>
                    </w:rPr>
                    <w:t>G</w:t>
                  </w:r>
                  <w:r>
                    <w:rPr>
                      <w:rFonts w:hint="eastAsia"/>
                      <w:color w:val="auto"/>
                      <w:szCs w:val="21"/>
                      <w:lang w:val="en-US" w:eastAsia="zh-CN"/>
                    </w:rPr>
                    <w:t>2半岛珑庭</w:t>
                  </w:r>
                </w:p>
              </w:tc>
              <w:tc>
                <w:tcPr>
                  <w:tcW w:w="1206" w:type="dxa"/>
                  <w:vAlign w:val="center"/>
                </w:tcPr>
                <w:p>
                  <w:pPr>
                    <w:pStyle w:val="50"/>
                    <w:widowControl w:val="0"/>
                    <w:adjustRightInd w:val="0"/>
                    <w:snapToGrid w:val="0"/>
                    <w:spacing w:before="0" w:line="240" w:lineRule="auto"/>
                    <w:ind w:firstLine="0" w:firstLineChars="0"/>
                    <w:jc w:val="center"/>
                    <w:rPr>
                      <w:szCs w:val="21"/>
                    </w:rPr>
                  </w:pPr>
                  <w:r>
                    <w:rPr>
                      <w:rFonts w:hint="eastAsia" w:ascii="Times New Roman" w:hAnsi="Times New Roman" w:eastAsia="宋体" w:cs="Times New Roman"/>
                      <w:color w:val="auto"/>
                      <w:spacing w:val="0"/>
                      <w:kern w:val="2"/>
                      <w:sz w:val="21"/>
                      <w:szCs w:val="21"/>
                      <w:lang w:val="en-US" w:eastAsia="zh-CN" w:bidi="ar-SA"/>
                    </w:rPr>
                    <w:t>119.636237</w:t>
                  </w:r>
                </w:p>
              </w:tc>
              <w:tc>
                <w:tcPr>
                  <w:tcW w:w="1109" w:type="dxa"/>
                  <w:vAlign w:val="center"/>
                </w:tcPr>
                <w:p>
                  <w:pPr>
                    <w:pStyle w:val="50"/>
                    <w:widowControl w:val="0"/>
                    <w:adjustRightInd w:val="0"/>
                    <w:snapToGrid w:val="0"/>
                    <w:spacing w:before="0" w:line="240" w:lineRule="auto"/>
                    <w:ind w:firstLine="0" w:firstLineChars="0"/>
                    <w:jc w:val="center"/>
                    <w:rPr>
                      <w:szCs w:val="21"/>
                    </w:rPr>
                  </w:pPr>
                  <w:r>
                    <w:rPr>
                      <w:rFonts w:hint="eastAsia" w:ascii="Times New Roman" w:hAnsi="Times New Roman" w:eastAsia="宋体" w:cs="Times New Roman"/>
                      <w:color w:val="auto"/>
                      <w:spacing w:val="0"/>
                      <w:kern w:val="2"/>
                      <w:sz w:val="21"/>
                      <w:szCs w:val="21"/>
                      <w:lang w:val="en-US" w:eastAsia="zh-CN" w:bidi="ar-SA"/>
                    </w:rPr>
                    <w:t>31.754215</w:t>
                  </w:r>
                </w:p>
              </w:tc>
              <w:tc>
                <w:tcPr>
                  <w:tcW w:w="679" w:type="dxa"/>
                  <w:vAlign w:val="center"/>
                </w:tcPr>
                <w:p>
                  <w:pPr>
                    <w:jc w:val="center"/>
                    <w:rPr>
                      <w:szCs w:val="21"/>
                    </w:rPr>
                  </w:pPr>
                  <w:r>
                    <w:rPr>
                      <w:rFonts w:hint="eastAsia"/>
                      <w:spacing w:val="-16"/>
                      <w:szCs w:val="21"/>
                    </w:rPr>
                    <w:t>非甲烷总烃</w:t>
                  </w:r>
                </w:p>
              </w:tc>
              <w:tc>
                <w:tcPr>
                  <w:tcW w:w="679" w:type="dxa"/>
                  <w:vAlign w:val="center"/>
                </w:tcPr>
                <w:p>
                  <w:pPr>
                    <w:jc w:val="center"/>
                    <w:rPr>
                      <w:szCs w:val="21"/>
                    </w:rPr>
                  </w:pPr>
                  <w:r>
                    <w:rPr>
                      <w:rFonts w:hint="eastAsia"/>
                      <w:szCs w:val="21"/>
                    </w:rPr>
                    <w:t>1小时</w:t>
                  </w:r>
                </w:p>
              </w:tc>
              <w:tc>
                <w:tcPr>
                  <w:tcW w:w="800" w:type="dxa"/>
                  <w:vAlign w:val="center"/>
                </w:tcPr>
                <w:p>
                  <w:pPr>
                    <w:spacing w:before="62" w:beforeLines="20" w:after="62" w:afterLines="20"/>
                    <w:jc w:val="center"/>
                    <w:rPr>
                      <w:szCs w:val="21"/>
                    </w:rPr>
                  </w:pPr>
                  <w:r>
                    <w:rPr>
                      <w:rFonts w:hint="default" w:ascii="Times New Roman" w:hAnsi="Times New Roman" w:cs="Times New Roman"/>
                      <w:color w:val="auto"/>
                      <w:szCs w:val="21"/>
                      <w:lang w:val="en-US" w:eastAsia="zh-CN"/>
                    </w:rPr>
                    <w:t>600</w:t>
                  </w:r>
                  <w:r>
                    <w:rPr>
                      <w:rFonts w:hint="default" w:ascii="Times New Roman" w:hAnsi="Times New Roman" w:cs="Times New Roman"/>
                      <w:color w:val="auto"/>
                      <w:szCs w:val="21"/>
                    </w:rPr>
                    <w:t>~</w:t>
                  </w:r>
                  <w:r>
                    <w:rPr>
                      <w:rFonts w:hint="default" w:ascii="Times New Roman" w:hAnsi="Times New Roman" w:cs="Times New Roman"/>
                      <w:color w:val="auto"/>
                      <w:szCs w:val="21"/>
                      <w:lang w:val="en-US" w:eastAsia="zh-CN"/>
                    </w:rPr>
                    <w:t>990</w:t>
                  </w:r>
                </w:p>
              </w:tc>
              <w:tc>
                <w:tcPr>
                  <w:tcW w:w="960" w:type="dxa"/>
                  <w:vAlign w:val="center"/>
                </w:tcPr>
                <w:p>
                  <w:pPr>
                    <w:spacing w:before="62" w:beforeLines="20" w:after="62" w:afterLines="20"/>
                    <w:jc w:val="center"/>
                    <w:rPr>
                      <w:szCs w:val="21"/>
                    </w:rPr>
                  </w:pPr>
                  <w:r>
                    <w:rPr>
                      <w:rFonts w:hint="default" w:ascii="Times New Roman" w:hAnsi="Times New Roman" w:cs="Times New Roman"/>
                      <w:color w:val="auto"/>
                      <w:szCs w:val="21"/>
                      <w:lang w:val="en-US" w:eastAsia="zh-CN"/>
                    </w:rPr>
                    <w:t>49.5</w:t>
                  </w:r>
                </w:p>
              </w:tc>
              <w:tc>
                <w:tcPr>
                  <w:tcW w:w="748" w:type="dxa"/>
                  <w:vAlign w:val="center"/>
                </w:tcPr>
                <w:p>
                  <w:pPr>
                    <w:jc w:val="center"/>
                    <w:rPr>
                      <w:szCs w:val="21"/>
                    </w:rPr>
                  </w:pPr>
                  <w:r>
                    <w:rPr>
                      <w:rFonts w:hint="eastAsia"/>
                      <w:color w:val="auto"/>
                      <w:szCs w:val="21"/>
                    </w:rPr>
                    <w:t>0</w:t>
                  </w:r>
                </w:p>
              </w:tc>
              <w:tc>
                <w:tcPr>
                  <w:tcW w:w="748" w:type="dxa"/>
                  <w:vAlign w:val="center"/>
                </w:tcPr>
                <w:p>
                  <w:pPr>
                    <w:jc w:val="center"/>
                    <w:rPr>
                      <w:szCs w:val="21"/>
                    </w:rPr>
                  </w:pPr>
                  <w:r>
                    <w:rPr>
                      <w:rFonts w:hint="eastAsia"/>
                      <w:color w:val="auto"/>
                      <w:szCs w:val="21"/>
                    </w:rPr>
                    <w:t>达标</w:t>
                  </w:r>
                </w:p>
              </w:tc>
              <w:tc>
                <w:tcPr>
                  <w:tcW w:w="679" w:type="dxa"/>
                  <w:vAlign w:val="center"/>
                </w:tcPr>
                <w:p>
                  <w:pPr>
                    <w:spacing w:before="62" w:beforeLines="20" w:after="62" w:afterLines="20"/>
                    <w:jc w:val="center"/>
                    <w:rPr>
                      <w:szCs w:val="21"/>
                    </w:rPr>
                  </w:pPr>
                  <w:r>
                    <w:rPr>
                      <w:rFonts w:hint="default" w:ascii="Times New Roman" w:hAnsi="Times New Roman" w:cs="Times New Roman"/>
                      <w:color w:val="auto"/>
                      <w:szCs w:val="21"/>
                      <w:lang w:val="en-US" w:eastAsia="zh-CN"/>
                    </w:rPr>
                    <w:t>600</w:t>
                  </w:r>
                  <w:r>
                    <w:rPr>
                      <w:rFonts w:hint="default" w:ascii="Times New Roman" w:hAnsi="Times New Roman" w:cs="Times New Roman"/>
                      <w:color w:val="auto"/>
                      <w:szCs w:val="21"/>
                    </w:rPr>
                    <w:t>~</w:t>
                  </w:r>
                  <w:r>
                    <w:rPr>
                      <w:rFonts w:hint="default" w:ascii="Times New Roman" w:hAnsi="Times New Roman" w:cs="Times New Roman"/>
                      <w:color w:val="auto"/>
                      <w:szCs w:val="21"/>
                      <w:lang w:val="en-US" w:eastAsia="zh-CN"/>
                    </w:rPr>
                    <w:t>990</w:t>
                  </w:r>
                </w:p>
              </w:tc>
            </w:tr>
          </w:tbl>
          <w:p>
            <w:pPr>
              <w:spacing w:line="360" w:lineRule="auto"/>
              <w:ind w:firstLine="470" w:firstLineChars="196"/>
              <w:rPr>
                <w:sz w:val="24"/>
              </w:rPr>
            </w:pPr>
            <w:r>
              <w:rPr>
                <w:sz w:val="24"/>
              </w:rPr>
              <w:t>由上表可知：评价区域内</w:t>
            </w:r>
            <w:r>
              <w:rPr>
                <w:rFonts w:hint="eastAsia"/>
                <w:sz w:val="24"/>
              </w:rPr>
              <w:t>非甲烷总烃满足《大气污染物综合排放标准详解》中的数值。</w:t>
            </w:r>
          </w:p>
          <w:p>
            <w:pPr>
              <w:spacing w:line="360" w:lineRule="auto"/>
              <w:ind w:firstLine="480" w:firstLineChars="200"/>
              <w:jc w:val="left"/>
              <w:rPr>
                <w:b/>
                <w:bCs/>
                <w:sz w:val="24"/>
                <w:szCs w:val="24"/>
              </w:rPr>
            </w:pPr>
            <w:r>
              <w:rPr>
                <w:b/>
                <w:bCs/>
                <w:sz w:val="24"/>
                <w:szCs w:val="24"/>
              </w:rPr>
              <w:t>（</w:t>
            </w:r>
            <w:r>
              <w:rPr>
                <w:rFonts w:hint="eastAsia"/>
                <w:b/>
                <w:bCs/>
                <w:sz w:val="24"/>
                <w:szCs w:val="24"/>
              </w:rPr>
              <w:t>3</w:t>
            </w:r>
            <w:r>
              <w:rPr>
                <w:b/>
                <w:bCs/>
                <w:sz w:val="24"/>
                <w:szCs w:val="24"/>
              </w:rPr>
              <w:t>）区域削减</w:t>
            </w:r>
            <w:r>
              <w:rPr>
                <w:rFonts w:hint="eastAsia"/>
                <w:b/>
                <w:bCs/>
                <w:sz w:val="24"/>
                <w:szCs w:val="24"/>
              </w:rPr>
              <w:t>：</w:t>
            </w:r>
          </w:p>
          <w:p>
            <w:pPr>
              <w:spacing w:line="360" w:lineRule="auto"/>
              <w:ind w:firstLine="480" w:firstLineChars="200"/>
              <w:textAlignment w:val="baseline"/>
              <w:rPr>
                <w:rFonts w:hint="eastAsia"/>
                <w:bCs/>
                <w:color w:val="auto"/>
                <w:kern w:val="28"/>
                <w:sz w:val="24"/>
              </w:rPr>
            </w:pPr>
            <w:r>
              <w:rPr>
                <w:rFonts w:hint="eastAsia"/>
                <w:bCs/>
                <w:color w:val="auto"/>
                <w:kern w:val="28"/>
                <w:sz w:val="24"/>
              </w:rPr>
              <w:t>根据《2020年金坛经济开发区打好污染防治攻坚战工作方案》，金坛经济开发区大气污染防治措施如下：</w:t>
            </w:r>
          </w:p>
          <w:p>
            <w:pPr>
              <w:spacing w:line="360" w:lineRule="auto"/>
              <w:ind w:firstLine="480" w:firstLineChars="200"/>
              <w:textAlignment w:val="baseline"/>
              <w:rPr>
                <w:rFonts w:hint="eastAsia"/>
                <w:bCs/>
                <w:color w:val="auto"/>
                <w:kern w:val="28"/>
                <w:sz w:val="24"/>
              </w:rPr>
            </w:pPr>
            <w:r>
              <w:rPr>
                <w:rFonts w:hint="eastAsia"/>
                <w:bCs/>
                <w:color w:val="auto"/>
                <w:kern w:val="28"/>
                <w:sz w:val="24"/>
              </w:rPr>
              <w:t>①一是加强重点行业治理改造。强化工业污染全过程控制，实现全行业全要素达标排放，重点非电行业全面实行超低排放。开展重点企业提升整治。二是实施生物质锅炉综合整治。三是实施天然气锅炉低氮改造。四是加强散煤治理。五是“散乱污”整治。</w:t>
            </w:r>
          </w:p>
          <w:p>
            <w:pPr>
              <w:spacing w:line="360" w:lineRule="auto"/>
              <w:ind w:firstLine="480" w:firstLineChars="200"/>
              <w:textAlignment w:val="baseline"/>
              <w:rPr>
                <w:rFonts w:hint="eastAsia"/>
                <w:bCs/>
                <w:color w:val="auto"/>
                <w:kern w:val="28"/>
                <w:sz w:val="24"/>
              </w:rPr>
            </w:pPr>
            <w:r>
              <w:rPr>
                <w:rFonts w:hint="eastAsia"/>
                <w:bCs/>
                <w:color w:val="auto"/>
                <w:kern w:val="28"/>
                <w:sz w:val="24"/>
              </w:rPr>
              <w:t>②严格管控各类扬尘。一是严格工地扬尘监管。严格执行《建筑工地扬尘防治标准》，做到“六个百分之百”。二是严格堆场扬尘监管。提升堆场扬尘防控水平。推进在线监测和视频监控设备安装，并与主管部门联网。三是加强道路扬尘综合整治。加强绿化建设，裸地实现绿化、硬化，及时修复破损路面，加大道路清扫洒水力度。四是加强大气降尘监管。全面排查整治扬尘污染源，有效提升区域扬尘网格化监管水平，开展降尘监测和考核。</w:t>
            </w:r>
          </w:p>
          <w:p>
            <w:pPr>
              <w:spacing w:line="360" w:lineRule="auto"/>
              <w:ind w:firstLine="480" w:firstLineChars="200"/>
              <w:textAlignment w:val="baseline"/>
              <w:rPr>
                <w:rFonts w:hint="eastAsia"/>
                <w:bCs/>
                <w:color w:val="auto"/>
                <w:kern w:val="28"/>
                <w:sz w:val="24"/>
              </w:rPr>
            </w:pPr>
            <w:r>
              <w:rPr>
                <w:rFonts w:hint="eastAsia"/>
                <w:bCs/>
                <w:color w:val="auto"/>
                <w:kern w:val="28"/>
                <w:sz w:val="24"/>
              </w:rPr>
              <w:t>③深化VOCs专项治理。一是重点企业VOCs治理。鼓励引导企业和消费者实施清洁原料替代。继续组织4家重点企业编制实施“一企一策”方案。二是表面涂装行业VOCs专项整治。继续推广使用低VOCs的油漆、涂料。重点对金属、塑料表面涂装过程中产生的VOCs进行整治。</w:t>
            </w:r>
          </w:p>
          <w:p>
            <w:pPr>
              <w:spacing w:line="360" w:lineRule="auto"/>
              <w:ind w:firstLine="480" w:firstLineChars="200"/>
              <w:textAlignment w:val="baseline"/>
              <w:rPr>
                <w:rFonts w:hint="eastAsia"/>
                <w:bCs/>
                <w:color w:val="auto"/>
                <w:kern w:val="28"/>
                <w:sz w:val="24"/>
              </w:rPr>
            </w:pPr>
            <w:r>
              <w:rPr>
                <w:rFonts w:hint="eastAsia"/>
                <w:bCs/>
                <w:color w:val="auto"/>
                <w:kern w:val="28"/>
                <w:sz w:val="24"/>
              </w:rPr>
              <w:t>④加强秸秆禁烧和综合利用。一是秸秆禁烧管控。强化秸秆禁烧主体责任，建立健全网格化监管制度，在夏收和秋收阶段开展秸秆禁烧专项巡查，严格制止秸秆焚烧和拋河行为。二是秸秆综合利用。坚持堵疏结合，完善秸秆收储体系，推广秸秆就地就近实现资源转化的小型化、移动式装备。</w:t>
            </w:r>
          </w:p>
          <w:p>
            <w:pPr>
              <w:spacing w:line="360" w:lineRule="auto"/>
              <w:ind w:firstLine="480" w:firstLineChars="200"/>
              <w:textAlignment w:val="baseline"/>
              <w:rPr>
                <w:rFonts w:hint="eastAsia"/>
                <w:bCs/>
                <w:color w:val="auto"/>
                <w:kern w:val="28"/>
                <w:sz w:val="24"/>
              </w:rPr>
            </w:pPr>
            <w:r>
              <w:rPr>
                <w:rFonts w:hint="eastAsia"/>
                <w:bCs/>
                <w:color w:val="auto"/>
                <w:kern w:val="28"/>
                <w:sz w:val="24"/>
              </w:rPr>
              <w:t>⑤加强面源污染控制。一是加强餐饮油烟污染防治。餐饮行业《负面清单》全覆盖。二是加强烟花爆竹污染防治。切实落实烟花爆竹禁放措施，有效防止空气污染。三是加强空气自动站周边污染源排查整治。</w:t>
            </w:r>
          </w:p>
          <w:p>
            <w:pPr>
              <w:spacing w:line="360" w:lineRule="auto"/>
              <w:ind w:firstLine="480" w:firstLineChars="200"/>
              <w:textAlignment w:val="baseline"/>
              <w:rPr>
                <w:rFonts w:hint="eastAsia"/>
                <w:bCs/>
                <w:color w:val="auto"/>
                <w:kern w:val="28"/>
                <w:sz w:val="24"/>
              </w:rPr>
            </w:pPr>
            <w:r>
              <w:rPr>
                <w:rFonts w:hint="eastAsia"/>
                <w:bCs/>
                <w:color w:val="auto"/>
                <w:kern w:val="28"/>
                <w:sz w:val="24"/>
              </w:rPr>
              <w:t>⑥加强重污染天气防范应对。加强重污染天气预警，严格落实预警管控要求，及时实施应急响应措施，切实降低重污染天气不利影响。建立健全“点位长”制和“网格长”制。</w:t>
            </w:r>
          </w:p>
          <w:p>
            <w:pPr>
              <w:spacing w:line="360" w:lineRule="auto"/>
              <w:ind w:firstLine="480" w:firstLineChars="200"/>
              <w:textAlignment w:val="baseline"/>
              <w:rPr>
                <w:bCs/>
                <w:color w:val="auto"/>
                <w:kern w:val="28"/>
                <w:sz w:val="24"/>
              </w:rPr>
            </w:pPr>
            <w:r>
              <w:rPr>
                <w:rFonts w:hint="eastAsia"/>
                <w:bCs/>
                <w:color w:val="auto"/>
                <w:kern w:val="28"/>
                <w:sz w:val="24"/>
              </w:rPr>
              <w:t>根据《2019年常州市环境质量状况公报》：2019年，常州全市空气质量较2018年总体改善。因此，通过上述工作的不断推进实施，常州市与金坛区环境空气质量将得到持续改善。</w:t>
            </w:r>
          </w:p>
          <w:p>
            <w:pPr>
              <w:spacing w:line="360" w:lineRule="auto"/>
              <w:ind w:firstLine="480" w:firstLineChars="200"/>
              <w:textAlignment w:val="baseline"/>
              <w:rPr>
                <w:b/>
                <w:kern w:val="28"/>
                <w:sz w:val="24"/>
              </w:rPr>
            </w:pPr>
            <w:r>
              <w:rPr>
                <w:b/>
                <w:kern w:val="28"/>
                <w:sz w:val="24"/>
              </w:rPr>
              <w:t>2、地表水环境质量现状</w:t>
            </w:r>
          </w:p>
          <w:p>
            <w:pPr>
              <w:shd w:val="clear" w:color="auto" w:fill="FFFFFF"/>
              <w:spacing w:line="360" w:lineRule="auto"/>
              <w:ind w:firstLine="480" w:firstLineChars="200"/>
              <w:rPr>
                <w:sz w:val="24"/>
                <w:szCs w:val="24"/>
              </w:rPr>
            </w:pPr>
            <w:r>
              <w:rPr>
                <w:rFonts w:hint="eastAsia"/>
                <w:sz w:val="24"/>
                <w:szCs w:val="24"/>
              </w:rPr>
              <w:t>根据《常州市生态环境质量报告》（2019），2019年，常州市地表水监测断面，按年均水质评价，无Ⅰ类水质断面，Ⅱ类水质断面4个，占比为8.5%，Ⅲ类水质断面30个，占比为63.8%，Ⅳ类水质断面6个，占比为12.8%，Ⅴ类水质断面6个，占比为12.8%，劣Ⅴ类水质断面1个，占2.1%。主要污染指标为总磷、氨氮和化学需氧量，超Ⅲ类断面比比例分别为23.4%、4.3%和4.3%，年均浓度分别为0.131mg/L、0.48mg/L、15mg/L。</w:t>
            </w:r>
          </w:p>
          <w:p>
            <w:pPr>
              <w:autoSpaceDE w:val="0"/>
              <w:autoSpaceDN w:val="0"/>
              <w:adjustRightInd w:val="0"/>
              <w:spacing w:line="360" w:lineRule="auto"/>
              <w:ind w:firstLine="480" w:firstLineChars="200"/>
              <w:rPr>
                <w:kern w:val="0"/>
                <w:sz w:val="24"/>
              </w:rPr>
            </w:pPr>
            <w:r>
              <w:rPr>
                <w:kern w:val="0"/>
                <w:sz w:val="24"/>
              </w:rPr>
              <w:t>本项目纳污水体为尧塘河，水质基本满足《地表水环境质量标准》（GB3838-2002）中</w:t>
            </w:r>
            <w:r>
              <w:rPr>
                <w:rFonts w:hint="eastAsia" w:ascii="宋体" w:hAnsi="宋体" w:cs="宋体"/>
                <w:kern w:val="0"/>
                <w:sz w:val="24"/>
              </w:rPr>
              <w:t>Ⅳ</w:t>
            </w:r>
            <w:r>
              <w:rPr>
                <w:kern w:val="0"/>
                <w:sz w:val="24"/>
              </w:rPr>
              <w:t>类标准</w:t>
            </w:r>
            <w:r>
              <w:rPr>
                <w:rFonts w:hint="eastAsia"/>
                <w:kern w:val="0"/>
                <w:sz w:val="24"/>
              </w:rPr>
              <w:t>，因此判定</w:t>
            </w:r>
            <w:r>
              <w:rPr>
                <w:kern w:val="0"/>
                <w:sz w:val="24"/>
              </w:rPr>
              <w:t>为达标区。</w:t>
            </w:r>
          </w:p>
          <w:p>
            <w:pPr>
              <w:shd w:val="clear" w:color="auto" w:fill="FFFFFF"/>
              <w:spacing w:line="360" w:lineRule="auto"/>
              <w:ind w:firstLine="480" w:firstLineChars="200"/>
              <w:rPr>
                <w:sz w:val="24"/>
                <w:szCs w:val="24"/>
              </w:rPr>
            </w:pPr>
            <w:r>
              <w:rPr>
                <w:rFonts w:hint="eastAsia"/>
                <w:sz w:val="24"/>
                <w:szCs w:val="24"/>
              </w:rPr>
              <w:t>本项目纳污河流为尧塘河，尧塘河地表水环境质量现状引用《江苏省兴荣兆邦金属股份有限公司年产6万吨小直径薄壁高效散热铜管项目环境影响报告》中地表水W1、W2点位历史检测数据，在尧塘河二污厂排污口上游500米处和下游1000米处pH值、化学需氧量、悬浮物、氨氮、总磷、动植物油类的历史数据。检测时间为2018年8月28日~8月30日，检测报告编号“CQHH181200”</w:t>
            </w:r>
            <w:r>
              <w:rPr>
                <w:sz w:val="24"/>
                <w:szCs w:val="24"/>
              </w:rPr>
              <w:t>。</w:t>
            </w:r>
          </w:p>
          <w:p>
            <w:pPr>
              <w:shd w:val="clear" w:color="auto" w:fill="FFFFFF"/>
              <w:spacing w:line="360" w:lineRule="auto"/>
              <w:ind w:firstLine="480" w:firstLineChars="200"/>
              <w:rPr>
                <w:sz w:val="24"/>
                <w:szCs w:val="24"/>
              </w:rPr>
            </w:pPr>
            <w:r>
              <w:rPr>
                <w:sz w:val="24"/>
                <w:szCs w:val="24"/>
              </w:rPr>
              <w:t>监测数据详见表3-</w:t>
            </w:r>
            <w:r>
              <w:rPr>
                <w:rFonts w:hint="eastAsia"/>
                <w:sz w:val="24"/>
                <w:szCs w:val="24"/>
              </w:rPr>
              <w:t>4</w:t>
            </w:r>
            <w:r>
              <w:rPr>
                <w:sz w:val="24"/>
                <w:szCs w:val="24"/>
              </w:rPr>
              <w:t>（监测报告见附件）。</w:t>
            </w:r>
          </w:p>
          <w:p>
            <w:pPr>
              <w:jc w:val="center"/>
              <w:rPr>
                <w:b/>
                <w:bCs/>
                <w:szCs w:val="21"/>
              </w:rPr>
            </w:pPr>
          </w:p>
          <w:p>
            <w:pPr>
              <w:jc w:val="center"/>
              <w:rPr>
                <w:b/>
                <w:bCs/>
                <w:szCs w:val="21"/>
              </w:rPr>
            </w:pPr>
            <w:r>
              <w:rPr>
                <w:b/>
                <w:bCs/>
                <w:szCs w:val="21"/>
              </w:rPr>
              <w:t>表3-</w:t>
            </w:r>
            <w:r>
              <w:rPr>
                <w:rFonts w:hint="eastAsia"/>
                <w:b/>
                <w:bCs/>
                <w:szCs w:val="21"/>
              </w:rPr>
              <w:t>4</w:t>
            </w:r>
            <w:r>
              <w:rPr>
                <w:b/>
                <w:bCs/>
                <w:szCs w:val="21"/>
              </w:rPr>
              <w:t xml:space="preserve"> 水质监测结果 </w:t>
            </w:r>
            <w:r>
              <w:rPr>
                <w:rFonts w:hint="eastAsia"/>
                <w:b/>
                <w:bCs/>
                <w:szCs w:val="21"/>
              </w:rPr>
              <w:t xml:space="preserve"> </w:t>
            </w:r>
            <w:r>
              <w:rPr>
                <w:b/>
                <w:bCs/>
                <w:szCs w:val="21"/>
              </w:rPr>
              <w:t xml:space="preserve"> 单位：mg/L，pH无量纲</w:t>
            </w:r>
          </w:p>
          <w:tbl>
            <w:tblPr>
              <w:tblStyle w:val="57"/>
              <w:tblW w:w="0" w:type="auto"/>
              <w:tblInd w:w="5" w:type="dxa"/>
              <w:tblBorders>
                <w:top w:val="single" w:color="auto" w:sz="12" w:space="0"/>
                <w:left w:val="none" w:color="auto" w:sz="0" w:space="0"/>
                <w:bottom w:val="single" w:color="auto" w:sz="12"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
            <w:tblGrid>
              <w:gridCol w:w="949"/>
              <w:gridCol w:w="1391"/>
              <w:gridCol w:w="915"/>
              <w:gridCol w:w="990"/>
              <w:gridCol w:w="946"/>
              <w:gridCol w:w="1038"/>
              <w:gridCol w:w="1039"/>
              <w:gridCol w:w="1039"/>
            </w:tblGrid>
            <w:tr>
              <w:tblPrEx>
                <w:tblBorders>
                  <w:top w:val="single" w:color="auto" w:sz="12" w:space="0"/>
                  <w:left w:val="none" w:color="auto" w:sz="0" w:space="0"/>
                  <w:bottom w:val="single" w:color="auto" w:sz="12" w:space="0"/>
                  <w:right w:val="none" w:color="auto" w:sz="0" w:space="0"/>
                  <w:insideH w:val="single" w:color="auto" w:sz="2" w:space="0"/>
                  <w:insideV w:val="single" w:color="auto" w:sz="2" w:space="0"/>
                </w:tblBorders>
                <w:tblCellMar>
                  <w:top w:w="0" w:type="dxa"/>
                  <w:left w:w="108" w:type="dxa"/>
                  <w:bottom w:w="0" w:type="dxa"/>
                  <w:right w:w="108" w:type="dxa"/>
                </w:tblCellMar>
              </w:tblPrEx>
              <w:tc>
                <w:tcPr>
                  <w:tcW w:w="949" w:type="dxa"/>
                  <w:vMerge w:val="restart"/>
                  <w:tcBorders>
                    <w:tl2br w:val="nil"/>
                    <w:tr2bl w:val="nil"/>
                  </w:tcBorders>
                  <w:vAlign w:val="center"/>
                </w:tcPr>
                <w:p>
                  <w:pPr>
                    <w:jc w:val="center"/>
                    <w:rPr>
                      <w:b/>
                      <w:bCs/>
                      <w:szCs w:val="21"/>
                    </w:rPr>
                  </w:pPr>
                  <w:r>
                    <w:rPr>
                      <w:b/>
                      <w:bCs/>
                      <w:szCs w:val="21"/>
                    </w:rPr>
                    <w:t>采样地点</w:t>
                  </w:r>
                </w:p>
              </w:tc>
              <w:tc>
                <w:tcPr>
                  <w:tcW w:w="1391" w:type="dxa"/>
                  <w:vMerge w:val="restart"/>
                  <w:tcBorders>
                    <w:tl2br w:val="nil"/>
                    <w:tr2bl w:val="nil"/>
                  </w:tcBorders>
                  <w:vAlign w:val="center"/>
                </w:tcPr>
                <w:p>
                  <w:pPr>
                    <w:jc w:val="center"/>
                    <w:rPr>
                      <w:b/>
                      <w:bCs/>
                      <w:szCs w:val="21"/>
                    </w:rPr>
                  </w:pPr>
                  <w:r>
                    <w:rPr>
                      <w:b/>
                      <w:bCs/>
                      <w:szCs w:val="21"/>
                    </w:rPr>
                    <w:t>检测项目</w:t>
                  </w:r>
                </w:p>
              </w:tc>
              <w:tc>
                <w:tcPr>
                  <w:tcW w:w="5967" w:type="dxa"/>
                  <w:gridSpan w:val="6"/>
                  <w:tcBorders>
                    <w:tl2br w:val="nil"/>
                    <w:tr2bl w:val="nil"/>
                  </w:tcBorders>
                  <w:vAlign w:val="center"/>
                </w:tcPr>
                <w:p>
                  <w:pPr>
                    <w:jc w:val="center"/>
                    <w:rPr>
                      <w:b/>
                      <w:bCs/>
                      <w:szCs w:val="21"/>
                    </w:rPr>
                  </w:pPr>
                  <w:r>
                    <w:rPr>
                      <w:b/>
                      <w:bCs/>
                      <w:szCs w:val="21"/>
                    </w:rPr>
                    <w:t>检测结果（mg/L）</w:t>
                  </w:r>
                </w:p>
              </w:tc>
            </w:tr>
            <w:tr>
              <w:tblPrEx>
                <w:tblBorders>
                  <w:top w:val="single" w:color="auto" w:sz="12" w:space="0"/>
                  <w:left w:val="none" w:color="auto" w:sz="0" w:space="0"/>
                  <w:bottom w:val="single" w:color="auto" w:sz="12" w:space="0"/>
                  <w:right w:val="none" w:color="auto" w:sz="0" w:space="0"/>
                  <w:insideH w:val="single" w:color="auto" w:sz="2" w:space="0"/>
                  <w:insideV w:val="single" w:color="auto" w:sz="2" w:space="0"/>
                </w:tblBorders>
                <w:tblCellMar>
                  <w:top w:w="0" w:type="dxa"/>
                  <w:left w:w="108" w:type="dxa"/>
                  <w:bottom w:w="0" w:type="dxa"/>
                  <w:right w:w="108" w:type="dxa"/>
                </w:tblCellMar>
              </w:tblPrEx>
              <w:tc>
                <w:tcPr>
                  <w:tcW w:w="949" w:type="dxa"/>
                  <w:vMerge w:val="continue"/>
                  <w:tcBorders>
                    <w:tl2br w:val="nil"/>
                    <w:tr2bl w:val="nil"/>
                  </w:tcBorders>
                  <w:vAlign w:val="center"/>
                </w:tcPr>
                <w:p>
                  <w:pPr>
                    <w:jc w:val="center"/>
                    <w:rPr>
                      <w:b/>
                      <w:bCs/>
                      <w:szCs w:val="21"/>
                    </w:rPr>
                  </w:pPr>
                </w:p>
              </w:tc>
              <w:tc>
                <w:tcPr>
                  <w:tcW w:w="1391" w:type="dxa"/>
                  <w:vMerge w:val="continue"/>
                  <w:tcBorders>
                    <w:tl2br w:val="nil"/>
                    <w:tr2bl w:val="nil"/>
                  </w:tcBorders>
                  <w:vAlign w:val="center"/>
                </w:tcPr>
                <w:p>
                  <w:pPr>
                    <w:jc w:val="center"/>
                    <w:rPr>
                      <w:b/>
                      <w:bCs/>
                      <w:szCs w:val="21"/>
                    </w:rPr>
                  </w:pPr>
                </w:p>
              </w:tc>
              <w:tc>
                <w:tcPr>
                  <w:tcW w:w="1905" w:type="dxa"/>
                  <w:gridSpan w:val="2"/>
                  <w:tcBorders>
                    <w:tl2br w:val="nil"/>
                    <w:tr2bl w:val="nil"/>
                  </w:tcBorders>
                  <w:vAlign w:val="center"/>
                </w:tcPr>
                <w:p>
                  <w:pPr>
                    <w:jc w:val="center"/>
                    <w:rPr>
                      <w:b/>
                      <w:bCs/>
                      <w:szCs w:val="21"/>
                    </w:rPr>
                  </w:pPr>
                  <w:r>
                    <w:rPr>
                      <w:b/>
                      <w:bCs/>
                      <w:szCs w:val="21"/>
                    </w:rPr>
                    <w:t>2018年08月28日</w:t>
                  </w:r>
                </w:p>
              </w:tc>
              <w:tc>
                <w:tcPr>
                  <w:tcW w:w="1984" w:type="dxa"/>
                  <w:gridSpan w:val="2"/>
                  <w:tcBorders>
                    <w:tl2br w:val="nil"/>
                    <w:tr2bl w:val="nil"/>
                  </w:tcBorders>
                  <w:vAlign w:val="center"/>
                </w:tcPr>
                <w:p>
                  <w:pPr>
                    <w:jc w:val="center"/>
                    <w:rPr>
                      <w:b/>
                      <w:bCs/>
                      <w:szCs w:val="21"/>
                    </w:rPr>
                  </w:pPr>
                  <w:r>
                    <w:rPr>
                      <w:b/>
                      <w:bCs/>
                      <w:szCs w:val="21"/>
                    </w:rPr>
                    <w:t>2018年08月29日</w:t>
                  </w:r>
                </w:p>
              </w:tc>
              <w:tc>
                <w:tcPr>
                  <w:tcW w:w="2078" w:type="dxa"/>
                  <w:gridSpan w:val="2"/>
                  <w:tcBorders>
                    <w:tl2br w:val="nil"/>
                    <w:tr2bl w:val="nil"/>
                  </w:tcBorders>
                  <w:vAlign w:val="center"/>
                </w:tcPr>
                <w:p>
                  <w:pPr>
                    <w:jc w:val="center"/>
                    <w:rPr>
                      <w:b/>
                      <w:bCs/>
                      <w:szCs w:val="21"/>
                    </w:rPr>
                  </w:pPr>
                  <w:r>
                    <w:rPr>
                      <w:b/>
                      <w:bCs/>
                      <w:szCs w:val="21"/>
                    </w:rPr>
                    <w:t>2018年08月30日</w:t>
                  </w:r>
                </w:p>
              </w:tc>
            </w:tr>
            <w:tr>
              <w:tblPrEx>
                <w:tblBorders>
                  <w:top w:val="single" w:color="auto" w:sz="12" w:space="0"/>
                  <w:left w:val="none" w:color="auto" w:sz="0" w:space="0"/>
                  <w:bottom w:val="single" w:color="auto" w:sz="12" w:space="0"/>
                  <w:right w:val="none" w:color="auto" w:sz="0" w:space="0"/>
                  <w:insideH w:val="single" w:color="auto" w:sz="2" w:space="0"/>
                  <w:insideV w:val="single" w:color="auto" w:sz="2" w:space="0"/>
                </w:tblBorders>
                <w:tblCellMar>
                  <w:top w:w="0" w:type="dxa"/>
                  <w:left w:w="108" w:type="dxa"/>
                  <w:bottom w:w="0" w:type="dxa"/>
                  <w:right w:w="108" w:type="dxa"/>
                </w:tblCellMar>
              </w:tblPrEx>
              <w:tc>
                <w:tcPr>
                  <w:tcW w:w="949" w:type="dxa"/>
                  <w:vMerge w:val="continue"/>
                  <w:tcBorders>
                    <w:tl2br w:val="nil"/>
                    <w:tr2bl w:val="nil"/>
                  </w:tcBorders>
                  <w:vAlign w:val="center"/>
                </w:tcPr>
                <w:p>
                  <w:pPr>
                    <w:jc w:val="center"/>
                    <w:rPr>
                      <w:b/>
                      <w:bCs/>
                      <w:szCs w:val="21"/>
                    </w:rPr>
                  </w:pPr>
                </w:p>
              </w:tc>
              <w:tc>
                <w:tcPr>
                  <w:tcW w:w="1391" w:type="dxa"/>
                  <w:vMerge w:val="continue"/>
                  <w:tcBorders>
                    <w:tl2br w:val="nil"/>
                    <w:tr2bl w:val="nil"/>
                  </w:tcBorders>
                  <w:vAlign w:val="center"/>
                </w:tcPr>
                <w:p>
                  <w:pPr>
                    <w:jc w:val="center"/>
                    <w:rPr>
                      <w:b/>
                      <w:bCs/>
                      <w:szCs w:val="21"/>
                    </w:rPr>
                  </w:pPr>
                </w:p>
              </w:tc>
              <w:tc>
                <w:tcPr>
                  <w:tcW w:w="915" w:type="dxa"/>
                  <w:tcBorders>
                    <w:tl2br w:val="nil"/>
                    <w:tr2bl w:val="nil"/>
                  </w:tcBorders>
                  <w:vAlign w:val="center"/>
                </w:tcPr>
                <w:p>
                  <w:pPr>
                    <w:jc w:val="center"/>
                    <w:rPr>
                      <w:b/>
                      <w:bCs/>
                      <w:szCs w:val="21"/>
                    </w:rPr>
                  </w:pPr>
                  <w:r>
                    <w:rPr>
                      <w:b/>
                      <w:bCs/>
                      <w:szCs w:val="21"/>
                    </w:rPr>
                    <w:t>上午</w:t>
                  </w:r>
                </w:p>
              </w:tc>
              <w:tc>
                <w:tcPr>
                  <w:tcW w:w="990" w:type="dxa"/>
                  <w:tcBorders>
                    <w:tl2br w:val="nil"/>
                    <w:tr2bl w:val="nil"/>
                  </w:tcBorders>
                  <w:vAlign w:val="center"/>
                </w:tcPr>
                <w:p>
                  <w:pPr>
                    <w:jc w:val="center"/>
                    <w:rPr>
                      <w:b/>
                      <w:bCs/>
                      <w:szCs w:val="21"/>
                    </w:rPr>
                  </w:pPr>
                  <w:r>
                    <w:rPr>
                      <w:b/>
                      <w:bCs/>
                      <w:szCs w:val="21"/>
                    </w:rPr>
                    <w:t>下午</w:t>
                  </w:r>
                </w:p>
              </w:tc>
              <w:tc>
                <w:tcPr>
                  <w:tcW w:w="946" w:type="dxa"/>
                  <w:tcBorders>
                    <w:tl2br w:val="nil"/>
                    <w:tr2bl w:val="nil"/>
                  </w:tcBorders>
                  <w:vAlign w:val="center"/>
                </w:tcPr>
                <w:p>
                  <w:pPr>
                    <w:jc w:val="center"/>
                    <w:rPr>
                      <w:b/>
                      <w:bCs/>
                      <w:szCs w:val="21"/>
                    </w:rPr>
                  </w:pPr>
                  <w:r>
                    <w:rPr>
                      <w:b/>
                      <w:bCs/>
                      <w:szCs w:val="21"/>
                    </w:rPr>
                    <w:t>上午</w:t>
                  </w:r>
                </w:p>
              </w:tc>
              <w:tc>
                <w:tcPr>
                  <w:tcW w:w="1038" w:type="dxa"/>
                  <w:tcBorders>
                    <w:tl2br w:val="nil"/>
                    <w:tr2bl w:val="nil"/>
                  </w:tcBorders>
                  <w:vAlign w:val="center"/>
                </w:tcPr>
                <w:p>
                  <w:pPr>
                    <w:jc w:val="center"/>
                    <w:rPr>
                      <w:b/>
                      <w:bCs/>
                      <w:szCs w:val="21"/>
                    </w:rPr>
                  </w:pPr>
                  <w:r>
                    <w:rPr>
                      <w:b/>
                      <w:bCs/>
                      <w:szCs w:val="21"/>
                    </w:rPr>
                    <w:t>下午</w:t>
                  </w:r>
                </w:p>
              </w:tc>
              <w:tc>
                <w:tcPr>
                  <w:tcW w:w="1039" w:type="dxa"/>
                  <w:tcBorders>
                    <w:tl2br w:val="nil"/>
                    <w:tr2bl w:val="nil"/>
                  </w:tcBorders>
                  <w:vAlign w:val="center"/>
                </w:tcPr>
                <w:p>
                  <w:pPr>
                    <w:jc w:val="center"/>
                    <w:rPr>
                      <w:b/>
                      <w:bCs/>
                      <w:szCs w:val="21"/>
                    </w:rPr>
                  </w:pPr>
                  <w:r>
                    <w:rPr>
                      <w:b/>
                      <w:bCs/>
                      <w:szCs w:val="21"/>
                    </w:rPr>
                    <w:t>上午</w:t>
                  </w:r>
                </w:p>
              </w:tc>
              <w:tc>
                <w:tcPr>
                  <w:tcW w:w="1039" w:type="dxa"/>
                  <w:tcBorders>
                    <w:tl2br w:val="nil"/>
                    <w:tr2bl w:val="nil"/>
                  </w:tcBorders>
                  <w:vAlign w:val="center"/>
                </w:tcPr>
                <w:p>
                  <w:pPr>
                    <w:jc w:val="center"/>
                    <w:rPr>
                      <w:b/>
                      <w:bCs/>
                      <w:szCs w:val="21"/>
                    </w:rPr>
                  </w:pPr>
                  <w:r>
                    <w:rPr>
                      <w:b/>
                      <w:bCs/>
                      <w:szCs w:val="21"/>
                    </w:rPr>
                    <w:t>下午</w:t>
                  </w:r>
                </w:p>
              </w:tc>
            </w:tr>
            <w:tr>
              <w:tblPrEx>
                <w:tblBorders>
                  <w:top w:val="single" w:color="auto" w:sz="12" w:space="0"/>
                  <w:left w:val="none" w:color="auto" w:sz="0" w:space="0"/>
                  <w:bottom w:val="single" w:color="auto" w:sz="12" w:space="0"/>
                  <w:right w:val="none" w:color="auto" w:sz="0" w:space="0"/>
                  <w:insideH w:val="single" w:color="auto" w:sz="2" w:space="0"/>
                  <w:insideV w:val="single" w:color="auto" w:sz="2" w:space="0"/>
                </w:tblBorders>
                <w:tblCellMar>
                  <w:top w:w="0" w:type="dxa"/>
                  <w:left w:w="108" w:type="dxa"/>
                  <w:bottom w:w="0" w:type="dxa"/>
                  <w:right w:w="108" w:type="dxa"/>
                </w:tblCellMar>
              </w:tblPrEx>
              <w:tc>
                <w:tcPr>
                  <w:tcW w:w="949" w:type="dxa"/>
                  <w:vMerge w:val="restart"/>
                  <w:tcBorders>
                    <w:tl2br w:val="nil"/>
                    <w:tr2bl w:val="nil"/>
                  </w:tcBorders>
                  <w:vAlign w:val="center"/>
                </w:tcPr>
                <w:p>
                  <w:pPr>
                    <w:jc w:val="center"/>
                    <w:rPr>
                      <w:szCs w:val="21"/>
                    </w:rPr>
                  </w:pPr>
                  <w:r>
                    <w:rPr>
                      <w:szCs w:val="21"/>
                    </w:rPr>
                    <w:t>尧塘河W1金坛</w:t>
                  </w:r>
                  <w:r>
                    <w:rPr>
                      <w:rFonts w:hint="eastAsia"/>
                      <w:szCs w:val="21"/>
                    </w:rPr>
                    <w:t>区</w:t>
                  </w:r>
                  <w:r>
                    <w:rPr>
                      <w:szCs w:val="21"/>
                    </w:rPr>
                    <w:t>第二污水处理厂排口上游500m</w:t>
                  </w:r>
                </w:p>
              </w:tc>
              <w:tc>
                <w:tcPr>
                  <w:tcW w:w="1391" w:type="dxa"/>
                  <w:tcBorders>
                    <w:tl2br w:val="nil"/>
                    <w:tr2bl w:val="nil"/>
                  </w:tcBorders>
                  <w:vAlign w:val="center"/>
                </w:tcPr>
                <w:p>
                  <w:pPr>
                    <w:jc w:val="center"/>
                    <w:rPr>
                      <w:szCs w:val="21"/>
                    </w:rPr>
                  </w:pPr>
                  <w:r>
                    <w:rPr>
                      <w:szCs w:val="21"/>
                    </w:rPr>
                    <w:t>样品状态</w:t>
                  </w:r>
                </w:p>
              </w:tc>
              <w:tc>
                <w:tcPr>
                  <w:tcW w:w="915" w:type="dxa"/>
                  <w:tcBorders>
                    <w:tl2br w:val="nil"/>
                    <w:tr2bl w:val="nil"/>
                  </w:tcBorders>
                  <w:vAlign w:val="center"/>
                </w:tcPr>
                <w:p>
                  <w:pPr>
                    <w:jc w:val="center"/>
                    <w:rPr>
                      <w:szCs w:val="21"/>
                    </w:rPr>
                  </w:pPr>
                  <w:r>
                    <w:rPr>
                      <w:rFonts w:hint="eastAsia"/>
                      <w:szCs w:val="21"/>
                    </w:rPr>
                    <w:t>无色无嗅</w:t>
                  </w:r>
                </w:p>
              </w:tc>
              <w:tc>
                <w:tcPr>
                  <w:tcW w:w="990" w:type="dxa"/>
                  <w:tcBorders>
                    <w:tl2br w:val="nil"/>
                    <w:tr2bl w:val="nil"/>
                  </w:tcBorders>
                  <w:vAlign w:val="center"/>
                </w:tcPr>
                <w:p>
                  <w:pPr>
                    <w:jc w:val="center"/>
                    <w:rPr>
                      <w:szCs w:val="21"/>
                    </w:rPr>
                  </w:pPr>
                  <w:r>
                    <w:rPr>
                      <w:rFonts w:hint="eastAsia"/>
                      <w:szCs w:val="21"/>
                    </w:rPr>
                    <w:t>无色无嗅</w:t>
                  </w:r>
                </w:p>
              </w:tc>
              <w:tc>
                <w:tcPr>
                  <w:tcW w:w="946" w:type="dxa"/>
                  <w:tcBorders>
                    <w:tl2br w:val="nil"/>
                    <w:tr2bl w:val="nil"/>
                  </w:tcBorders>
                  <w:vAlign w:val="center"/>
                </w:tcPr>
                <w:p>
                  <w:pPr>
                    <w:jc w:val="center"/>
                    <w:rPr>
                      <w:szCs w:val="21"/>
                    </w:rPr>
                  </w:pPr>
                  <w:r>
                    <w:rPr>
                      <w:rFonts w:hint="eastAsia"/>
                      <w:szCs w:val="21"/>
                    </w:rPr>
                    <w:t>无色无嗅</w:t>
                  </w:r>
                </w:p>
              </w:tc>
              <w:tc>
                <w:tcPr>
                  <w:tcW w:w="1038" w:type="dxa"/>
                  <w:tcBorders>
                    <w:tl2br w:val="nil"/>
                    <w:tr2bl w:val="nil"/>
                  </w:tcBorders>
                  <w:vAlign w:val="center"/>
                </w:tcPr>
                <w:p>
                  <w:pPr>
                    <w:jc w:val="center"/>
                    <w:rPr>
                      <w:szCs w:val="21"/>
                    </w:rPr>
                  </w:pPr>
                  <w:r>
                    <w:rPr>
                      <w:rFonts w:hint="eastAsia"/>
                      <w:szCs w:val="21"/>
                    </w:rPr>
                    <w:t>无色无嗅</w:t>
                  </w:r>
                </w:p>
              </w:tc>
              <w:tc>
                <w:tcPr>
                  <w:tcW w:w="1039" w:type="dxa"/>
                  <w:tcBorders>
                    <w:tl2br w:val="nil"/>
                    <w:tr2bl w:val="nil"/>
                  </w:tcBorders>
                  <w:vAlign w:val="center"/>
                </w:tcPr>
                <w:p>
                  <w:pPr>
                    <w:jc w:val="center"/>
                    <w:rPr>
                      <w:szCs w:val="21"/>
                    </w:rPr>
                  </w:pPr>
                  <w:r>
                    <w:rPr>
                      <w:rFonts w:hint="eastAsia"/>
                      <w:szCs w:val="21"/>
                    </w:rPr>
                    <w:t>无色无嗅</w:t>
                  </w:r>
                </w:p>
              </w:tc>
              <w:tc>
                <w:tcPr>
                  <w:tcW w:w="1039" w:type="dxa"/>
                  <w:tcBorders>
                    <w:tl2br w:val="nil"/>
                    <w:tr2bl w:val="nil"/>
                  </w:tcBorders>
                  <w:vAlign w:val="center"/>
                </w:tcPr>
                <w:p>
                  <w:pPr>
                    <w:jc w:val="center"/>
                    <w:rPr>
                      <w:szCs w:val="21"/>
                    </w:rPr>
                  </w:pPr>
                  <w:r>
                    <w:rPr>
                      <w:rFonts w:hint="eastAsia"/>
                      <w:szCs w:val="21"/>
                    </w:rPr>
                    <w:t>无色无嗅</w:t>
                  </w:r>
                </w:p>
              </w:tc>
            </w:tr>
            <w:tr>
              <w:tblPrEx>
                <w:tblBorders>
                  <w:top w:val="single" w:color="auto" w:sz="12" w:space="0"/>
                  <w:left w:val="none" w:color="auto" w:sz="0" w:space="0"/>
                  <w:bottom w:val="single" w:color="auto" w:sz="12" w:space="0"/>
                  <w:right w:val="none" w:color="auto" w:sz="0" w:space="0"/>
                  <w:insideH w:val="single" w:color="auto" w:sz="2" w:space="0"/>
                  <w:insideV w:val="single" w:color="auto" w:sz="2" w:space="0"/>
                </w:tblBorders>
                <w:tblCellMar>
                  <w:top w:w="0" w:type="dxa"/>
                  <w:left w:w="108" w:type="dxa"/>
                  <w:bottom w:w="0" w:type="dxa"/>
                  <w:right w:w="108" w:type="dxa"/>
                </w:tblCellMar>
              </w:tblPrEx>
              <w:tc>
                <w:tcPr>
                  <w:tcW w:w="949" w:type="dxa"/>
                  <w:vMerge w:val="continue"/>
                  <w:tcBorders>
                    <w:tl2br w:val="nil"/>
                    <w:tr2bl w:val="nil"/>
                  </w:tcBorders>
                  <w:vAlign w:val="center"/>
                </w:tcPr>
                <w:p>
                  <w:pPr>
                    <w:jc w:val="center"/>
                    <w:rPr>
                      <w:szCs w:val="21"/>
                    </w:rPr>
                  </w:pPr>
                </w:p>
              </w:tc>
              <w:tc>
                <w:tcPr>
                  <w:tcW w:w="1391" w:type="dxa"/>
                  <w:tcBorders>
                    <w:tl2br w:val="nil"/>
                    <w:tr2bl w:val="nil"/>
                  </w:tcBorders>
                  <w:vAlign w:val="center"/>
                </w:tcPr>
                <w:p>
                  <w:pPr>
                    <w:jc w:val="center"/>
                    <w:rPr>
                      <w:szCs w:val="21"/>
                    </w:rPr>
                  </w:pPr>
                  <w:r>
                    <w:rPr>
                      <w:szCs w:val="21"/>
                    </w:rPr>
                    <w:t>水温（℃）</w:t>
                  </w:r>
                </w:p>
              </w:tc>
              <w:tc>
                <w:tcPr>
                  <w:tcW w:w="915" w:type="dxa"/>
                  <w:tcBorders>
                    <w:tl2br w:val="nil"/>
                    <w:tr2bl w:val="nil"/>
                  </w:tcBorders>
                  <w:vAlign w:val="center"/>
                </w:tcPr>
                <w:p>
                  <w:pPr>
                    <w:jc w:val="center"/>
                    <w:rPr>
                      <w:szCs w:val="21"/>
                    </w:rPr>
                  </w:pPr>
                  <w:r>
                    <w:rPr>
                      <w:rFonts w:hint="eastAsia"/>
                      <w:szCs w:val="21"/>
                    </w:rPr>
                    <w:t>24.1</w:t>
                  </w:r>
                </w:p>
              </w:tc>
              <w:tc>
                <w:tcPr>
                  <w:tcW w:w="990" w:type="dxa"/>
                  <w:tcBorders>
                    <w:tl2br w:val="nil"/>
                    <w:tr2bl w:val="nil"/>
                  </w:tcBorders>
                  <w:vAlign w:val="center"/>
                </w:tcPr>
                <w:p>
                  <w:pPr>
                    <w:jc w:val="center"/>
                    <w:rPr>
                      <w:szCs w:val="21"/>
                    </w:rPr>
                  </w:pPr>
                  <w:r>
                    <w:rPr>
                      <w:rFonts w:hint="eastAsia"/>
                      <w:szCs w:val="21"/>
                    </w:rPr>
                    <w:t>24.4</w:t>
                  </w:r>
                </w:p>
              </w:tc>
              <w:tc>
                <w:tcPr>
                  <w:tcW w:w="946" w:type="dxa"/>
                  <w:tcBorders>
                    <w:tl2br w:val="nil"/>
                    <w:tr2bl w:val="nil"/>
                  </w:tcBorders>
                  <w:vAlign w:val="center"/>
                </w:tcPr>
                <w:p>
                  <w:pPr>
                    <w:jc w:val="center"/>
                    <w:rPr>
                      <w:szCs w:val="21"/>
                    </w:rPr>
                  </w:pPr>
                  <w:r>
                    <w:rPr>
                      <w:rFonts w:hint="eastAsia"/>
                      <w:szCs w:val="21"/>
                    </w:rPr>
                    <w:t>24.0</w:t>
                  </w:r>
                </w:p>
              </w:tc>
              <w:tc>
                <w:tcPr>
                  <w:tcW w:w="1038" w:type="dxa"/>
                  <w:tcBorders>
                    <w:tl2br w:val="nil"/>
                    <w:tr2bl w:val="nil"/>
                  </w:tcBorders>
                  <w:vAlign w:val="center"/>
                </w:tcPr>
                <w:p>
                  <w:pPr>
                    <w:jc w:val="center"/>
                    <w:rPr>
                      <w:szCs w:val="21"/>
                    </w:rPr>
                  </w:pPr>
                  <w:r>
                    <w:rPr>
                      <w:rFonts w:hint="eastAsia"/>
                      <w:szCs w:val="21"/>
                    </w:rPr>
                    <w:t>24.2</w:t>
                  </w:r>
                </w:p>
              </w:tc>
              <w:tc>
                <w:tcPr>
                  <w:tcW w:w="1039" w:type="dxa"/>
                  <w:tcBorders>
                    <w:tl2br w:val="nil"/>
                    <w:tr2bl w:val="nil"/>
                  </w:tcBorders>
                  <w:vAlign w:val="center"/>
                </w:tcPr>
                <w:p>
                  <w:pPr>
                    <w:jc w:val="center"/>
                    <w:rPr>
                      <w:szCs w:val="21"/>
                    </w:rPr>
                  </w:pPr>
                  <w:r>
                    <w:rPr>
                      <w:rFonts w:hint="eastAsia"/>
                      <w:szCs w:val="21"/>
                    </w:rPr>
                    <w:t>24.2</w:t>
                  </w:r>
                </w:p>
              </w:tc>
              <w:tc>
                <w:tcPr>
                  <w:tcW w:w="1039" w:type="dxa"/>
                  <w:tcBorders>
                    <w:tl2br w:val="nil"/>
                    <w:tr2bl w:val="nil"/>
                  </w:tcBorders>
                  <w:vAlign w:val="center"/>
                </w:tcPr>
                <w:p>
                  <w:pPr>
                    <w:jc w:val="center"/>
                    <w:rPr>
                      <w:szCs w:val="21"/>
                    </w:rPr>
                  </w:pPr>
                  <w:r>
                    <w:rPr>
                      <w:rFonts w:hint="eastAsia"/>
                      <w:szCs w:val="21"/>
                    </w:rPr>
                    <w:t>24.4</w:t>
                  </w:r>
                </w:p>
              </w:tc>
            </w:tr>
            <w:tr>
              <w:tblPrEx>
                <w:tblBorders>
                  <w:top w:val="single" w:color="auto" w:sz="12" w:space="0"/>
                  <w:left w:val="none" w:color="auto" w:sz="0" w:space="0"/>
                  <w:bottom w:val="single" w:color="auto" w:sz="12" w:space="0"/>
                  <w:right w:val="none" w:color="auto" w:sz="0" w:space="0"/>
                  <w:insideH w:val="single" w:color="auto" w:sz="2" w:space="0"/>
                  <w:insideV w:val="single" w:color="auto" w:sz="2" w:space="0"/>
                </w:tblBorders>
                <w:tblCellMar>
                  <w:top w:w="0" w:type="dxa"/>
                  <w:left w:w="108" w:type="dxa"/>
                  <w:bottom w:w="0" w:type="dxa"/>
                  <w:right w:w="108" w:type="dxa"/>
                </w:tblCellMar>
              </w:tblPrEx>
              <w:tc>
                <w:tcPr>
                  <w:tcW w:w="949" w:type="dxa"/>
                  <w:vMerge w:val="continue"/>
                  <w:tcBorders>
                    <w:tl2br w:val="nil"/>
                    <w:tr2bl w:val="nil"/>
                  </w:tcBorders>
                  <w:vAlign w:val="center"/>
                </w:tcPr>
                <w:p>
                  <w:pPr>
                    <w:jc w:val="center"/>
                    <w:rPr>
                      <w:szCs w:val="21"/>
                    </w:rPr>
                  </w:pPr>
                </w:p>
              </w:tc>
              <w:tc>
                <w:tcPr>
                  <w:tcW w:w="1391" w:type="dxa"/>
                  <w:tcBorders>
                    <w:tl2br w:val="nil"/>
                    <w:tr2bl w:val="nil"/>
                  </w:tcBorders>
                  <w:vAlign w:val="center"/>
                </w:tcPr>
                <w:p>
                  <w:pPr>
                    <w:jc w:val="center"/>
                    <w:rPr>
                      <w:szCs w:val="21"/>
                    </w:rPr>
                  </w:pPr>
                  <w:r>
                    <w:rPr>
                      <w:szCs w:val="21"/>
                    </w:rPr>
                    <w:t>pH值（无量纲）</w:t>
                  </w:r>
                </w:p>
              </w:tc>
              <w:tc>
                <w:tcPr>
                  <w:tcW w:w="915" w:type="dxa"/>
                  <w:tcBorders>
                    <w:tl2br w:val="nil"/>
                    <w:tr2bl w:val="nil"/>
                  </w:tcBorders>
                  <w:vAlign w:val="center"/>
                </w:tcPr>
                <w:p>
                  <w:pPr>
                    <w:jc w:val="center"/>
                    <w:rPr>
                      <w:szCs w:val="21"/>
                    </w:rPr>
                  </w:pPr>
                  <w:r>
                    <w:rPr>
                      <w:rFonts w:hint="eastAsia"/>
                      <w:szCs w:val="21"/>
                    </w:rPr>
                    <w:t>8.38</w:t>
                  </w:r>
                </w:p>
              </w:tc>
              <w:tc>
                <w:tcPr>
                  <w:tcW w:w="990" w:type="dxa"/>
                  <w:tcBorders>
                    <w:tl2br w:val="nil"/>
                    <w:tr2bl w:val="nil"/>
                  </w:tcBorders>
                  <w:vAlign w:val="center"/>
                </w:tcPr>
                <w:p>
                  <w:pPr>
                    <w:jc w:val="center"/>
                    <w:rPr>
                      <w:szCs w:val="21"/>
                    </w:rPr>
                  </w:pPr>
                  <w:r>
                    <w:rPr>
                      <w:rFonts w:hint="eastAsia"/>
                      <w:szCs w:val="21"/>
                    </w:rPr>
                    <w:t>8.47</w:t>
                  </w:r>
                </w:p>
              </w:tc>
              <w:tc>
                <w:tcPr>
                  <w:tcW w:w="946" w:type="dxa"/>
                  <w:tcBorders>
                    <w:tl2br w:val="nil"/>
                    <w:tr2bl w:val="nil"/>
                  </w:tcBorders>
                  <w:vAlign w:val="center"/>
                </w:tcPr>
                <w:p>
                  <w:pPr>
                    <w:jc w:val="center"/>
                    <w:rPr>
                      <w:szCs w:val="21"/>
                    </w:rPr>
                  </w:pPr>
                  <w:r>
                    <w:rPr>
                      <w:rFonts w:hint="eastAsia"/>
                      <w:szCs w:val="21"/>
                    </w:rPr>
                    <w:t>8.45</w:t>
                  </w:r>
                </w:p>
              </w:tc>
              <w:tc>
                <w:tcPr>
                  <w:tcW w:w="1038" w:type="dxa"/>
                  <w:tcBorders>
                    <w:tl2br w:val="nil"/>
                    <w:tr2bl w:val="nil"/>
                  </w:tcBorders>
                  <w:vAlign w:val="center"/>
                </w:tcPr>
                <w:p>
                  <w:pPr>
                    <w:jc w:val="center"/>
                    <w:rPr>
                      <w:szCs w:val="21"/>
                    </w:rPr>
                  </w:pPr>
                  <w:r>
                    <w:rPr>
                      <w:rFonts w:hint="eastAsia"/>
                      <w:szCs w:val="21"/>
                    </w:rPr>
                    <w:t>8.50</w:t>
                  </w:r>
                </w:p>
              </w:tc>
              <w:tc>
                <w:tcPr>
                  <w:tcW w:w="1039" w:type="dxa"/>
                  <w:tcBorders>
                    <w:tl2br w:val="nil"/>
                    <w:tr2bl w:val="nil"/>
                  </w:tcBorders>
                  <w:vAlign w:val="center"/>
                </w:tcPr>
                <w:p>
                  <w:pPr>
                    <w:jc w:val="center"/>
                    <w:rPr>
                      <w:szCs w:val="21"/>
                    </w:rPr>
                  </w:pPr>
                  <w:r>
                    <w:rPr>
                      <w:rFonts w:hint="eastAsia"/>
                      <w:szCs w:val="21"/>
                    </w:rPr>
                    <w:t>8.41</w:t>
                  </w:r>
                </w:p>
              </w:tc>
              <w:tc>
                <w:tcPr>
                  <w:tcW w:w="1039" w:type="dxa"/>
                  <w:tcBorders>
                    <w:tl2br w:val="nil"/>
                    <w:tr2bl w:val="nil"/>
                  </w:tcBorders>
                  <w:vAlign w:val="center"/>
                </w:tcPr>
                <w:p>
                  <w:pPr>
                    <w:jc w:val="center"/>
                    <w:rPr>
                      <w:szCs w:val="21"/>
                    </w:rPr>
                  </w:pPr>
                  <w:r>
                    <w:rPr>
                      <w:rFonts w:hint="eastAsia"/>
                      <w:szCs w:val="21"/>
                    </w:rPr>
                    <w:t>8.38</w:t>
                  </w:r>
                </w:p>
              </w:tc>
            </w:tr>
            <w:tr>
              <w:tblPrEx>
                <w:tblBorders>
                  <w:top w:val="single" w:color="auto" w:sz="12" w:space="0"/>
                  <w:left w:val="none" w:color="auto" w:sz="0" w:space="0"/>
                  <w:bottom w:val="single" w:color="auto" w:sz="12" w:space="0"/>
                  <w:right w:val="none" w:color="auto" w:sz="0" w:space="0"/>
                  <w:insideH w:val="single" w:color="auto" w:sz="2" w:space="0"/>
                  <w:insideV w:val="single" w:color="auto" w:sz="2" w:space="0"/>
                </w:tblBorders>
                <w:tblCellMar>
                  <w:top w:w="0" w:type="dxa"/>
                  <w:left w:w="108" w:type="dxa"/>
                  <w:bottom w:w="0" w:type="dxa"/>
                  <w:right w:w="108" w:type="dxa"/>
                </w:tblCellMar>
              </w:tblPrEx>
              <w:tc>
                <w:tcPr>
                  <w:tcW w:w="949" w:type="dxa"/>
                  <w:vMerge w:val="continue"/>
                  <w:tcBorders>
                    <w:tl2br w:val="nil"/>
                    <w:tr2bl w:val="nil"/>
                  </w:tcBorders>
                  <w:vAlign w:val="center"/>
                </w:tcPr>
                <w:p>
                  <w:pPr>
                    <w:jc w:val="center"/>
                    <w:rPr>
                      <w:szCs w:val="21"/>
                    </w:rPr>
                  </w:pPr>
                </w:p>
              </w:tc>
              <w:tc>
                <w:tcPr>
                  <w:tcW w:w="1391" w:type="dxa"/>
                  <w:tcBorders>
                    <w:tl2br w:val="nil"/>
                    <w:tr2bl w:val="nil"/>
                  </w:tcBorders>
                  <w:vAlign w:val="center"/>
                </w:tcPr>
                <w:p>
                  <w:pPr>
                    <w:jc w:val="center"/>
                    <w:rPr>
                      <w:szCs w:val="21"/>
                    </w:rPr>
                  </w:pPr>
                  <w:r>
                    <w:rPr>
                      <w:szCs w:val="21"/>
                    </w:rPr>
                    <w:t>化学需氧量</w:t>
                  </w:r>
                </w:p>
              </w:tc>
              <w:tc>
                <w:tcPr>
                  <w:tcW w:w="915" w:type="dxa"/>
                  <w:tcBorders>
                    <w:tl2br w:val="nil"/>
                    <w:tr2bl w:val="nil"/>
                  </w:tcBorders>
                  <w:vAlign w:val="center"/>
                </w:tcPr>
                <w:p>
                  <w:pPr>
                    <w:jc w:val="center"/>
                    <w:rPr>
                      <w:szCs w:val="21"/>
                    </w:rPr>
                  </w:pPr>
                  <w:r>
                    <w:rPr>
                      <w:rFonts w:hint="eastAsia"/>
                      <w:szCs w:val="21"/>
                    </w:rPr>
                    <w:t>14</w:t>
                  </w:r>
                </w:p>
              </w:tc>
              <w:tc>
                <w:tcPr>
                  <w:tcW w:w="990" w:type="dxa"/>
                  <w:tcBorders>
                    <w:tl2br w:val="nil"/>
                    <w:tr2bl w:val="nil"/>
                  </w:tcBorders>
                  <w:vAlign w:val="center"/>
                </w:tcPr>
                <w:p>
                  <w:pPr>
                    <w:jc w:val="center"/>
                    <w:rPr>
                      <w:szCs w:val="21"/>
                    </w:rPr>
                  </w:pPr>
                  <w:r>
                    <w:rPr>
                      <w:rFonts w:hint="eastAsia"/>
                      <w:szCs w:val="21"/>
                    </w:rPr>
                    <w:t>17</w:t>
                  </w:r>
                </w:p>
              </w:tc>
              <w:tc>
                <w:tcPr>
                  <w:tcW w:w="946" w:type="dxa"/>
                  <w:tcBorders>
                    <w:tl2br w:val="nil"/>
                    <w:tr2bl w:val="nil"/>
                  </w:tcBorders>
                  <w:vAlign w:val="center"/>
                </w:tcPr>
                <w:p>
                  <w:pPr>
                    <w:jc w:val="center"/>
                    <w:rPr>
                      <w:szCs w:val="21"/>
                    </w:rPr>
                  </w:pPr>
                  <w:r>
                    <w:rPr>
                      <w:rFonts w:hint="eastAsia"/>
                      <w:szCs w:val="21"/>
                    </w:rPr>
                    <w:t>16</w:t>
                  </w:r>
                </w:p>
              </w:tc>
              <w:tc>
                <w:tcPr>
                  <w:tcW w:w="1038" w:type="dxa"/>
                  <w:tcBorders>
                    <w:tl2br w:val="nil"/>
                    <w:tr2bl w:val="nil"/>
                  </w:tcBorders>
                  <w:vAlign w:val="center"/>
                </w:tcPr>
                <w:p>
                  <w:pPr>
                    <w:jc w:val="center"/>
                    <w:rPr>
                      <w:szCs w:val="21"/>
                    </w:rPr>
                  </w:pPr>
                  <w:r>
                    <w:rPr>
                      <w:rFonts w:hint="eastAsia"/>
                      <w:szCs w:val="21"/>
                    </w:rPr>
                    <w:t>15</w:t>
                  </w:r>
                </w:p>
              </w:tc>
              <w:tc>
                <w:tcPr>
                  <w:tcW w:w="1039" w:type="dxa"/>
                  <w:tcBorders>
                    <w:tl2br w:val="nil"/>
                    <w:tr2bl w:val="nil"/>
                  </w:tcBorders>
                  <w:vAlign w:val="center"/>
                </w:tcPr>
                <w:p>
                  <w:pPr>
                    <w:jc w:val="center"/>
                    <w:rPr>
                      <w:szCs w:val="21"/>
                    </w:rPr>
                  </w:pPr>
                  <w:r>
                    <w:rPr>
                      <w:rFonts w:hint="eastAsia"/>
                      <w:szCs w:val="21"/>
                    </w:rPr>
                    <w:t>18</w:t>
                  </w:r>
                </w:p>
              </w:tc>
              <w:tc>
                <w:tcPr>
                  <w:tcW w:w="1039" w:type="dxa"/>
                  <w:tcBorders>
                    <w:tl2br w:val="nil"/>
                    <w:tr2bl w:val="nil"/>
                  </w:tcBorders>
                  <w:vAlign w:val="center"/>
                </w:tcPr>
                <w:p>
                  <w:pPr>
                    <w:jc w:val="center"/>
                    <w:rPr>
                      <w:szCs w:val="21"/>
                    </w:rPr>
                  </w:pPr>
                  <w:r>
                    <w:rPr>
                      <w:rFonts w:hint="eastAsia"/>
                      <w:szCs w:val="21"/>
                    </w:rPr>
                    <w:t>19</w:t>
                  </w:r>
                </w:p>
              </w:tc>
            </w:tr>
            <w:tr>
              <w:tblPrEx>
                <w:tblBorders>
                  <w:top w:val="single" w:color="auto" w:sz="12" w:space="0"/>
                  <w:left w:val="none" w:color="auto" w:sz="0" w:space="0"/>
                  <w:bottom w:val="single" w:color="auto" w:sz="12" w:space="0"/>
                  <w:right w:val="none" w:color="auto" w:sz="0" w:space="0"/>
                  <w:insideH w:val="single" w:color="auto" w:sz="2" w:space="0"/>
                  <w:insideV w:val="single" w:color="auto" w:sz="2" w:space="0"/>
                </w:tblBorders>
                <w:tblCellMar>
                  <w:top w:w="0" w:type="dxa"/>
                  <w:left w:w="108" w:type="dxa"/>
                  <w:bottom w:w="0" w:type="dxa"/>
                  <w:right w:w="108" w:type="dxa"/>
                </w:tblCellMar>
              </w:tblPrEx>
              <w:tc>
                <w:tcPr>
                  <w:tcW w:w="949" w:type="dxa"/>
                  <w:vMerge w:val="continue"/>
                  <w:tcBorders>
                    <w:tl2br w:val="nil"/>
                    <w:tr2bl w:val="nil"/>
                  </w:tcBorders>
                  <w:vAlign w:val="center"/>
                </w:tcPr>
                <w:p>
                  <w:pPr>
                    <w:jc w:val="center"/>
                    <w:rPr>
                      <w:szCs w:val="21"/>
                    </w:rPr>
                  </w:pPr>
                </w:p>
              </w:tc>
              <w:tc>
                <w:tcPr>
                  <w:tcW w:w="1391" w:type="dxa"/>
                  <w:tcBorders>
                    <w:tl2br w:val="nil"/>
                    <w:tr2bl w:val="nil"/>
                  </w:tcBorders>
                  <w:vAlign w:val="center"/>
                </w:tcPr>
                <w:p>
                  <w:pPr>
                    <w:jc w:val="center"/>
                    <w:rPr>
                      <w:szCs w:val="21"/>
                    </w:rPr>
                  </w:pPr>
                  <w:r>
                    <w:rPr>
                      <w:szCs w:val="21"/>
                    </w:rPr>
                    <w:t>悬浮物</w:t>
                  </w:r>
                </w:p>
              </w:tc>
              <w:tc>
                <w:tcPr>
                  <w:tcW w:w="915" w:type="dxa"/>
                  <w:tcBorders>
                    <w:tl2br w:val="nil"/>
                    <w:tr2bl w:val="nil"/>
                  </w:tcBorders>
                  <w:vAlign w:val="center"/>
                </w:tcPr>
                <w:p>
                  <w:pPr>
                    <w:jc w:val="center"/>
                    <w:rPr>
                      <w:szCs w:val="21"/>
                    </w:rPr>
                  </w:pPr>
                  <w:r>
                    <w:rPr>
                      <w:rFonts w:hint="eastAsia"/>
                      <w:szCs w:val="21"/>
                    </w:rPr>
                    <w:t>7</w:t>
                  </w:r>
                </w:p>
              </w:tc>
              <w:tc>
                <w:tcPr>
                  <w:tcW w:w="990" w:type="dxa"/>
                  <w:tcBorders>
                    <w:tl2br w:val="nil"/>
                    <w:tr2bl w:val="nil"/>
                  </w:tcBorders>
                  <w:vAlign w:val="center"/>
                </w:tcPr>
                <w:p>
                  <w:pPr>
                    <w:jc w:val="center"/>
                    <w:rPr>
                      <w:szCs w:val="21"/>
                    </w:rPr>
                  </w:pPr>
                  <w:r>
                    <w:rPr>
                      <w:rFonts w:hint="eastAsia"/>
                      <w:szCs w:val="21"/>
                    </w:rPr>
                    <w:t>9</w:t>
                  </w:r>
                </w:p>
              </w:tc>
              <w:tc>
                <w:tcPr>
                  <w:tcW w:w="946" w:type="dxa"/>
                  <w:tcBorders>
                    <w:tl2br w:val="nil"/>
                    <w:tr2bl w:val="nil"/>
                  </w:tcBorders>
                  <w:vAlign w:val="center"/>
                </w:tcPr>
                <w:p>
                  <w:pPr>
                    <w:jc w:val="center"/>
                    <w:rPr>
                      <w:szCs w:val="21"/>
                    </w:rPr>
                  </w:pPr>
                  <w:r>
                    <w:rPr>
                      <w:rFonts w:hint="eastAsia"/>
                      <w:szCs w:val="21"/>
                    </w:rPr>
                    <w:t>9</w:t>
                  </w:r>
                </w:p>
              </w:tc>
              <w:tc>
                <w:tcPr>
                  <w:tcW w:w="1038" w:type="dxa"/>
                  <w:tcBorders>
                    <w:tl2br w:val="nil"/>
                    <w:tr2bl w:val="nil"/>
                  </w:tcBorders>
                  <w:vAlign w:val="center"/>
                </w:tcPr>
                <w:p>
                  <w:pPr>
                    <w:jc w:val="center"/>
                    <w:rPr>
                      <w:szCs w:val="21"/>
                    </w:rPr>
                  </w:pPr>
                  <w:r>
                    <w:rPr>
                      <w:rFonts w:hint="eastAsia"/>
                      <w:szCs w:val="21"/>
                    </w:rPr>
                    <w:t>8</w:t>
                  </w:r>
                </w:p>
              </w:tc>
              <w:tc>
                <w:tcPr>
                  <w:tcW w:w="1039" w:type="dxa"/>
                  <w:tcBorders>
                    <w:tl2br w:val="nil"/>
                    <w:tr2bl w:val="nil"/>
                  </w:tcBorders>
                  <w:vAlign w:val="center"/>
                </w:tcPr>
                <w:p>
                  <w:pPr>
                    <w:jc w:val="center"/>
                    <w:rPr>
                      <w:szCs w:val="21"/>
                    </w:rPr>
                  </w:pPr>
                  <w:r>
                    <w:rPr>
                      <w:rFonts w:hint="eastAsia"/>
                      <w:szCs w:val="21"/>
                    </w:rPr>
                    <w:t>11</w:t>
                  </w:r>
                </w:p>
              </w:tc>
              <w:tc>
                <w:tcPr>
                  <w:tcW w:w="1039" w:type="dxa"/>
                  <w:tcBorders>
                    <w:tl2br w:val="nil"/>
                    <w:tr2bl w:val="nil"/>
                  </w:tcBorders>
                  <w:vAlign w:val="center"/>
                </w:tcPr>
                <w:p>
                  <w:pPr>
                    <w:jc w:val="center"/>
                    <w:rPr>
                      <w:szCs w:val="21"/>
                    </w:rPr>
                  </w:pPr>
                  <w:r>
                    <w:rPr>
                      <w:rFonts w:hint="eastAsia"/>
                      <w:szCs w:val="21"/>
                    </w:rPr>
                    <w:t>10</w:t>
                  </w:r>
                </w:p>
              </w:tc>
            </w:tr>
            <w:tr>
              <w:tblPrEx>
                <w:tblBorders>
                  <w:top w:val="single" w:color="auto" w:sz="12" w:space="0"/>
                  <w:left w:val="none" w:color="auto" w:sz="0" w:space="0"/>
                  <w:bottom w:val="single" w:color="auto" w:sz="12" w:space="0"/>
                  <w:right w:val="none" w:color="auto" w:sz="0" w:space="0"/>
                  <w:insideH w:val="single" w:color="auto" w:sz="2" w:space="0"/>
                  <w:insideV w:val="single" w:color="auto" w:sz="2" w:space="0"/>
                </w:tblBorders>
                <w:tblCellMar>
                  <w:top w:w="0" w:type="dxa"/>
                  <w:left w:w="108" w:type="dxa"/>
                  <w:bottom w:w="0" w:type="dxa"/>
                  <w:right w:w="108" w:type="dxa"/>
                </w:tblCellMar>
              </w:tblPrEx>
              <w:tc>
                <w:tcPr>
                  <w:tcW w:w="949" w:type="dxa"/>
                  <w:vMerge w:val="continue"/>
                  <w:tcBorders>
                    <w:tl2br w:val="nil"/>
                    <w:tr2bl w:val="nil"/>
                  </w:tcBorders>
                  <w:vAlign w:val="center"/>
                </w:tcPr>
                <w:p>
                  <w:pPr>
                    <w:jc w:val="center"/>
                    <w:rPr>
                      <w:szCs w:val="21"/>
                    </w:rPr>
                  </w:pPr>
                </w:p>
              </w:tc>
              <w:tc>
                <w:tcPr>
                  <w:tcW w:w="1391" w:type="dxa"/>
                  <w:tcBorders>
                    <w:tl2br w:val="nil"/>
                    <w:tr2bl w:val="nil"/>
                  </w:tcBorders>
                  <w:vAlign w:val="center"/>
                </w:tcPr>
                <w:p>
                  <w:pPr>
                    <w:jc w:val="center"/>
                    <w:rPr>
                      <w:szCs w:val="21"/>
                    </w:rPr>
                  </w:pPr>
                  <w:r>
                    <w:rPr>
                      <w:szCs w:val="21"/>
                    </w:rPr>
                    <w:t>氨氮</w:t>
                  </w:r>
                </w:p>
              </w:tc>
              <w:tc>
                <w:tcPr>
                  <w:tcW w:w="915" w:type="dxa"/>
                  <w:tcBorders>
                    <w:tl2br w:val="nil"/>
                    <w:tr2bl w:val="nil"/>
                  </w:tcBorders>
                  <w:vAlign w:val="center"/>
                </w:tcPr>
                <w:p>
                  <w:pPr>
                    <w:jc w:val="center"/>
                    <w:rPr>
                      <w:szCs w:val="21"/>
                    </w:rPr>
                  </w:pPr>
                  <w:r>
                    <w:rPr>
                      <w:rFonts w:hint="eastAsia"/>
                      <w:szCs w:val="21"/>
                    </w:rPr>
                    <w:t>0.602</w:t>
                  </w:r>
                </w:p>
              </w:tc>
              <w:tc>
                <w:tcPr>
                  <w:tcW w:w="990" w:type="dxa"/>
                  <w:tcBorders>
                    <w:tl2br w:val="nil"/>
                    <w:tr2bl w:val="nil"/>
                  </w:tcBorders>
                  <w:vAlign w:val="center"/>
                </w:tcPr>
                <w:p>
                  <w:pPr>
                    <w:jc w:val="center"/>
                    <w:rPr>
                      <w:szCs w:val="21"/>
                    </w:rPr>
                  </w:pPr>
                  <w:r>
                    <w:rPr>
                      <w:rFonts w:hint="eastAsia"/>
                      <w:szCs w:val="21"/>
                    </w:rPr>
                    <w:t>0.597</w:t>
                  </w:r>
                </w:p>
              </w:tc>
              <w:tc>
                <w:tcPr>
                  <w:tcW w:w="946" w:type="dxa"/>
                  <w:tcBorders>
                    <w:tl2br w:val="nil"/>
                    <w:tr2bl w:val="nil"/>
                  </w:tcBorders>
                  <w:vAlign w:val="center"/>
                </w:tcPr>
                <w:p>
                  <w:pPr>
                    <w:jc w:val="center"/>
                    <w:rPr>
                      <w:szCs w:val="21"/>
                    </w:rPr>
                  </w:pPr>
                  <w:r>
                    <w:rPr>
                      <w:rFonts w:hint="eastAsia"/>
                      <w:szCs w:val="21"/>
                    </w:rPr>
                    <w:t>0.592</w:t>
                  </w:r>
                </w:p>
              </w:tc>
              <w:tc>
                <w:tcPr>
                  <w:tcW w:w="1038" w:type="dxa"/>
                  <w:tcBorders>
                    <w:tl2br w:val="nil"/>
                    <w:tr2bl w:val="nil"/>
                  </w:tcBorders>
                  <w:vAlign w:val="center"/>
                </w:tcPr>
                <w:p>
                  <w:pPr>
                    <w:jc w:val="center"/>
                    <w:rPr>
                      <w:szCs w:val="21"/>
                    </w:rPr>
                  </w:pPr>
                  <w:r>
                    <w:rPr>
                      <w:rFonts w:hint="eastAsia"/>
                      <w:szCs w:val="21"/>
                    </w:rPr>
                    <w:t>0.608</w:t>
                  </w:r>
                </w:p>
              </w:tc>
              <w:tc>
                <w:tcPr>
                  <w:tcW w:w="1039" w:type="dxa"/>
                  <w:tcBorders>
                    <w:tl2br w:val="nil"/>
                    <w:tr2bl w:val="nil"/>
                  </w:tcBorders>
                  <w:vAlign w:val="center"/>
                </w:tcPr>
                <w:p>
                  <w:pPr>
                    <w:jc w:val="center"/>
                    <w:rPr>
                      <w:szCs w:val="21"/>
                    </w:rPr>
                  </w:pPr>
                  <w:r>
                    <w:rPr>
                      <w:rFonts w:hint="eastAsia"/>
                      <w:szCs w:val="21"/>
                    </w:rPr>
                    <w:t>0.791</w:t>
                  </w:r>
                </w:p>
              </w:tc>
              <w:tc>
                <w:tcPr>
                  <w:tcW w:w="1039" w:type="dxa"/>
                  <w:tcBorders>
                    <w:tl2br w:val="nil"/>
                    <w:tr2bl w:val="nil"/>
                  </w:tcBorders>
                  <w:vAlign w:val="center"/>
                </w:tcPr>
                <w:p>
                  <w:pPr>
                    <w:jc w:val="center"/>
                    <w:rPr>
                      <w:szCs w:val="21"/>
                    </w:rPr>
                  </w:pPr>
                  <w:r>
                    <w:rPr>
                      <w:rFonts w:hint="eastAsia"/>
                      <w:szCs w:val="21"/>
                    </w:rPr>
                    <w:t>0.793</w:t>
                  </w:r>
                </w:p>
              </w:tc>
            </w:tr>
            <w:tr>
              <w:tblPrEx>
                <w:tblBorders>
                  <w:top w:val="single" w:color="auto" w:sz="12" w:space="0"/>
                  <w:left w:val="none" w:color="auto" w:sz="0" w:space="0"/>
                  <w:bottom w:val="single" w:color="auto" w:sz="12" w:space="0"/>
                  <w:right w:val="none" w:color="auto" w:sz="0" w:space="0"/>
                  <w:insideH w:val="single" w:color="auto" w:sz="2" w:space="0"/>
                  <w:insideV w:val="single" w:color="auto" w:sz="2" w:space="0"/>
                </w:tblBorders>
                <w:tblCellMar>
                  <w:top w:w="0" w:type="dxa"/>
                  <w:left w:w="108" w:type="dxa"/>
                  <w:bottom w:w="0" w:type="dxa"/>
                  <w:right w:w="108" w:type="dxa"/>
                </w:tblCellMar>
              </w:tblPrEx>
              <w:tc>
                <w:tcPr>
                  <w:tcW w:w="949" w:type="dxa"/>
                  <w:vMerge w:val="continue"/>
                  <w:tcBorders>
                    <w:tl2br w:val="nil"/>
                    <w:tr2bl w:val="nil"/>
                  </w:tcBorders>
                  <w:vAlign w:val="center"/>
                </w:tcPr>
                <w:p>
                  <w:pPr>
                    <w:jc w:val="center"/>
                    <w:rPr>
                      <w:szCs w:val="21"/>
                    </w:rPr>
                  </w:pPr>
                </w:p>
              </w:tc>
              <w:tc>
                <w:tcPr>
                  <w:tcW w:w="1391" w:type="dxa"/>
                  <w:tcBorders>
                    <w:tl2br w:val="nil"/>
                    <w:tr2bl w:val="nil"/>
                  </w:tcBorders>
                  <w:vAlign w:val="center"/>
                </w:tcPr>
                <w:p>
                  <w:pPr>
                    <w:jc w:val="center"/>
                    <w:rPr>
                      <w:szCs w:val="21"/>
                    </w:rPr>
                  </w:pPr>
                  <w:r>
                    <w:rPr>
                      <w:szCs w:val="21"/>
                    </w:rPr>
                    <w:t>总磷</w:t>
                  </w:r>
                </w:p>
              </w:tc>
              <w:tc>
                <w:tcPr>
                  <w:tcW w:w="915" w:type="dxa"/>
                  <w:tcBorders>
                    <w:tl2br w:val="nil"/>
                    <w:tr2bl w:val="nil"/>
                  </w:tcBorders>
                  <w:vAlign w:val="center"/>
                </w:tcPr>
                <w:p>
                  <w:pPr>
                    <w:jc w:val="center"/>
                    <w:rPr>
                      <w:szCs w:val="21"/>
                    </w:rPr>
                  </w:pPr>
                  <w:r>
                    <w:rPr>
                      <w:rFonts w:hint="eastAsia"/>
                      <w:szCs w:val="21"/>
                    </w:rPr>
                    <w:t>0.159</w:t>
                  </w:r>
                </w:p>
              </w:tc>
              <w:tc>
                <w:tcPr>
                  <w:tcW w:w="990" w:type="dxa"/>
                  <w:tcBorders>
                    <w:tl2br w:val="nil"/>
                    <w:tr2bl w:val="nil"/>
                  </w:tcBorders>
                  <w:vAlign w:val="center"/>
                </w:tcPr>
                <w:p>
                  <w:pPr>
                    <w:jc w:val="center"/>
                    <w:rPr>
                      <w:szCs w:val="21"/>
                    </w:rPr>
                  </w:pPr>
                  <w:r>
                    <w:rPr>
                      <w:rFonts w:hint="eastAsia"/>
                      <w:szCs w:val="21"/>
                    </w:rPr>
                    <w:t>0.174</w:t>
                  </w:r>
                </w:p>
              </w:tc>
              <w:tc>
                <w:tcPr>
                  <w:tcW w:w="946" w:type="dxa"/>
                  <w:tcBorders>
                    <w:tl2br w:val="nil"/>
                    <w:tr2bl w:val="nil"/>
                  </w:tcBorders>
                  <w:vAlign w:val="center"/>
                </w:tcPr>
                <w:p>
                  <w:pPr>
                    <w:jc w:val="center"/>
                    <w:rPr>
                      <w:szCs w:val="21"/>
                    </w:rPr>
                  </w:pPr>
                  <w:r>
                    <w:rPr>
                      <w:rFonts w:hint="eastAsia"/>
                      <w:szCs w:val="21"/>
                    </w:rPr>
                    <w:t>0.169</w:t>
                  </w:r>
                </w:p>
              </w:tc>
              <w:tc>
                <w:tcPr>
                  <w:tcW w:w="1038" w:type="dxa"/>
                  <w:tcBorders>
                    <w:tl2br w:val="nil"/>
                    <w:tr2bl w:val="nil"/>
                  </w:tcBorders>
                  <w:vAlign w:val="center"/>
                </w:tcPr>
                <w:p>
                  <w:pPr>
                    <w:jc w:val="center"/>
                    <w:rPr>
                      <w:szCs w:val="21"/>
                    </w:rPr>
                  </w:pPr>
                  <w:r>
                    <w:rPr>
                      <w:rFonts w:hint="eastAsia"/>
                      <w:szCs w:val="21"/>
                    </w:rPr>
                    <w:t>0.152</w:t>
                  </w:r>
                </w:p>
              </w:tc>
              <w:tc>
                <w:tcPr>
                  <w:tcW w:w="1039" w:type="dxa"/>
                  <w:tcBorders>
                    <w:tl2br w:val="nil"/>
                    <w:tr2bl w:val="nil"/>
                  </w:tcBorders>
                  <w:vAlign w:val="center"/>
                </w:tcPr>
                <w:p>
                  <w:pPr>
                    <w:jc w:val="center"/>
                    <w:rPr>
                      <w:szCs w:val="21"/>
                    </w:rPr>
                  </w:pPr>
                  <w:r>
                    <w:rPr>
                      <w:rFonts w:hint="eastAsia"/>
                      <w:szCs w:val="21"/>
                    </w:rPr>
                    <w:t>0.188</w:t>
                  </w:r>
                </w:p>
              </w:tc>
              <w:tc>
                <w:tcPr>
                  <w:tcW w:w="1039" w:type="dxa"/>
                  <w:tcBorders>
                    <w:tl2br w:val="nil"/>
                    <w:tr2bl w:val="nil"/>
                  </w:tcBorders>
                  <w:vAlign w:val="center"/>
                </w:tcPr>
                <w:p>
                  <w:pPr>
                    <w:jc w:val="center"/>
                    <w:rPr>
                      <w:szCs w:val="21"/>
                    </w:rPr>
                  </w:pPr>
                  <w:r>
                    <w:rPr>
                      <w:rFonts w:hint="eastAsia"/>
                      <w:szCs w:val="21"/>
                    </w:rPr>
                    <w:t>0.158</w:t>
                  </w:r>
                </w:p>
              </w:tc>
            </w:tr>
            <w:tr>
              <w:tblPrEx>
                <w:tblBorders>
                  <w:top w:val="single" w:color="auto" w:sz="12" w:space="0"/>
                  <w:left w:val="none" w:color="auto" w:sz="0" w:space="0"/>
                  <w:bottom w:val="single" w:color="auto" w:sz="12" w:space="0"/>
                  <w:right w:val="none" w:color="auto" w:sz="0" w:space="0"/>
                  <w:insideH w:val="single" w:color="auto" w:sz="2" w:space="0"/>
                  <w:insideV w:val="single" w:color="auto" w:sz="2" w:space="0"/>
                </w:tblBorders>
                <w:tblCellMar>
                  <w:top w:w="0" w:type="dxa"/>
                  <w:left w:w="108" w:type="dxa"/>
                  <w:bottom w:w="0" w:type="dxa"/>
                  <w:right w:w="108" w:type="dxa"/>
                </w:tblCellMar>
              </w:tblPrEx>
              <w:tc>
                <w:tcPr>
                  <w:tcW w:w="949" w:type="dxa"/>
                  <w:vMerge w:val="continue"/>
                  <w:tcBorders>
                    <w:tl2br w:val="nil"/>
                    <w:tr2bl w:val="nil"/>
                  </w:tcBorders>
                  <w:vAlign w:val="center"/>
                </w:tcPr>
                <w:p>
                  <w:pPr>
                    <w:jc w:val="center"/>
                    <w:rPr>
                      <w:szCs w:val="21"/>
                    </w:rPr>
                  </w:pPr>
                </w:p>
              </w:tc>
              <w:tc>
                <w:tcPr>
                  <w:tcW w:w="1391" w:type="dxa"/>
                  <w:tcBorders>
                    <w:tl2br w:val="nil"/>
                    <w:tr2bl w:val="nil"/>
                  </w:tcBorders>
                  <w:vAlign w:val="center"/>
                </w:tcPr>
                <w:p>
                  <w:pPr>
                    <w:jc w:val="center"/>
                    <w:rPr>
                      <w:szCs w:val="21"/>
                    </w:rPr>
                  </w:pPr>
                  <w:r>
                    <w:rPr>
                      <w:szCs w:val="21"/>
                    </w:rPr>
                    <w:t>动植物油</w:t>
                  </w:r>
                  <w:r>
                    <w:rPr>
                      <w:rFonts w:hint="eastAsia"/>
                      <w:szCs w:val="21"/>
                    </w:rPr>
                    <w:t>类</w:t>
                  </w:r>
                </w:p>
              </w:tc>
              <w:tc>
                <w:tcPr>
                  <w:tcW w:w="915" w:type="dxa"/>
                  <w:tcBorders>
                    <w:tl2br w:val="nil"/>
                    <w:tr2bl w:val="nil"/>
                  </w:tcBorders>
                  <w:vAlign w:val="center"/>
                </w:tcPr>
                <w:p>
                  <w:pPr>
                    <w:jc w:val="center"/>
                    <w:rPr>
                      <w:szCs w:val="21"/>
                    </w:rPr>
                  </w:pPr>
                  <w:r>
                    <w:rPr>
                      <w:rFonts w:hint="eastAsia"/>
                      <w:szCs w:val="21"/>
                    </w:rPr>
                    <w:t>0.03</w:t>
                  </w:r>
                </w:p>
              </w:tc>
              <w:tc>
                <w:tcPr>
                  <w:tcW w:w="990" w:type="dxa"/>
                  <w:tcBorders>
                    <w:tl2br w:val="nil"/>
                    <w:tr2bl w:val="nil"/>
                  </w:tcBorders>
                  <w:vAlign w:val="center"/>
                </w:tcPr>
                <w:p>
                  <w:pPr>
                    <w:jc w:val="center"/>
                    <w:rPr>
                      <w:szCs w:val="21"/>
                    </w:rPr>
                  </w:pPr>
                  <w:r>
                    <w:rPr>
                      <w:rFonts w:hint="eastAsia"/>
                      <w:szCs w:val="21"/>
                    </w:rPr>
                    <w:t>0.02</w:t>
                  </w:r>
                </w:p>
              </w:tc>
              <w:tc>
                <w:tcPr>
                  <w:tcW w:w="946" w:type="dxa"/>
                  <w:tcBorders>
                    <w:tl2br w:val="nil"/>
                    <w:tr2bl w:val="nil"/>
                  </w:tcBorders>
                  <w:vAlign w:val="center"/>
                </w:tcPr>
                <w:p>
                  <w:pPr>
                    <w:jc w:val="center"/>
                    <w:rPr>
                      <w:szCs w:val="21"/>
                    </w:rPr>
                  </w:pPr>
                  <w:r>
                    <w:rPr>
                      <w:rFonts w:hint="eastAsia"/>
                      <w:szCs w:val="21"/>
                    </w:rPr>
                    <w:t>0.02</w:t>
                  </w:r>
                </w:p>
              </w:tc>
              <w:tc>
                <w:tcPr>
                  <w:tcW w:w="1038" w:type="dxa"/>
                  <w:tcBorders>
                    <w:tl2br w:val="nil"/>
                    <w:tr2bl w:val="nil"/>
                  </w:tcBorders>
                  <w:vAlign w:val="center"/>
                </w:tcPr>
                <w:p>
                  <w:pPr>
                    <w:jc w:val="center"/>
                    <w:rPr>
                      <w:szCs w:val="21"/>
                    </w:rPr>
                  </w:pPr>
                  <w:r>
                    <w:rPr>
                      <w:rFonts w:hint="eastAsia"/>
                      <w:szCs w:val="21"/>
                    </w:rPr>
                    <w:t>0.03</w:t>
                  </w:r>
                </w:p>
              </w:tc>
              <w:tc>
                <w:tcPr>
                  <w:tcW w:w="1039" w:type="dxa"/>
                  <w:tcBorders>
                    <w:tl2br w:val="nil"/>
                    <w:tr2bl w:val="nil"/>
                  </w:tcBorders>
                  <w:vAlign w:val="center"/>
                </w:tcPr>
                <w:p>
                  <w:pPr>
                    <w:jc w:val="center"/>
                    <w:rPr>
                      <w:szCs w:val="21"/>
                    </w:rPr>
                  </w:pPr>
                  <w:r>
                    <w:rPr>
                      <w:rFonts w:hint="eastAsia"/>
                      <w:szCs w:val="21"/>
                    </w:rPr>
                    <w:t>0.02</w:t>
                  </w:r>
                </w:p>
              </w:tc>
              <w:tc>
                <w:tcPr>
                  <w:tcW w:w="1039" w:type="dxa"/>
                  <w:tcBorders>
                    <w:tl2br w:val="nil"/>
                    <w:tr2bl w:val="nil"/>
                  </w:tcBorders>
                  <w:vAlign w:val="center"/>
                </w:tcPr>
                <w:p>
                  <w:pPr>
                    <w:jc w:val="center"/>
                    <w:rPr>
                      <w:szCs w:val="21"/>
                    </w:rPr>
                  </w:pPr>
                  <w:r>
                    <w:rPr>
                      <w:rFonts w:hint="eastAsia"/>
                      <w:szCs w:val="21"/>
                    </w:rPr>
                    <w:t>0.03</w:t>
                  </w:r>
                </w:p>
              </w:tc>
            </w:tr>
            <w:tr>
              <w:tblPrEx>
                <w:tblBorders>
                  <w:top w:val="single" w:color="auto" w:sz="12" w:space="0"/>
                  <w:left w:val="none" w:color="auto" w:sz="0" w:space="0"/>
                  <w:bottom w:val="single" w:color="auto" w:sz="12" w:space="0"/>
                  <w:right w:val="none" w:color="auto" w:sz="0" w:space="0"/>
                  <w:insideH w:val="single" w:color="auto" w:sz="2" w:space="0"/>
                  <w:insideV w:val="single" w:color="auto" w:sz="2" w:space="0"/>
                </w:tblBorders>
                <w:tblCellMar>
                  <w:top w:w="0" w:type="dxa"/>
                  <w:left w:w="108" w:type="dxa"/>
                  <w:bottom w:w="0" w:type="dxa"/>
                  <w:right w:w="108" w:type="dxa"/>
                </w:tblCellMar>
              </w:tblPrEx>
              <w:tc>
                <w:tcPr>
                  <w:tcW w:w="949" w:type="dxa"/>
                  <w:vMerge w:val="restart"/>
                  <w:tcBorders>
                    <w:tl2br w:val="nil"/>
                    <w:tr2bl w:val="nil"/>
                  </w:tcBorders>
                  <w:vAlign w:val="center"/>
                </w:tcPr>
                <w:p>
                  <w:pPr>
                    <w:jc w:val="center"/>
                    <w:rPr>
                      <w:szCs w:val="21"/>
                    </w:rPr>
                  </w:pPr>
                  <w:r>
                    <w:rPr>
                      <w:szCs w:val="21"/>
                    </w:rPr>
                    <w:t>尧塘河W</w:t>
                  </w:r>
                  <w:r>
                    <w:rPr>
                      <w:rFonts w:hint="eastAsia"/>
                      <w:szCs w:val="21"/>
                    </w:rPr>
                    <w:t>2</w:t>
                  </w:r>
                  <w:r>
                    <w:rPr>
                      <w:szCs w:val="21"/>
                    </w:rPr>
                    <w:t>金坛</w:t>
                  </w:r>
                  <w:r>
                    <w:rPr>
                      <w:rFonts w:hint="eastAsia"/>
                      <w:szCs w:val="21"/>
                    </w:rPr>
                    <w:t>区</w:t>
                  </w:r>
                  <w:r>
                    <w:rPr>
                      <w:szCs w:val="21"/>
                    </w:rPr>
                    <w:t>第二污水处理厂排口</w:t>
                  </w:r>
                  <w:r>
                    <w:rPr>
                      <w:rFonts w:hint="eastAsia"/>
                      <w:szCs w:val="21"/>
                    </w:rPr>
                    <w:t>下</w:t>
                  </w:r>
                  <w:r>
                    <w:rPr>
                      <w:szCs w:val="21"/>
                    </w:rPr>
                    <w:t>游</w:t>
                  </w:r>
                  <w:r>
                    <w:rPr>
                      <w:rFonts w:hint="eastAsia"/>
                      <w:szCs w:val="21"/>
                    </w:rPr>
                    <w:t>1000</w:t>
                  </w:r>
                  <w:r>
                    <w:rPr>
                      <w:szCs w:val="21"/>
                    </w:rPr>
                    <w:t>m</w:t>
                  </w:r>
                </w:p>
              </w:tc>
              <w:tc>
                <w:tcPr>
                  <w:tcW w:w="1391" w:type="dxa"/>
                  <w:tcBorders>
                    <w:tl2br w:val="nil"/>
                    <w:tr2bl w:val="nil"/>
                  </w:tcBorders>
                  <w:vAlign w:val="center"/>
                </w:tcPr>
                <w:p>
                  <w:pPr>
                    <w:jc w:val="center"/>
                    <w:rPr>
                      <w:szCs w:val="21"/>
                    </w:rPr>
                  </w:pPr>
                  <w:r>
                    <w:rPr>
                      <w:szCs w:val="21"/>
                    </w:rPr>
                    <w:t>样品状态</w:t>
                  </w:r>
                </w:p>
              </w:tc>
              <w:tc>
                <w:tcPr>
                  <w:tcW w:w="915" w:type="dxa"/>
                  <w:tcBorders>
                    <w:tl2br w:val="nil"/>
                    <w:tr2bl w:val="nil"/>
                  </w:tcBorders>
                  <w:vAlign w:val="center"/>
                </w:tcPr>
                <w:p>
                  <w:pPr>
                    <w:jc w:val="center"/>
                    <w:rPr>
                      <w:szCs w:val="21"/>
                    </w:rPr>
                  </w:pPr>
                  <w:r>
                    <w:rPr>
                      <w:rFonts w:hint="eastAsia"/>
                      <w:szCs w:val="21"/>
                    </w:rPr>
                    <w:t>无色无嗅</w:t>
                  </w:r>
                </w:p>
              </w:tc>
              <w:tc>
                <w:tcPr>
                  <w:tcW w:w="990" w:type="dxa"/>
                  <w:tcBorders>
                    <w:tl2br w:val="nil"/>
                    <w:tr2bl w:val="nil"/>
                  </w:tcBorders>
                  <w:vAlign w:val="center"/>
                </w:tcPr>
                <w:p>
                  <w:pPr>
                    <w:jc w:val="center"/>
                    <w:rPr>
                      <w:szCs w:val="21"/>
                    </w:rPr>
                  </w:pPr>
                  <w:r>
                    <w:rPr>
                      <w:rFonts w:hint="eastAsia"/>
                      <w:szCs w:val="21"/>
                    </w:rPr>
                    <w:t>无色无嗅</w:t>
                  </w:r>
                </w:p>
              </w:tc>
              <w:tc>
                <w:tcPr>
                  <w:tcW w:w="946" w:type="dxa"/>
                  <w:tcBorders>
                    <w:tl2br w:val="nil"/>
                    <w:tr2bl w:val="nil"/>
                  </w:tcBorders>
                  <w:vAlign w:val="center"/>
                </w:tcPr>
                <w:p>
                  <w:pPr>
                    <w:jc w:val="center"/>
                    <w:rPr>
                      <w:szCs w:val="21"/>
                    </w:rPr>
                  </w:pPr>
                  <w:r>
                    <w:rPr>
                      <w:rFonts w:hint="eastAsia"/>
                      <w:szCs w:val="21"/>
                    </w:rPr>
                    <w:t>无色无嗅</w:t>
                  </w:r>
                </w:p>
              </w:tc>
              <w:tc>
                <w:tcPr>
                  <w:tcW w:w="1038" w:type="dxa"/>
                  <w:tcBorders>
                    <w:tl2br w:val="nil"/>
                    <w:tr2bl w:val="nil"/>
                  </w:tcBorders>
                  <w:vAlign w:val="center"/>
                </w:tcPr>
                <w:p>
                  <w:pPr>
                    <w:jc w:val="center"/>
                    <w:rPr>
                      <w:szCs w:val="21"/>
                    </w:rPr>
                  </w:pPr>
                  <w:r>
                    <w:rPr>
                      <w:rFonts w:hint="eastAsia"/>
                      <w:szCs w:val="21"/>
                    </w:rPr>
                    <w:t>无色无嗅</w:t>
                  </w:r>
                </w:p>
              </w:tc>
              <w:tc>
                <w:tcPr>
                  <w:tcW w:w="1039" w:type="dxa"/>
                  <w:tcBorders>
                    <w:tl2br w:val="nil"/>
                    <w:tr2bl w:val="nil"/>
                  </w:tcBorders>
                  <w:vAlign w:val="center"/>
                </w:tcPr>
                <w:p>
                  <w:pPr>
                    <w:jc w:val="center"/>
                    <w:rPr>
                      <w:szCs w:val="21"/>
                    </w:rPr>
                  </w:pPr>
                  <w:r>
                    <w:rPr>
                      <w:rFonts w:hint="eastAsia"/>
                      <w:szCs w:val="21"/>
                    </w:rPr>
                    <w:t>无色无嗅</w:t>
                  </w:r>
                </w:p>
              </w:tc>
              <w:tc>
                <w:tcPr>
                  <w:tcW w:w="1039" w:type="dxa"/>
                  <w:tcBorders>
                    <w:tl2br w:val="nil"/>
                    <w:tr2bl w:val="nil"/>
                  </w:tcBorders>
                  <w:vAlign w:val="center"/>
                </w:tcPr>
                <w:p>
                  <w:pPr>
                    <w:jc w:val="center"/>
                    <w:rPr>
                      <w:szCs w:val="21"/>
                    </w:rPr>
                  </w:pPr>
                  <w:r>
                    <w:rPr>
                      <w:rFonts w:hint="eastAsia"/>
                      <w:szCs w:val="21"/>
                    </w:rPr>
                    <w:t>无色无嗅</w:t>
                  </w:r>
                </w:p>
              </w:tc>
            </w:tr>
            <w:tr>
              <w:tblPrEx>
                <w:tblBorders>
                  <w:top w:val="single" w:color="auto" w:sz="12" w:space="0"/>
                  <w:left w:val="none" w:color="auto" w:sz="0" w:space="0"/>
                  <w:bottom w:val="single" w:color="auto" w:sz="12" w:space="0"/>
                  <w:right w:val="none" w:color="auto" w:sz="0" w:space="0"/>
                  <w:insideH w:val="single" w:color="auto" w:sz="2" w:space="0"/>
                  <w:insideV w:val="single" w:color="auto" w:sz="2" w:space="0"/>
                </w:tblBorders>
                <w:tblCellMar>
                  <w:top w:w="0" w:type="dxa"/>
                  <w:left w:w="108" w:type="dxa"/>
                  <w:bottom w:w="0" w:type="dxa"/>
                  <w:right w:w="108" w:type="dxa"/>
                </w:tblCellMar>
              </w:tblPrEx>
              <w:tc>
                <w:tcPr>
                  <w:tcW w:w="949" w:type="dxa"/>
                  <w:vMerge w:val="continue"/>
                  <w:tcBorders>
                    <w:tl2br w:val="nil"/>
                    <w:tr2bl w:val="nil"/>
                  </w:tcBorders>
                  <w:vAlign w:val="center"/>
                </w:tcPr>
                <w:p>
                  <w:pPr>
                    <w:jc w:val="center"/>
                    <w:rPr>
                      <w:szCs w:val="21"/>
                    </w:rPr>
                  </w:pPr>
                </w:p>
              </w:tc>
              <w:tc>
                <w:tcPr>
                  <w:tcW w:w="1391" w:type="dxa"/>
                  <w:tcBorders>
                    <w:tl2br w:val="nil"/>
                    <w:tr2bl w:val="nil"/>
                  </w:tcBorders>
                  <w:vAlign w:val="center"/>
                </w:tcPr>
                <w:p>
                  <w:pPr>
                    <w:jc w:val="center"/>
                    <w:rPr>
                      <w:szCs w:val="21"/>
                    </w:rPr>
                  </w:pPr>
                  <w:r>
                    <w:rPr>
                      <w:szCs w:val="21"/>
                    </w:rPr>
                    <w:t>水温（℃）</w:t>
                  </w:r>
                </w:p>
              </w:tc>
              <w:tc>
                <w:tcPr>
                  <w:tcW w:w="915" w:type="dxa"/>
                  <w:tcBorders>
                    <w:tl2br w:val="nil"/>
                    <w:tr2bl w:val="nil"/>
                  </w:tcBorders>
                  <w:vAlign w:val="center"/>
                </w:tcPr>
                <w:p>
                  <w:pPr>
                    <w:jc w:val="center"/>
                    <w:rPr>
                      <w:szCs w:val="21"/>
                    </w:rPr>
                  </w:pPr>
                  <w:r>
                    <w:rPr>
                      <w:rFonts w:hint="eastAsia"/>
                      <w:szCs w:val="21"/>
                    </w:rPr>
                    <w:t>24.0</w:t>
                  </w:r>
                </w:p>
              </w:tc>
              <w:tc>
                <w:tcPr>
                  <w:tcW w:w="990" w:type="dxa"/>
                  <w:tcBorders>
                    <w:tl2br w:val="nil"/>
                    <w:tr2bl w:val="nil"/>
                  </w:tcBorders>
                  <w:vAlign w:val="center"/>
                </w:tcPr>
                <w:p>
                  <w:pPr>
                    <w:jc w:val="center"/>
                    <w:rPr>
                      <w:szCs w:val="21"/>
                    </w:rPr>
                  </w:pPr>
                  <w:r>
                    <w:rPr>
                      <w:rFonts w:hint="eastAsia"/>
                      <w:szCs w:val="21"/>
                    </w:rPr>
                    <w:t>24.2</w:t>
                  </w:r>
                </w:p>
              </w:tc>
              <w:tc>
                <w:tcPr>
                  <w:tcW w:w="946" w:type="dxa"/>
                  <w:tcBorders>
                    <w:tl2br w:val="nil"/>
                    <w:tr2bl w:val="nil"/>
                  </w:tcBorders>
                  <w:vAlign w:val="center"/>
                </w:tcPr>
                <w:p>
                  <w:pPr>
                    <w:jc w:val="center"/>
                    <w:rPr>
                      <w:szCs w:val="21"/>
                    </w:rPr>
                  </w:pPr>
                  <w:r>
                    <w:rPr>
                      <w:rFonts w:hint="eastAsia"/>
                      <w:szCs w:val="21"/>
                    </w:rPr>
                    <w:t>23.9</w:t>
                  </w:r>
                </w:p>
              </w:tc>
              <w:tc>
                <w:tcPr>
                  <w:tcW w:w="1038" w:type="dxa"/>
                  <w:tcBorders>
                    <w:tl2br w:val="nil"/>
                    <w:tr2bl w:val="nil"/>
                  </w:tcBorders>
                  <w:vAlign w:val="center"/>
                </w:tcPr>
                <w:p>
                  <w:pPr>
                    <w:jc w:val="center"/>
                    <w:rPr>
                      <w:szCs w:val="21"/>
                    </w:rPr>
                  </w:pPr>
                  <w:r>
                    <w:rPr>
                      <w:rFonts w:hint="eastAsia"/>
                      <w:szCs w:val="21"/>
                    </w:rPr>
                    <w:t>24.2</w:t>
                  </w:r>
                </w:p>
              </w:tc>
              <w:tc>
                <w:tcPr>
                  <w:tcW w:w="1039" w:type="dxa"/>
                  <w:tcBorders>
                    <w:tl2br w:val="nil"/>
                    <w:tr2bl w:val="nil"/>
                  </w:tcBorders>
                  <w:vAlign w:val="center"/>
                </w:tcPr>
                <w:p>
                  <w:pPr>
                    <w:jc w:val="center"/>
                    <w:rPr>
                      <w:szCs w:val="21"/>
                    </w:rPr>
                  </w:pPr>
                  <w:r>
                    <w:rPr>
                      <w:rFonts w:hint="eastAsia"/>
                      <w:szCs w:val="21"/>
                    </w:rPr>
                    <w:t>24.1</w:t>
                  </w:r>
                </w:p>
              </w:tc>
              <w:tc>
                <w:tcPr>
                  <w:tcW w:w="1039" w:type="dxa"/>
                  <w:tcBorders>
                    <w:tl2br w:val="nil"/>
                    <w:tr2bl w:val="nil"/>
                  </w:tcBorders>
                  <w:vAlign w:val="center"/>
                </w:tcPr>
                <w:p>
                  <w:pPr>
                    <w:jc w:val="center"/>
                    <w:rPr>
                      <w:szCs w:val="21"/>
                    </w:rPr>
                  </w:pPr>
                  <w:r>
                    <w:rPr>
                      <w:rFonts w:hint="eastAsia"/>
                      <w:szCs w:val="21"/>
                    </w:rPr>
                    <w:t>24.3</w:t>
                  </w:r>
                </w:p>
              </w:tc>
            </w:tr>
            <w:tr>
              <w:tblPrEx>
                <w:tblBorders>
                  <w:top w:val="single" w:color="auto" w:sz="12" w:space="0"/>
                  <w:left w:val="none" w:color="auto" w:sz="0" w:space="0"/>
                  <w:bottom w:val="single" w:color="auto" w:sz="12" w:space="0"/>
                  <w:right w:val="none" w:color="auto" w:sz="0" w:space="0"/>
                  <w:insideH w:val="single" w:color="auto" w:sz="2" w:space="0"/>
                  <w:insideV w:val="single" w:color="auto" w:sz="2" w:space="0"/>
                </w:tblBorders>
                <w:tblCellMar>
                  <w:top w:w="0" w:type="dxa"/>
                  <w:left w:w="108" w:type="dxa"/>
                  <w:bottom w:w="0" w:type="dxa"/>
                  <w:right w:w="108" w:type="dxa"/>
                </w:tblCellMar>
              </w:tblPrEx>
              <w:tc>
                <w:tcPr>
                  <w:tcW w:w="949" w:type="dxa"/>
                  <w:vMerge w:val="continue"/>
                  <w:tcBorders>
                    <w:tl2br w:val="nil"/>
                    <w:tr2bl w:val="nil"/>
                  </w:tcBorders>
                  <w:vAlign w:val="center"/>
                </w:tcPr>
                <w:p>
                  <w:pPr>
                    <w:jc w:val="center"/>
                    <w:rPr>
                      <w:szCs w:val="21"/>
                    </w:rPr>
                  </w:pPr>
                </w:p>
              </w:tc>
              <w:tc>
                <w:tcPr>
                  <w:tcW w:w="1391" w:type="dxa"/>
                  <w:tcBorders>
                    <w:tl2br w:val="nil"/>
                    <w:tr2bl w:val="nil"/>
                  </w:tcBorders>
                  <w:vAlign w:val="center"/>
                </w:tcPr>
                <w:p>
                  <w:pPr>
                    <w:jc w:val="center"/>
                    <w:rPr>
                      <w:szCs w:val="21"/>
                    </w:rPr>
                  </w:pPr>
                  <w:r>
                    <w:rPr>
                      <w:szCs w:val="21"/>
                    </w:rPr>
                    <w:t>pH值（无量纲）</w:t>
                  </w:r>
                </w:p>
              </w:tc>
              <w:tc>
                <w:tcPr>
                  <w:tcW w:w="915" w:type="dxa"/>
                  <w:tcBorders>
                    <w:tl2br w:val="nil"/>
                    <w:tr2bl w:val="nil"/>
                  </w:tcBorders>
                  <w:vAlign w:val="center"/>
                </w:tcPr>
                <w:p>
                  <w:pPr>
                    <w:jc w:val="center"/>
                    <w:rPr>
                      <w:szCs w:val="21"/>
                    </w:rPr>
                  </w:pPr>
                  <w:r>
                    <w:rPr>
                      <w:rFonts w:hint="eastAsia"/>
                      <w:szCs w:val="21"/>
                    </w:rPr>
                    <w:t>8.41</w:t>
                  </w:r>
                </w:p>
              </w:tc>
              <w:tc>
                <w:tcPr>
                  <w:tcW w:w="990" w:type="dxa"/>
                  <w:tcBorders>
                    <w:tl2br w:val="nil"/>
                    <w:tr2bl w:val="nil"/>
                  </w:tcBorders>
                  <w:vAlign w:val="center"/>
                </w:tcPr>
                <w:p>
                  <w:pPr>
                    <w:jc w:val="center"/>
                    <w:rPr>
                      <w:szCs w:val="21"/>
                    </w:rPr>
                  </w:pPr>
                  <w:r>
                    <w:rPr>
                      <w:rFonts w:hint="eastAsia"/>
                      <w:szCs w:val="21"/>
                    </w:rPr>
                    <w:t>8.41</w:t>
                  </w:r>
                </w:p>
              </w:tc>
              <w:tc>
                <w:tcPr>
                  <w:tcW w:w="946" w:type="dxa"/>
                  <w:tcBorders>
                    <w:tl2br w:val="nil"/>
                    <w:tr2bl w:val="nil"/>
                  </w:tcBorders>
                  <w:vAlign w:val="center"/>
                </w:tcPr>
                <w:p>
                  <w:pPr>
                    <w:jc w:val="center"/>
                    <w:rPr>
                      <w:szCs w:val="21"/>
                    </w:rPr>
                  </w:pPr>
                  <w:r>
                    <w:rPr>
                      <w:rFonts w:hint="eastAsia"/>
                      <w:szCs w:val="21"/>
                    </w:rPr>
                    <w:t>8.49</w:t>
                  </w:r>
                </w:p>
              </w:tc>
              <w:tc>
                <w:tcPr>
                  <w:tcW w:w="1038" w:type="dxa"/>
                  <w:tcBorders>
                    <w:tl2br w:val="nil"/>
                    <w:tr2bl w:val="nil"/>
                  </w:tcBorders>
                  <w:vAlign w:val="center"/>
                </w:tcPr>
                <w:p>
                  <w:pPr>
                    <w:jc w:val="center"/>
                    <w:rPr>
                      <w:szCs w:val="21"/>
                    </w:rPr>
                  </w:pPr>
                  <w:r>
                    <w:rPr>
                      <w:rFonts w:hint="eastAsia"/>
                      <w:szCs w:val="21"/>
                    </w:rPr>
                    <w:t>8.57</w:t>
                  </w:r>
                </w:p>
              </w:tc>
              <w:tc>
                <w:tcPr>
                  <w:tcW w:w="1039" w:type="dxa"/>
                  <w:tcBorders>
                    <w:tl2br w:val="nil"/>
                    <w:tr2bl w:val="nil"/>
                  </w:tcBorders>
                  <w:vAlign w:val="center"/>
                </w:tcPr>
                <w:p>
                  <w:pPr>
                    <w:jc w:val="center"/>
                    <w:rPr>
                      <w:szCs w:val="21"/>
                    </w:rPr>
                  </w:pPr>
                  <w:r>
                    <w:rPr>
                      <w:rFonts w:hint="eastAsia"/>
                      <w:szCs w:val="21"/>
                    </w:rPr>
                    <w:t>8.42</w:t>
                  </w:r>
                </w:p>
              </w:tc>
              <w:tc>
                <w:tcPr>
                  <w:tcW w:w="1039" w:type="dxa"/>
                  <w:tcBorders>
                    <w:tl2br w:val="nil"/>
                    <w:tr2bl w:val="nil"/>
                  </w:tcBorders>
                  <w:vAlign w:val="center"/>
                </w:tcPr>
                <w:p>
                  <w:pPr>
                    <w:jc w:val="center"/>
                    <w:rPr>
                      <w:szCs w:val="21"/>
                    </w:rPr>
                  </w:pPr>
                  <w:r>
                    <w:rPr>
                      <w:rFonts w:hint="eastAsia"/>
                      <w:szCs w:val="21"/>
                    </w:rPr>
                    <w:t>8.41</w:t>
                  </w:r>
                </w:p>
              </w:tc>
            </w:tr>
            <w:tr>
              <w:tblPrEx>
                <w:tblBorders>
                  <w:top w:val="single" w:color="auto" w:sz="12" w:space="0"/>
                  <w:left w:val="none" w:color="auto" w:sz="0" w:space="0"/>
                  <w:bottom w:val="single" w:color="auto" w:sz="12" w:space="0"/>
                  <w:right w:val="none" w:color="auto" w:sz="0" w:space="0"/>
                  <w:insideH w:val="single" w:color="auto" w:sz="2" w:space="0"/>
                  <w:insideV w:val="single" w:color="auto" w:sz="2" w:space="0"/>
                </w:tblBorders>
                <w:tblCellMar>
                  <w:top w:w="0" w:type="dxa"/>
                  <w:left w:w="108" w:type="dxa"/>
                  <w:bottom w:w="0" w:type="dxa"/>
                  <w:right w:w="108" w:type="dxa"/>
                </w:tblCellMar>
              </w:tblPrEx>
              <w:tc>
                <w:tcPr>
                  <w:tcW w:w="949" w:type="dxa"/>
                  <w:vMerge w:val="continue"/>
                  <w:tcBorders>
                    <w:tl2br w:val="nil"/>
                    <w:tr2bl w:val="nil"/>
                  </w:tcBorders>
                  <w:vAlign w:val="center"/>
                </w:tcPr>
                <w:p>
                  <w:pPr>
                    <w:jc w:val="center"/>
                    <w:rPr>
                      <w:szCs w:val="21"/>
                    </w:rPr>
                  </w:pPr>
                </w:p>
              </w:tc>
              <w:tc>
                <w:tcPr>
                  <w:tcW w:w="1391" w:type="dxa"/>
                  <w:tcBorders>
                    <w:tl2br w:val="nil"/>
                    <w:tr2bl w:val="nil"/>
                  </w:tcBorders>
                  <w:vAlign w:val="center"/>
                </w:tcPr>
                <w:p>
                  <w:pPr>
                    <w:jc w:val="center"/>
                    <w:rPr>
                      <w:szCs w:val="21"/>
                    </w:rPr>
                  </w:pPr>
                  <w:r>
                    <w:rPr>
                      <w:szCs w:val="21"/>
                    </w:rPr>
                    <w:t>化学需氧量</w:t>
                  </w:r>
                </w:p>
              </w:tc>
              <w:tc>
                <w:tcPr>
                  <w:tcW w:w="915" w:type="dxa"/>
                  <w:tcBorders>
                    <w:tl2br w:val="nil"/>
                    <w:tr2bl w:val="nil"/>
                  </w:tcBorders>
                  <w:vAlign w:val="center"/>
                </w:tcPr>
                <w:p>
                  <w:pPr>
                    <w:jc w:val="center"/>
                    <w:rPr>
                      <w:szCs w:val="21"/>
                    </w:rPr>
                  </w:pPr>
                  <w:r>
                    <w:rPr>
                      <w:rFonts w:hint="eastAsia"/>
                      <w:szCs w:val="21"/>
                    </w:rPr>
                    <w:t>16</w:t>
                  </w:r>
                </w:p>
              </w:tc>
              <w:tc>
                <w:tcPr>
                  <w:tcW w:w="990" w:type="dxa"/>
                  <w:tcBorders>
                    <w:tl2br w:val="nil"/>
                    <w:tr2bl w:val="nil"/>
                  </w:tcBorders>
                  <w:vAlign w:val="center"/>
                </w:tcPr>
                <w:p>
                  <w:pPr>
                    <w:jc w:val="center"/>
                    <w:rPr>
                      <w:szCs w:val="21"/>
                    </w:rPr>
                  </w:pPr>
                  <w:r>
                    <w:rPr>
                      <w:rFonts w:hint="eastAsia"/>
                      <w:szCs w:val="21"/>
                    </w:rPr>
                    <w:t>15</w:t>
                  </w:r>
                </w:p>
              </w:tc>
              <w:tc>
                <w:tcPr>
                  <w:tcW w:w="946" w:type="dxa"/>
                  <w:tcBorders>
                    <w:tl2br w:val="nil"/>
                    <w:tr2bl w:val="nil"/>
                  </w:tcBorders>
                  <w:vAlign w:val="center"/>
                </w:tcPr>
                <w:p>
                  <w:pPr>
                    <w:jc w:val="center"/>
                    <w:rPr>
                      <w:szCs w:val="21"/>
                    </w:rPr>
                  </w:pPr>
                  <w:r>
                    <w:rPr>
                      <w:rFonts w:hint="eastAsia"/>
                      <w:szCs w:val="21"/>
                    </w:rPr>
                    <w:t>16</w:t>
                  </w:r>
                </w:p>
              </w:tc>
              <w:tc>
                <w:tcPr>
                  <w:tcW w:w="1038" w:type="dxa"/>
                  <w:tcBorders>
                    <w:tl2br w:val="nil"/>
                    <w:tr2bl w:val="nil"/>
                  </w:tcBorders>
                  <w:vAlign w:val="center"/>
                </w:tcPr>
                <w:p>
                  <w:pPr>
                    <w:jc w:val="center"/>
                    <w:rPr>
                      <w:szCs w:val="21"/>
                    </w:rPr>
                  </w:pPr>
                  <w:r>
                    <w:rPr>
                      <w:rFonts w:hint="eastAsia"/>
                      <w:szCs w:val="21"/>
                    </w:rPr>
                    <w:t>15</w:t>
                  </w:r>
                </w:p>
              </w:tc>
              <w:tc>
                <w:tcPr>
                  <w:tcW w:w="1039" w:type="dxa"/>
                  <w:tcBorders>
                    <w:tl2br w:val="nil"/>
                    <w:tr2bl w:val="nil"/>
                  </w:tcBorders>
                  <w:vAlign w:val="center"/>
                </w:tcPr>
                <w:p>
                  <w:pPr>
                    <w:jc w:val="center"/>
                    <w:rPr>
                      <w:szCs w:val="21"/>
                    </w:rPr>
                  </w:pPr>
                  <w:r>
                    <w:rPr>
                      <w:rFonts w:hint="eastAsia"/>
                      <w:szCs w:val="21"/>
                    </w:rPr>
                    <w:t>16</w:t>
                  </w:r>
                </w:p>
              </w:tc>
              <w:tc>
                <w:tcPr>
                  <w:tcW w:w="1039" w:type="dxa"/>
                  <w:tcBorders>
                    <w:tl2br w:val="nil"/>
                    <w:tr2bl w:val="nil"/>
                  </w:tcBorders>
                  <w:vAlign w:val="center"/>
                </w:tcPr>
                <w:p>
                  <w:pPr>
                    <w:jc w:val="center"/>
                    <w:rPr>
                      <w:szCs w:val="21"/>
                    </w:rPr>
                  </w:pPr>
                  <w:r>
                    <w:rPr>
                      <w:rFonts w:hint="eastAsia"/>
                      <w:szCs w:val="21"/>
                    </w:rPr>
                    <w:t>19</w:t>
                  </w:r>
                </w:p>
              </w:tc>
            </w:tr>
            <w:tr>
              <w:tblPrEx>
                <w:tblBorders>
                  <w:top w:val="single" w:color="auto" w:sz="12" w:space="0"/>
                  <w:left w:val="none" w:color="auto" w:sz="0" w:space="0"/>
                  <w:bottom w:val="single" w:color="auto" w:sz="12" w:space="0"/>
                  <w:right w:val="none" w:color="auto" w:sz="0" w:space="0"/>
                  <w:insideH w:val="single" w:color="auto" w:sz="2" w:space="0"/>
                  <w:insideV w:val="single" w:color="auto" w:sz="2" w:space="0"/>
                </w:tblBorders>
                <w:tblCellMar>
                  <w:top w:w="0" w:type="dxa"/>
                  <w:left w:w="108" w:type="dxa"/>
                  <w:bottom w:w="0" w:type="dxa"/>
                  <w:right w:w="108" w:type="dxa"/>
                </w:tblCellMar>
              </w:tblPrEx>
              <w:tc>
                <w:tcPr>
                  <w:tcW w:w="949" w:type="dxa"/>
                  <w:vMerge w:val="continue"/>
                  <w:tcBorders>
                    <w:tl2br w:val="nil"/>
                    <w:tr2bl w:val="nil"/>
                  </w:tcBorders>
                  <w:vAlign w:val="center"/>
                </w:tcPr>
                <w:p>
                  <w:pPr>
                    <w:jc w:val="center"/>
                    <w:rPr>
                      <w:szCs w:val="21"/>
                    </w:rPr>
                  </w:pPr>
                </w:p>
              </w:tc>
              <w:tc>
                <w:tcPr>
                  <w:tcW w:w="1391" w:type="dxa"/>
                  <w:tcBorders>
                    <w:tl2br w:val="nil"/>
                    <w:tr2bl w:val="nil"/>
                  </w:tcBorders>
                  <w:vAlign w:val="center"/>
                </w:tcPr>
                <w:p>
                  <w:pPr>
                    <w:jc w:val="center"/>
                    <w:rPr>
                      <w:szCs w:val="21"/>
                    </w:rPr>
                  </w:pPr>
                  <w:r>
                    <w:rPr>
                      <w:szCs w:val="21"/>
                    </w:rPr>
                    <w:t>悬浮物</w:t>
                  </w:r>
                </w:p>
              </w:tc>
              <w:tc>
                <w:tcPr>
                  <w:tcW w:w="915" w:type="dxa"/>
                  <w:tcBorders>
                    <w:tl2br w:val="nil"/>
                    <w:tr2bl w:val="nil"/>
                  </w:tcBorders>
                  <w:vAlign w:val="center"/>
                </w:tcPr>
                <w:p>
                  <w:pPr>
                    <w:jc w:val="center"/>
                    <w:rPr>
                      <w:szCs w:val="21"/>
                    </w:rPr>
                  </w:pPr>
                  <w:r>
                    <w:rPr>
                      <w:rFonts w:hint="eastAsia"/>
                      <w:szCs w:val="21"/>
                    </w:rPr>
                    <w:t>8</w:t>
                  </w:r>
                </w:p>
              </w:tc>
              <w:tc>
                <w:tcPr>
                  <w:tcW w:w="990" w:type="dxa"/>
                  <w:tcBorders>
                    <w:tl2br w:val="nil"/>
                    <w:tr2bl w:val="nil"/>
                  </w:tcBorders>
                  <w:vAlign w:val="center"/>
                </w:tcPr>
                <w:p>
                  <w:pPr>
                    <w:jc w:val="center"/>
                    <w:rPr>
                      <w:szCs w:val="21"/>
                    </w:rPr>
                  </w:pPr>
                  <w:r>
                    <w:rPr>
                      <w:rFonts w:hint="eastAsia"/>
                      <w:szCs w:val="21"/>
                    </w:rPr>
                    <w:t>10</w:t>
                  </w:r>
                </w:p>
              </w:tc>
              <w:tc>
                <w:tcPr>
                  <w:tcW w:w="946" w:type="dxa"/>
                  <w:tcBorders>
                    <w:tl2br w:val="nil"/>
                    <w:tr2bl w:val="nil"/>
                  </w:tcBorders>
                  <w:vAlign w:val="center"/>
                </w:tcPr>
                <w:p>
                  <w:pPr>
                    <w:jc w:val="center"/>
                    <w:rPr>
                      <w:szCs w:val="21"/>
                    </w:rPr>
                  </w:pPr>
                  <w:r>
                    <w:rPr>
                      <w:rFonts w:hint="eastAsia"/>
                      <w:szCs w:val="21"/>
                    </w:rPr>
                    <w:t>11</w:t>
                  </w:r>
                </w:p>
              </w:tc>
              <w:tc>
                <w:tcPr>
                  <w:tcW w:w="1038" w:type="dxa"/>
                  <w:tcBorders>
                    <w:tl2br w:val="nil"/>
                    <w:tr2bl w:val="nil"/>
                  </w:tcBorders>
                  <w:vAlign w:val="center"/>
                </w:tcPr>
                <w:p>
                  <w:pPr>
                    <w:jc w:val="center"/>
                    <w:rPr>
                      <w:szCs w:val="21"/>
                    </w:rPr>
                  </w:pPr>
                  <w:r>
                    <w:rPr>
                      <w:rFonts w:hint="eastAsia"/>
                      <w:szCs w:val="21"/>
                    </w:rPr>
                    <w:t>7</w:t>
                  </w:r>
                </w:p>
              </w:tc>
              <w:tc>
                <w:tcPr>
                  <w:tcW w:w="1039" w:type="dxa"/>
                  <w:tcBorders>
                    <w:tl2br w:val="nil"/>
                    <w:tr2bl w:val="nil"/>
                  </w:tcBorders>
                  <w:vAlign w:val="center"/>
                </w:tcPr>
                <w:p>
                  <w:pPr>
                    <w:jc w:val="center"/>
                    <w:rPr>
                      <w:szCs w:val="21"/>
                    </w:rPr>
                  </w:pPr>
                  <w:r>
                    <w:rPr>
                      <w:rFonts w:hint="eastAsia"/>
                      <w:szCs w:val="21"/>
                    </w:rPr>
                    <w:t>12</w:t>
                  </w:r>
                </w:p>
              </w:tc>
              <w:tc>
                <w:tcPr>
                  <w:tcW w:w="1039" w:type="dxa"/>
                  <w:tcBorders>
                    <w:tl2br w:val="nil"/>
                    <w:tr2bl w:val="nil"/>
                  </w:tcBorders>
                  <w:vAlign w:val="center"/>
                </w:tcPr>
                <w:p>
                  <w:pPr>
                    <w:jc w:val="center"/>
                    <w:rPr>
                      <w:szCs w:val="21"/>
                    </w:rPr>
                  </w:pPr>
                  <w:r>
                    <w:rPr>
                      <w:rFonts w:hint="eastAsia"/>
                      <w:szCs w:val="21"/>
                    </w:rPr>
                    <w:t>11</w:t>
                  </w:r>
                </w:p>
              </w:tc>
            </w:tr>
            <w:tr>
              <w:tblPrEx>
                <w:tblBorders>
                  <w:top w:val="single" w:color="auto" w:sz="12" w:space="0"/>
                  <w:left w:val="none" w:color="auto" w:sz="0" w:space="0"/>
                  <w:bottom w:val="single" w:color="auto" w:sz="12" w:space="0"/>
                  <w:right w:val="none" w:color="auto" w:sz="0" w:space="0"/>
                  <w:insideH w:val="single" w:color="auto" w:sz="2" w:space="0"/>
                  <w:insideV w:val="single" w:color="auto" w:sz="2" w:space="0"/>
                </w:tblBorders>
                <w:tblCellMar>
                  <w:top w:w="0" w:type="dxa"/>
                  <w:left w:w="108" w:type="dxa"/>
                  <w:bottom w:w="0" w:type="dxa"/>
                  <w:right w:w="108" w:type="dxa"/>
                </w:tblCellMar>
              </w:tblPrEx>
              <w:tc>
                <w:tcPr>
                  <w:tcW w:w="949" w:type="dxa"/>
                  <w:vMerge w:val="continue"/>
                  <w:tcBorders>
                    <w:tl2br w:val="nil"/>
                    <w:tr2bl w:val="nil"/>
                  </w:tcBorders>
                  <w:vAlign w:val="center"/>
                </w:tcPr>
                <w:p>
                  <w:pPr>
                    <w:jc w:val="center"/>
                    <w:rPr>
                      <w:szCs w:val="21"/>
                    </w:rPr>
                  </w:pPr>
                </w:p>
              </w:tc>
              <w:tc>
                <w:tcPr>
                  <w:tcW w:w="1391" w:type="dxa"/>
                  <w:tcBorders>
                    <w:tl2br w:val="nil"/>
                    <w:tr2bl w:val="nil"/>
                  </w:tcBorders>
                  <w:vAlign w:val="center"/>
                </w:tcPr>
                <w:p>
                  <w:pPr>
                    <w:jc w:val="center"/>
                    <w:rPr>
                      <w:szCs w:val="21"/>
                    </w:rPr>
                  </w:pPr>
                  <w:r>
                    <w:rPr>
                      <w:szCs w:val="21"/>
                    </w:rPr>
                    <w:t>氨氮</w:t>
                  </w:r>
                </w:p>
              </w:tc>
              <w:tc>
                <w:tcPr>
                  <w:tcW w:w="915" w:type="dxa"/>
                  <w:tcBorders>
                    <w:tl2br w:val="nil"/>
                    <w:tr2bl w:val="nil"/>
                  </w:tcBorders>
                  <w:vAlign w:val="center"/>
                </w:tcPr>
                <w:p>
                  <w:pPr>
                    <w:jc w:val="center"/>
                    <w:rPr>
                      <w:szCs w:val="21"/>
                    </w:rPr>
                  </w:pPr>
                  <w:r>
                    <w:rPr>
                      <w:rFonts w:hint="eastAsia"/>
                      <w:szCs w:val="21"/>
                    </w:rPr>
                    <w:t>0.605</w:t>
                  </w:r>
                </w:p>
              </w:tc>
              <w:tc>
                <w:tcPr>
                  <w:tcW w:w="990" w:type="dxa"/>
                  <w:tcBorders>
                    <w:tl2br w:val="nil"/>
                    <w:tr2bl w:val="nil"/>
                  </w:tcBorders>
                  <w:vAlign w:val="center"/>
                </w:tcPr>
                <w:p>
                  <w:pPr>
                    <w:jc w:val="center"/>
                    <w:rPr>
                      <w:szCs w:val="21"/>
                    </w:rPr>
                  </w:pPr>
                  <w:r>
                    <w:rPr>
                      <w:rFonts w:hint="eastAsia"/>
                      <w:szCs w:val="21"/>
                    </w:rPr>
                    <w:t>0.600</w:t>
                  </w:r>
                </w:p>
              </w:tc>
              <w:tc>
                <w:tcPr>
                  <w:tcW w:w="946" w:type="dxa"/>
                  <w:tcBorders>
                    <w:tl2br w:val="nil"/>
                    <w:tr2bl w:val="nil"/>
                  </w:tcBorders>
                  <w:vAlign w:val="center"/>
                </w:tcPr>
                <w:p>
                  <w:pPr>
                    <w:jc w:val="center"/>
                    <w:rPr>
                      <w:szCs w:val="21"/>
                    </w:rPr>
                  </w:pPr>
                  <w:r>
                    <w:rPr>
                      <w:rFonts w:hint="eastAsia"/>
                      <w:szCs w:val="21"/>
                    </w:rPr>
                    <w:t>0.594</w:t>
                  </w:r>
                </w:p>
              </w:tc>
              <w:tc>
                <w:tcPr>
                  <w:tcW w:w="1038" w:type="dxa"/>
                  <w:tcBorders>
                    <w:tl2br w:val="nil"/>
                    <w:tr2bl w:val="nil"/>
                  </w:tcBorders>
                  <w:vAlign w:val="center"/>
                </w:tcPr>
                <w:p>
                  <w:pPr>
                    <w:jc w:val="center"/>
                    <w:rPr>
                      <w:szCs w:val="21"/>
                    </w:rPr>
                  </w:pPr>
                  <w:r>
                    <w:rPr>
                      <w:rFonts w:hint="eastAsia"/>
                      <w:szCs w:val="21"/>
                    </w:rPr>
                    <w:t>0.596</w:t>
                  </w:r>
                </w:p>
              </w:tc>
              <w:tc>
                <w:tcPr>
                  <w:tcW w:w="1039" w:type="dxa"/>
                  <w:tcBorders>
                    <w:tl2br w:val="nil"/>
                    <w:tr2bl w:val="nil"/>
                  </w:tcBorders>
                  <w:vAlign w:val="center"/>
                </w:tcPr>
                <w:p>
                  <w:pPr>
                    <w:jc w:val="center"/>
                    <w:rPr>
                      <w:szCs w:val="21"/>
                    </w:rPr>
                  </w:pPr>
                  <w:r>
                    <w:rPr>
                      <w:rFonts w:hint="eastAsia"/>
                      <w:szCs w:val="21"/>
                    </w:rPr>
                    <w:t>0.761</w:t>
                  </w:r>
                </w:p>
              </w:tc>
              <w:tc>
                <w:tcPr>
                  <w:tcW w:w="1039" w:type="dxa"/>
                  <w:tcBorders>
                    <w:tl2br w:val="nil"/>
                    <w:tr2bl w:val="nil"/>
                  </w:tcBorders>
                  <w:vAlign w:val="center"/>
                </w:tcPr>
                <w:p>
                  <w:pPr>
                    <w:jc w:val="center"/>
                    <w:rPr>
                      <w:szCs w:val="21"/>
                    </w:rPr>
                  </w:pPr>
                  <w:r>
                    <w:rPr>
                      <w:rFonts w:hint="eastAsia"/>
                      <w:szCs w:val="21"/>
                    </w:rPr>
                    <w:t>0.778</w:t>
                  </w:r>
                </w:p>
              </w:tc>
            </w:tr>
            <w:tr>
              <w:tblPrEx>
                <w:tblBorders>
                  <w:top w:val="single" w:color="auto" w:sz="12" w:space="0"/>
                  <w:left w:val="none" w:color="auto" w:sz="0" w:space="0"/>
                  <w:bottom w:val="single" w:color="auto" w:sz="12" w:space="0"/>
                  <w:right w:val="none" w:color="auto" w:sz="0" w:space="0"/>
                  <w:insideH w:val="single" w:color="auto" w:sz="2" w:space="0"/>
                  <w:insideV w:val="single" w:color="auto" w:sz="2" w:space="0"/>
                </w:tblBorders>
                <w:tblCellMar>
                  <w:top w:w="0" w:type="dxa"/>
                  <w:left w:w="108" w:type="dxa"/>
                  <w:bottom w:w="0" w:type="dxa"/>
                  <w:right w:w="108" w:type="dxa"/>
                </w:tblCellMar>
              </w:tblPrEx>
              <w:tc>
                <w:tcPr>
                  <w:tcW w:w="949" w:type="dxa"/>
                  <w:vMerge w:val="continue"/>
                  <w:tcBorders>
                    <w:tl2br w:val="nil"/>
                    <w:tr2bl w:val="nil"/>
                  </w:tcBorders>
                  <w:vAlign w:val="center"/>
                </w:tcPr>
                <w:p>
                  <w:pPr>
                    <w:jc w:val="center"/>
                    <w:rPr>
                      <w:szCs w:val="21"/>
                    </w:rPr>
                  </w:pPr>
                </w:p>
              </w:tc>
              <w:tc>
                <w:tcPr>
                  <w:tcW w:w="1391" w:type="dxa"/>
                  <w:tcBorders>
                    <w:tl2br w:val="nil"/>
                    <w:tr2bl w:val="nil"/>
                  </w:tcBorders>
                  <w:vAlign w:val="center"/>
                </w:tcPr>
                <w:p>
                  <w:pPr>
                    <w:jc w:val="center"/>
                    <w:rPr>
                      <w:szCs w:val="21"/>
                    </w:rPr>
                  </w:pPr>
                  <w:r>
                    <w:rPr>
                      <w:szCs w:val="21"/>
                    </w:rPr>
                    <w:t>总磷</w:t>
                  </w:r>
                </w:p>
              </w:tc>
              <w:tc>
                <w:tcPr>
                  <w:tcW w:w="915" w:type="dxa"/>
                  <w:tcBorders>
                    <w:tl2br w:val="nil"/>
                    <w:tr2bl w:val="nil"/>
                  </w:tcBorders>
                  <w:vAlign w:val="center"/>
                </w:tcPr>
                <w:p>
                  <w:pPr>
                    <w:jc w:val="center"/>
                    <w:rPr>
                      <w:szCs w:val="21"/>
                    </w:rPr>
                  </w:pPr>
                  <w:r>
                    <w:rPr>
                      <w:rFonts w:hint="eastAsia"/>
                      <w:szCs w:val="21"/>
                    </w:rPr>
                    <w:t>0.190</w:t>
                  </w:r>
                </w:p>
              </w:tc>
              <w:tc>
                <w:tcPr>
                  <w:tcW w:w="990" w:type="dxa"/>
                  <w:tcBorders>
                    <w:tl2br w:val="nil"/>
                    <w:tr2bl w:val="nil"/>
                  </w:tcBorders>
                  <w:vAlign w:val="center"/>
                </w:tcPr>
                <w:p>
                  <w:pPr>
                    <w:jc w:val="center"/>
                    <w:rPr>
                      <w:szCs w:val="21"/>
                    </w:rPr>
                  </w:pPr>
                  <w:r>
                    <w:rPr>
                      <w:rFonts w:hint="eastAsia"/>
                      <w:szCs w:val="21"/>
                    </w:rPr>
                    <w:t>0.177</w:t>
                  </w:r>
                </w:p>
              </w:tc>
              <w:tc>
                <w:tcPr>
                  <w:tcW w:w="946" w:type="dxa"/>
                  <w:tcBorders>
                    <w:tl2br w:val="nil"/>
                    <w:tr2bl w:val="nil"/>
                  </w:tcBorders>
                  <w:vAlign w:val="center"/>
                </w:tcPr>
                <w:p>
                  <w:pPr>
                    <w:jc w:val="center"/>
                    <w:rPr>
                      <w:szCs w:val="21"/>
                    </w:rPr>
                  </w:pPr>
                  <w:r>
                    <w:rPr>
                      <w:rFonts w:hint="eastAsia"/>
                      <w:szCs w:val="21"/>
                    </w:rPr>
                    <w:t>0.167</w:t>
                  </w:r>
                </w:p>
              </w:tc>
              <w:tc>
                <w:tcPr>
                  <w:tcW w:w="1038" w:type="dxa"/>
                  <w:tcBorders>
                    <w:tl2br w:val="nil"/>
                    <w:tr2bl w:val="nil"/>
                  </w:tcBorders>
                  <w:vAlign w:val="center"/>
                </w:tcPr>
                <w:p>
                  <w:pPr>
                    <w:jc w:val="center"/>
                    <w:rPr>
                      <w:szCs w:val="21"/>
                    </w:rPr>
                  </w:pPr>
                  <w:r>
                    <w:rPr>
                      <w:rFonts w:hint="eastAsia"/>
                      <w:szCs w:val="21"/>
                    </w:rPr>
                    <w:t>0.184</w:t>
                  </w:r>
                </w:p>
              </w:tc>
              <w:tc>
                <w:tcPr>
                  <w:tcW w:w="1039" w:type="dxa"/>
                  <w:tcBorders>
                    <w:tl2br w:val="nil"/>
                    <w:tr2bl w:val="nil"/>
                  </w:tcBorders>
                  <w:vAlign w:val="center"/>
                </w:tcPr>
                <w:p>
                  <w:pPr>
                    <w:jc w:val="center"/>
                    <w:rPr>
                      <w:szCs w:val="21"/>
                    </w:rPr>
                  </w:pPr>
                  <w:r>
                    <w:rPr>
                      <w:rFonts w:hint="eastAsia"/>
                      <w:szCs w:val="21"/>
                    </w:rPr>
                    <w:t>0.179</w:t>
                  </w:r>
                </w:p>
              </w:tc>
              <w:tc>
                <w:tcPr>
                  <w:tcW w:w="1039" w:type="dxa"/>
                  <w:tcBorders>
                    <w:tl2br w:val="nil"/>
                    <w:tr2bl w:val="nil"/>
                  </w:tcBorders>
                  <w:vAlign w:val="center"/>
                </w:tcPr>
                <w:p>
                  <w:pPr>
                    <w:jc w:val="center"/>
                    <w:rPr>
                      <w:szCs w:val="21"/>
                    </w:rPr>
                  </w:pPr>
                  <w:r>
                    <w:rPr>
                      <w:rFonts w:hint="eastAsia"/>
                      <w:szCs w:val="21"/>
                    </w:rPr>
                    <w:t>0.187</w:t>
                  </w:r>
                </w:p>
              </w:tc>
            </w:tr>
            <w:tr>
              <w:tblPrEx>
                <w:tblBorders>
                  <w:top w:val="single" w:color="auto" w:sz="12" w:space="0"/>
                  <w:left w:val="none" w:color="auto" w:sz="0" w:space="0"/>
                  <w:bottom w:val="single" w:color="auto" w:sz="12" w:space="0"/>
                  <w:right w:val="none" w:color="auto" w:sz="0" w:space="0"/>
                  <w:insideH w:val="single" w:color="auto" w:sz="2" w:space="0"/>
                  <w:insideV w:val="single" w:color="auto" w:sz="2" w:space="0"/>
                </w:tblBorders>
                <w:tblCellMar>
                  <w:top w:w="0" w:type="dxa"/>
                  <w:left w:w="108" w:type="dxa"/>
                  <w:bottom w:w="0" w:type="dxa"/>
                  <w:right w:w="108" w:type="dxa"/>
                </w:tblCellMar>
              </w:tblPrEx>
              <w:tc>
                <w:tcPr>
                  <w:tcW w:w="949" w:type="dxa"/>
                  <w:vMerge w:val="continue"/>
                  <w:tcBorders>
                    <w:tl2br w:val="nil"/>
                    <w:tr2bl w:val="nil"/>
                  </w:tcBorders>
                  <w:vAlign w:val="center"/>
                </w:tcPr>
                <w:p>
                  <w:pPr>
                    <w:jc w:val="center"/>
                    <w:rPr>
                      <w:szCs w:val="21"/>
                    </w:rPr>
                  </w:pPr>
                </w:p>
              </w:tc>
              <w:tc>
                <w:tcPr>
                  <w:tcW w:w="1391" w:type="dxa"/>
                  <w:tcBorders>
                    <w:tl2br w:val="nil"/>
                    <w:tr2bl w:val="nil"/>
                  </w:tcBorders>
                  <w:vAlign w:val="center"/>
                </w:tcPr>
                <w:p>
                  <w:pPr>
                    <w:jc w:val="center"/>
                    <w:rPr>
                      <w:szCs w:val="21"/>
                    </w:rPr>
                  </w:pPr>
                  <w:r>
                    <w:rPr>
                      <w:szCs w:val="21"/>
                    </w:rPr>
                    <w:t>动植物油</w:t>
                  </w:r>
                  <w:r>
                    <w:rPr>
                      <w:rFonts w:hint="eastAsia"/>
                      <w:szCs w:val="21"/>
                    </w:rPr>
                    <w:t>类</w:t>
                  </w:r>
                </w:p>
              </w:tc>
              <w:tc>
                <w:tcPr>
                  <w:tcW w:w="915" w:type="dxa"/>
                  <w:tcBorders>
                    <w:tl2br w:val="nil"/>
                    <w:tr2bl w:val="nil"/>
                  </w:tcBorders>
                  <w:vAlign w:val="center"/>
                </w:tcPr>
                <w:p>
                  <w:pPr>
                    <w:jc w:val="center"/>
                    <w:rPr>
                      <w:szCs w:val="21"/>
                    </w:rPr>
                  </w:pPr>
                  <w:r>
                    <w:rPr>
                      <w:rFonts w:hint="eastAsia"/>
                      <w:szCs w:val="21"/>
                    </w:rPr>
                    <w:t>0.18</w:t>
                  </w:r>
                </w:p>
              </w:tc>
              <w:tc>
                <w:tcPr>
                  <w:tcW w:w="990" w:type="dxa"/>
                  <w:tcBorders>
                    <w:tl2br w:val="nil"/>
                    <w:tr2bl w:val="nil"/>
                  </w:tcBorders>
                  <w:vAlign w:val="center"/>
                </w:tcPr>
                <w:p>
                  <w:pPr>
                    <w:jc w:val="center"/>
                    <w:rPr>
                      <w:szCs w:val="21"/>
                    </w:rPr>
                  </w:pPr>
                  <w:r>
                    <w:rPr>
                      <w:rFonts w:hint="eastAsia"/>
                      <w:szCs w:val="21"/>
                    </w:rPr>
                    <w:t>0.17</w:t>
                  </w:r>
                </w:p>
              </w:tc>
              <w:tc>
                <w:tcPr>
                  <w:tcW w:w="946" w:type="dxa"/>
                  <w:tcBorders>
                    <w:tl2br w:val="nil"/>
                    <w:tr2bl w:val="nil"/>
                  </w:tcBorders>
                  <w:vAlign w:val="center"/>
                </w:tcPr>
                <w:p>
                  <w:pPr>
                    <w:jc w:val="center"/>
                    <w:rPr>
                      <w:szCs w:val="21"/>
                    </w:rPr>
                  </w:pPr>
                  <w:r>
                    <w:rPr>
                      <w:rFonts w:hint="eastAsia"/>
                      <w:szCs w:val="21"/>
                    </w:rPr>
                    <w:t>0.11</w:t>
                  </w:r>
                </w:p>
              </w:tc>
              <w:tc>
                <w:tcPr>
                  <w:tcW w:w="1038" w:type="dxa"/>
                  <w:tcBorders>
                    <w:tl2br w:val="nil"/>
                    <w:tr2bl w:val="nil"/>
                  </w:tcBorders>
                  <w:vAlign w:val="center"/>
                </w:tcPr>
                <w:p>
                  <w:pPr>
                    <w:jc w:val="center"/>
                    <w:rPr>
                      <w:szCs w:val="21"/>
                    </w:rPr>
                  </w:pPr>
                  <w:r>
                    <w:rPr>
                      <w:rFonts w:hint="eastAsia"/>
                      <w:szCs w:val="21"/>
                    </w:rPr>
                    <w:t>0.10</w:t>
                  </w:r>
                </w:p>
              </w:tc>
              <w:tc>
                <w:tcPr>
                  <w:tcW w:w="1039" w:type="dxa"/>
                  <w:tcBorders>
                    <w:tl2br w:val="nil"/>
                    <w:tr2bl w:val="nil"/>
                  </w:tcBorders>
                  <w:vAlign w:val="center"/>
                </w:tcPr>
                <w:p>
                  <w:pPr>
                    <w:jc w:val="center"/>
                    <w:rPr>
                      <w:szCs w:val="21"/>
                    </w:rPr>
                  </w:pPr>
                  <w:r>
                    <w:rPr>
                      <w:rFonts w:hint="eastAsia"/>
                      <w:szCs w:val="21"/>
                    </w:rPr>
                    <w:t>0.10</w:t>
                  </w:r>
                </w:p>
              </w:tc>
              <w:tc>
                <w:tcPr>
                  <w:tcW w:w="1039" w:type="dxa"/>
                  <w:tcBorders>
                    <w:tl2br w:val="nil"/>
                    <w:tr2bl w:val="nil"/>
                  </w:tcBorders>
                  <w:vAlign w:val="center"/>
                </w:tcPr>
                <w:p>
                  <w:pPr>
                    <w:jc w:val="center"/>
                    <w:rPr>
                      <w:szCs w:val="21"/>
                    </w:rPr>
                  </w:pPr>
                  <w:r>
                    <w:rPr>
                      <w:rFonts w:hint="eastAsia"/>
                      <w:szCs w:val="21"/>
                    </w:rPr>
                    <w:t>0.10</w:t>
                  </w:r>
                </w:p>
              </w:tc>
            </w:tr>
            <w:tr>
              <w:tblPrEx>
                <w:tblBorders>
                  <w:top w:val="single" w:color="auto" w:sz="12" w:space="0"/>
                  <w:left w:val="none" w:color="auto" w:sz="0" w:space="0"/>
                  <w:bottom w:val="single" w:color="auto" w:sz="12" w:space="0"/>
                  <w:right w:val="none" w:color="auto" w:sz="0" w:space="0"/>
                  <w:insideH w:val="single" w:color="auto" w:sz="2" w:space="0"/>
                  <w:insideV w:val="single" w:color="auto" w:sz="2" w:space="0"/>
                </w:tblBorders>
                <w:tblCellMar>
                  <w:top w:w="0" w:type="dxa"/>
                  <w:left w:w="108" w:type="dxa"/>
                  <w:bottom w:w="0" w:type="dxa"/>
                  <w:right w:w="108" w:type="dxa"/>
                </w:tblCellMar>
              </w:tblPrEx>
              <w:tc>
                <w:tcPr>
                  <w:tcW w:w="949" w:type="dxa"/>
                  <w:tcBorders>
                    <w:tl2br w:val="nil"/>
                    <w:tr2bl w:val="nil"/>
                  </w:tcBorders>
                  <w:vAlign w:val="center"/>
                </w:tcPr>
                <w:p>
                  <w:pPr>
                    <w:jc w:val="center"/>
                    <w:rPr>
                      <w:szCs w:val="21"/>
                    </w:rPr>
                  </w:pPr>
                  <w:r>
                    <w:rPr>
                      <w:rFonts w:hint="eastAsia"/>
                      <w:szCs w:val="21"/>
                    </w:rPr>
                    <w:t>执行标准</w:t>
                  </w:r>
                </w:p>
              </w:tc>
              <w:tc>
                <w:tcPr>
                  <w:tcW w:w="7358" w:type="dxa"/>
                  <w:gridSpan w:val="7"/>
                  <w:tcBorders>
                    <w:tl2br w:val="nil"/>
                    <w:tr2bl w:val="nil"/>
                  </w:tcBorders>
                  <w:vAlign w:val="center"/>
                </w:tcPr>
                <w:p>
                  <w:pPr>
                    <w:rPr>
                      <w:szCs w:val="21"/>
                    </w:rPr>
                  </w:pPr>
                  <w:r>
                    <w:rPr>
                      <w:szCs w:val="21"/>
                    </w:rPr>
                    <w:t>《地表水环境质量标准》（GB3838-2002）Ⅳ类标准</w:t>
                  </w:r>
                  <w:r>
                    <w:rPr>
                      <w:rFonts w:hint="eastAsia"/>
                      <w:szCs w:val="21"/>
                    </w:rPr>
                    <w:t>和</w:t>
                  </w:r>
                  <w:r>
                    <w:rPr>
                      <w:szCs w:val="21"/>
                    </w:rPr>
                    <w:t>《地表水资源质量标准》</w:t>
                  </w:r>
                </w:p>
                <w:p>
                  <w:pPr>
                    <w:jc w:val="center"/>
                    <w:rPr>
                      <w:szCs w:val="21"/>
                    </w:rPr>
                  </w:pPr>
                  <w:r>
                    <w:rPr>
                      <w:szCs w:val="21"/>
                    </w:rPr>
                    <w:t>（SL63-94）</w:t>
                  </w:r>
                  <w:r>
                    <w:rPr>
                      <w:rFonts w:hint="eastAsia"/>
                      <w:szCs w:val="21"/>
                    </w:rPr>
                    <w:t>四级标准：pH：6~9（无量纲）；COD：30mg/L；NH</w:t>
                  </w:r>
                  <w:r>
                    <w:rPr>
                      <w:rFonts w:hint="eastAsia"/>
                      <w:szCs w:val="21"/>
                      <w:vertAlign w:val="subscript"/>
                    </w:rPr>
                    <w:t>3</w:t>
                  </w:r>
                  <w:r>
                    <w:rPr>
                      <w:rFonts w:hint="eastAsia"/>
                      <w:szCs w:val="21"/>
                    </w:rPr>
                    <w:t>-H：1.5mg/L；TP：0.3mg/L；SS：60mg/L</w:t>
                  </w:r>
                </w:p>
              </w:tc>
            </w:tr>
            <w:tr>
              <w:tblPrEx>
                <w:tblBorders>
                  <w:top w:val="single" w:color="auto" w:sz="12" w:space="0"/>
                  <w:left w:val="none" w:color="auto" w:sz="0" w:space="0"/>
                  <w:bottom w:val="single" w:color="auto" w:sz="12" w:space="0"/>
                  <w:right w:val="none" w:color="auto" w:sz="0" w:space="0"/>
                  <w:insideH w:val="single" w:color="auto" w:sz="2" w:space="0"/>
                  <w:insideV w:val="single" w:color="auto" w:sz="2" w:space="0"/>
                </w:tblBorders>
                <w:tblCellMar>
                  <w:top w:w="0" w:type="dxa"/>
                  <w:left w:w="108" w:type="dxa"/>
                  <w:bottom w:w="0" w:type="dxa"/>
                  <w:right w:w="108" w:type="dxa"/>
                </w:tblCellMar>
              </w:tblPrEx>
              <w:tc>
                <w:tcPr>
                  <w:tcW w:w="949" w:type="dxa"/>
                  <w:tcBorders>
                    <w:tl2br w:val="nil"/>
                    <w:tr2bl w:val="nil"/>
                  </w:tcBorders>
                  <w:vAlign w:val="center"/>
                </w:tcPr>
                <w:p>
                  <w:pPr>
                    <w:jc w:val="center"/>
                    <w:rPr>
                      <w:szCs w:val="21"/>
                    </w:rPr>
                  </w:pPr>
                  <w:r>
                    <w:rPr>
                      <w:szCs w:val="21"/>
                    </w:rPr>
                    <w:t>备注</w:t>
                  </w:r>
                </w:p>
              </w:tc>
              <w:tc>
                <w:tcPr>
                  <w:tcW w:w="7358" w:type="dxa"/>
                  <w:gridSpan w:val="7"/>
                  <w:tcBorders>
                    <w:tl2br w:val="nil"/>
                    <w:tr2bl w:val="nil"/>
                  </w:tcBorders>
                  <w:vAlign w:val="center"/>
                </w:tcPr>
                <w:p>
                  <w:pPr>
                    <w:jc w:val="center"/>
                    <w:rPr>
                      <w:szCs w:val="21"/>
                    </w:rPr>
                  </w:pPr>
                  <w:r>
                    <w:rPr>
                      <w:szCs w:val="21"/>
                    </w:rPr>
                    <w:t>引用历史检测数据，报告编号：CQHH181200</w:t>
                  </w:r>
                  <w:r>
                    <w:rPr>
                      <w:rFonts w:hint="eastAsia"/>
                      <w:szCs w:val="21"/>
                    </w:rPr>
                    <w:t>，</w:t>
                  </w:r>
                  <w:r>
                    <w:rPr>
                      <w:szCs w:val="21"/>
                    </w:rPr>
                    <w:t>引用历史点位名称为尧塘河W1金坛</w:t>
                  </w:r>
                  <w:r>
                    <w:rPr>
                      <w:rFonts w:hint="eastAsia"/>
                      <w:szCs w:val="21"/>
                    </w:rPr>
                    <w:t>区</w:t>
                  </w:r>
                  <w:r>
                    <w:rPr>
                      <w:szCs w:val="21"/>
                    </w:rPr>
                    <w:t>第二污水处理厂上游500m、W2金坛</w:t>
                  </w:r>
                  <w:r>
                    <w:rPr>
                      <w:rFonts w:hint="eastAsia"/>
                      <w:szCs w:val="21"/>
                    </w:rPr>
                    <w:t>区</w:t>
                  </w:r>
                  <w:r>
                    <w:rPr>
                      <w:szCs w:val="21"/>
                    </w:rPr>
                    <w:t>第二污水处理厂下游1000m</w:t>
                  </w:r>
                </w:p>
              </w:tc>
            </w:tr>
          </w:tbl>
          <w:p>
            <w:pPr>
              <w:spacing w:line="360" w:lineRule="auto"/>
              <w:ind w:firstLine="480" w:firstLineChars="200"/>
              <w:textAlignment w:val="baseline"/>
              <w:rPr>
                <w:sz w:val="24"/>
                <w:szCs w:val="24"/>
              </w:rPr>
            </w:pPr>
            <w:r>
              <w:rPr>
                <w:sz w:val="24"/>
                <w:szCs w:val="24"/>
              </w:rPr>
              <w:t>监测数据表明，尧塘河现状监测因子均能满足《地表水环境质量标准》（GB3838-2002）中Ⅳ类标准。因此，项目地表水评价范围水环境水质良好，达Ⅳ类功能区要求。</w:t>
            </w:r>
          </w:p>
          <w:p>
            <w:pPr>
              <w:spacing w:line="360" w:lineRule="auto"/>
              <w:ind w:firstLine="480" w:firstLineChars="200"/>
              <w:textAlignment w:val="baseline"/>
              <w:rPr>
                <w:b/>
                <w:kern w:val="28"/>
                <w:sz w:val="24"/>
              </w:rPr>
            </w:pPr>
            <w:r>
              <w:rPr>
                <w:b/>
                <w:kern w:val="28"/>
                <w:sz w:val="24"/>
              </w:rPr>
              <w:t>3、噪声环境质量现状</w:t>
            </w:r>
          </w:p>
          <w:p>
            <w:pPr>
              <w:spacing w:line="360" w:lineRule="auto"/>
              <w:ind w:firstLine="480" w:firstLineChars="200"/>
              <w:rPr>
                <w:sz w:val="24"/>
                <w:szCs w:val="24"/>
              </w:rPr>
            </w:pPr>
            <w:r>
              <w:rPr>
                <w:sz w:val="24"/>
                <w:szCs w:val="24"/>
              </w:rPr>
              <w:t>本项目委托青山绿水（江苏）检验检测有限公司对</w:t>
            </w:r>
            <w:r>
              <w:rPr>
                <w:rFonts w:hint="eastAsia"/>
                <w:sz w:val="24"/>
                <w:szCs w:val="24"/>
                <w:lang w:eastAsia="zh-CN"/>
              </w:rPr>
              <w:t>智谷科技园</w:t>
            </w:r>
            <w:r>
              <w:rPr>
                <w:rFonts w:hint="eastAsia"/>
                <w:sz w:val="24"/>
                <w:szCs w:val="24"/>
                <w:lang w:val="en-US" w:eastAsia="zh-CN"/>
              </w:rPr>
              <w:t>4#</w:t>
            </w:r>
            <w:r>
              <w:rPr>
                <w:rFonts w:hint="eastAsia"/>
                <w:sz w:val="24"/>
                <w:szCs w:val="24"/>
                <w:lang w:eastAsia="zh-CN"/>
              </w:rPr>
              <w:t>标准化厂房厂界四周</w:t>
            </w:r>
            <w:r>
              <w:rPr>
                <w:rFonts w:hint="eastAsia"/>
                <w:sz w:val="24"/>
                <w:szCs w:val="24"/>
              </w:rPr>
              <w:t>和敏感点</w:t>
            </w:r>
            <w:r>
              <w:rPr>
                <w:rFonts w:hint="eastAsia"/>
                <w:sz w:val="24"/>
                <w:szCs w:val="24"/>
                <w:lang w:eastAsia="zh-CN"/>
              </w:rPr>
              <w:t>珑庭花园</w:t>
            </w:r>
            <w:r>
              <w:rPr>
                <w:sz w:val="24"/>
                <w:szCs w:val="24"/>
              </w:rPr>
              <w:t>声环境质量现状进行检测，监测时间为</w:t>
            </w:r>
            <w:r>
              <w:rPr>
                <w:rFonts w:hint="eastAsia"/>
                <w:sz w:val="24"/>
                <w:szCs w:val="24"/>
              </w:rPr>
              <w:t>2020</w:t>
            </w:r>
            <w:r>
              <w:rPr>
                <w:sz w:val="24"/>
                <w:szCs w:val="24"/>
              </w:rPr>
              <w:t>年</w:t>
            </w:r>
            <w:r>
              <w:rPr>
                <w:rFonts w:hint="eastAsia"/>
                <w:sz w:val="24"/>
                <w:szCs w:val="24"/>
              </w:rPr>
              <w:t>09</w:t>
            </w:r>
            <w:r>
              <w:rPr>
                <w:sz w:val="24"/>
                <w:szCs w:val="24"/>
              </w:rPr>
              <w:t>月</w:t>
            </w:r>
            <w:r>
              <w:rPr>
                <w:rFonts w:hint="eastAsia"/>
                <w:sz w:val="24"/>
                <w:szCs w:val="24"/>
              </w:rPr>
              <w:t>28</w:t>
            </w:r>
            <w:r>
              <w:rPr>
                <w:sz w:val="24"/>
                <w:szCs w:val="24"/>
              </w:rPr>
              <w:t>日</w:t>
            </w:r>
            <w:r>
              <w:rPr>
                <w:rFonts w:hint="eastAsia"/>
                <w:sz w:val="24"/>
                <w:szCs w:val="24"/>
              </w:rPr>
              <w:t>-2020</w:t>
            </w:r>
            <w:r>
              <w:rPr>
                <w:sz w:val="24"/>
                <w:szCs w:val="24"/>
              </w:rPr>
              <w:t>年</w:t>
            </w:r>
            <w:r>
              <w:rPr>
                <w:rFonts w:hint="eastAsia"/>
                <w:sz w:val="24"/>
                <w:szCs w:val="24"/>
              </w:rPr>
              <w:t>09</w:t>
            </w:r>
            <w:r>
              <w:rPr>
                <w:sz w:val="24"/>
                <w:szCs w:val="24"/>
              </w:rPr>
              <w:t>月</w:t>
            </w:r>
            <w:r>
              <w:rPr>
                <w:rFonts w:hint="eastAsia"/>
                <w:sz w:val="24"/>
                <w:szCs w:val="24"/>
              </w:rPr>
              <w:t>30</w:t>
            </w:r>
            <w:r>
              <w:rPr>
                <w:sz w:val="24"/>
                <w:szCs w:val="24"/>
              </w:rPr>
              <w:t>日。监测数据如下表3-</w:t>
            </w:r>
            <w:r>
              <w:rPr>
                <w:rFonts w:hint="eastAsia"/>
                <w:sz w:val="24"/>
                <w:szCs w:val="24"/>
              </w:rPr>
              <w:t>5</w:t>
            </w:r>
            <w:r>
              <w:rPr>
                <w:sz w:val="24"/>
                <w:szCs w:val="24"/>
              </w:rPr>
              <w:t>（检测报告见附件</w:t>
            </w:r>
            <w:r>
              <w:rPr>
                <w:rFonts w:hint="eastAsia"/>
                <w:sz w:val="24"/>
                <w:szCs w:val="24"/>
              </w:rPr>
              <w:t>，编号为CQHH200908</w:t>
            </w:r>
            <w:r>
              <w:rPr>
                <w:sz w:val="24"/>
                <w:szCs w:val="24"/>
              </w:rPr>
              <w:t>）。</w:t>
            </w:r>
          </w:p>
          <w:p>
            <w:pPr>
              <w:spacing w:line="440" w:lineRule="exact"/>
              <w:ind w:firstLine="445" w:firstLineChars="212"/>
              <w:jc w:val="center"/>
              <w:rPr>
                <w:b/>
                <w:szCs w:val="21"/>
              </w:rPr>
            </w:pPr>
          </w:p>
          <w:p>
            <w:pPr>
              <w:spacing w:line="440" w:lineRule="exact"/>
              <w:ind w:firstLine="445" w:firstLineChars="212"/>
              <w:jc w:val="center"/>
              <w:rPr>
                <w:b/>
                <w:szCs w:val="21"/>
              </w:rPr>
            </w:pPr>
          </w:p>
          <w:p>
            <w:pPr>
              <w:spacing w:line="440" w:lineRule="exact"/>
              <w:ind w:firstLine="445" w:firstLineChars="212"/>
              <w:jc w:val="center"/>
              <w:rPr>
                <w:b/>
                <w:szCs w:val="21"/>
              </w:rPr>
            </w:pPr>
            <w:r>
              <w:rPr>
                <w:b/>
                <w:szCs w:val="21"/>
              </w:rPr>
              <w:t>表3-</w:t>
            </w:r>
            <w:r>
              <w:rPr>
                <w:rFonts w:hint="eastAsia"/>
                <w:b/>
                <w:szCs w:val="21"/>
              </w:rPr>
              <w:t>5</w:t>
            </w:r>
            <w:r>
              <w:rPr>
                <w:b/>
                <w:szCs w:val="21"/>
              </w:rPr>
              <w:t xml:space="preserve">  噪声现状监测结果  单位：dB（A）</w:t>
            </w:r>
          </w:p>
          <w:tbl>
            <w:tblPr>
              <w:tblStyle w:val="56"/>
              <w:tblW w:w="8312" w:type="dxa"/>
              <w:tblInd w:w="0" w:type="dxa"/>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808"/>
              <w:gridCol w:w="1747"/>
              <w:gridCol w:w="1943"/>
              <w:gridCol w:w="2190"/>
              <w:gridCol w:w="915"/>
              <w:gridCol w:w="709"/>
            </w:tblGrid>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808" w:type="dxa"/>
                  <w:vAlign w:val="center"/>
                </w:tcPr>
                <w:p>
                  <w:pPr>
                    <w:spacing w:line="320" w:lineRule="exact"/>
                    <w:jc w:val="center"/>
                    <w:rPr>
                      <w:b/>
                      <w:szCs w:val="21"/>
                    </w:rPr>
                  </w:pPr>
                  <w:r>
                    <w:rPr>
                      <w:b/>
                      <w:szCs w:val="21"/>
                    </w:rPr>
                    <w:t>监测时段</w:t>
                  </w:r>
                </w:p>
              </w:tc>
              <w:tc>
                <w:tcPr>
                  <w:tcW w:w="1747" w:type="dxa"/>
                  <w:vAlign w:val="center"/>
                </w:tcPr>
                <w:p>
                  <w:pPr>
                    <w:spacing w:line="320" w:lineRule="exact"/>
                    <w:jc w:val="center"/>
                    <w:rPr>
                      <w:b/>
                      <w:szCs w:val="21"/>
                    </w:rPr>
                  </w:pPr>
                  <w:r>
                    <w:rPr>
                      <w:b/>
                      <w:szCs w:val="21"/>
                    </w:rPr>
                    <w:t>监测点位</w:t>
                  </w:r>
                </w:p>
              </w:tc>
              <w:tc>
                <w:tcPr>
                  <w:tcW w:w="1943" w:type="dxa"/>
                  <w:vAlign w:val="center"/>
                </w:tcPr>
                <w:p>
                  <w:pPr>
                    <w:spacing w:line="320" w:lineRule="exact"/>
                    <w:jc w:val="center"/>
                    <w:rPr>
                      <w:b/>
                      <w:szCs w:val="21"/>
                    </w:rPr>
                  </w:pPr>
                  <w:r>
                    <w:rPr>
                      <w:rFonts w:hint="eastAsia"/>
                      <w:sz w:val="24"/>
                      <w:szCs w:val="24"/>
                    </w:rPr>
                    <w:t>09</w:t>
                  </w:r>
                  <w:r>
                    <w:rPr>
                      <w:sz w:val="24"/>
                      <w:szCs w:val="24"/>
                    </w:rPr>
                    <w:t>月</w:t>
                  </w:r>
                  <w:r>
                    <w:rPr>
                      <w:rFonts w:hint="eastAsia"/>
                      <w:sz w:val="24"/>
                      <w:szCs w:val="24"/>
                    </w:rPr>
                    <w:t>28</w:t>
                  </w:r>
                  <w:r>
                    <w:rPr>
                      <w:sz w:val="24"/>
                      <w:szCs w:val="24"/>
                    </w:rPr>
                    <w:t>日</w:t>
                  </w:r>
                  <w:r>
                    <w:rPr>
                      <w:rFonts w:hint="eastAsia"/>
                      <w:sz w:val="24"/>
                      <w:szCs w:val="24"/>
                    </w:rPr>
                    <w:t>-29日</w:t>
                  </w:r>
                </w:p>
              </w:tc>
              <w:tc>
                <w:tcPr>
                  <w:tcW w:w="2190" w:type="dxa"/>
                  <w:vAlign w:val="center"/>
                </w:tcPr>
                <w:p>
                  <w:pPr>
                    <w:spacing w:line="320" w:lineRule="exact"/>
                    <w:jc w:val="center"/>
                    <w:rPr>
                      <w:b/>
                      <w:szCs w:val="21"/>
                    </w:rPr>
                  </w:pPr>
                  <w:r>
                    <w:rPr>
                      <w:rFonts w:hint="eastAsia"/>
                      <w:sz w:val="24"/>
                      <w:szCs w:val="24"/>
                    </w:rPr>
                    <w:t>09</w:t>
                  </w:r>
                  <w:r>
                    <w:rPr>
                      <w:sz w:val="24"/>
                      <w:szCs w:val="24"/>
                    </w:rPr>
                    <w:t>月</w:t>
                  </w:r>
                  <w:r>
                    <w:rPr>
                      <w:rFonts w:hint="eastAsia"/>
                      <w:sz w:val="24"/>
                      <w:szCs w:val="24"/>
                    </w:rPr>
                    <w:t>29</w:t>
                  </w:r>
                  <w:r>
                    <w:rPr>
                      <w:sz w:val="24"/>
                      <w:szCs w:val="24"/>
                    </w:rPr>
                    <w:t>日</w:t>
                  </w:r>
                  <w:r>
                    <w:rPr>
                      <w:rFonts w:hint="eastAsia"/>
                      <w:sz w:val="24"/>
                      <w:szCs w:val="24"/>
                    </w:rPr>
                    <w:t>-30日</w:t>
                  </w:r>
                </w:p>
              </w:tc>
              <w:tc>
                <w:tcPr>
                  <w:tcW w:w="915" w:type="dxa"/>
                  <w:vAlign w:val="center"/>
                </w:tcPr>
                <w:p>
                  <w:pPr>
                    <w:spacing w:line="320" w:lineRule="exact"/>
                    <w:jc w:val="center"/>
                    <w:rPr>
                      <w:b/>
                      <w:szCs w:val="21"/>
                    </w:rPr>
                  </w:pPr>
                  <w:r>
                    <w:rPr>
                      <w:b/>
                      <w:szCs w:val="21"/>
                    </w:rPr>
                    <w:t>执行标准</w:t>
                  </w:r>
                </w:p>
              </w:tc>
              <w:tc>
                <w:tcPr>
                  <w:tcW w:w="709" w:type="dxa"/>
                  <w:vAlign w:val="center"/>
                </w:tcPr>
                <w:p>
                  <w:pPr>
                    <w:spacing w:line="320" w:lineRule="exact"/>
                    <w:jc w:val="center"/>
                    <w:rPr>
                      <w:b/>
                      <w:szCs w:val="21"/>
                    </w:rPr>
                  </w:pPr>
                  <w:r>
                    <w:rPr>
                      <w:b/>
                      <w:szCs w:val="21"/>
                    </w:rPr>
                    <w:t>是否超标</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808" w:type="dxa"/>
                  <w:vMerge w:val="restart"/>
                  <w:vAlign w:val="center"/>
                </w:tcPr>
                <w:p>
                  <w:pPr>
                    <w:spacing w:line="320" w:lineRule="exact"/>
                    <w:jc w:val="center"/>
                    <w:rPr>
                      <w:szCs w:val="21"/>
                    </w:rPr>
                  </w:pPr>
                  <w:r>
                    <w:rPr>
                      <w:szCs w:val="21"/>
                    </w:rPr>
                    <w:t>昼间</w:t>
                  </w:r>
                </w:p>
              </w:tc>
              <w:tc>
                <w:tcPr>
                  <w:tcW w:w="1747" w:type="dxa"/>
                  <w:vAlign w:val="center"/>
                </w:tcPr>
                <w:p>
                  <w:pPr>
                    <w:spacing w:line="320" w:lineRule="exact"/>
                    <w:jc w:val="center"/>
                    <w:rPr>
                      <w:szCs w:val="21"/>
                    </w:rPr>
                  </w:pPr>
                  <w:r>
                    <w:rPr>
                      <w:szCs w:val="21"/>
                    </w:rPr>
                    <w:t>N1（东厂界）</w:t>
                  </w:r>
                </w:p>
              </w:tc>
              <w:tc>
                <w:tcPr>
                  <w:tcW w:w="1943" w:type="dxa"/>
                  <w:vAlign w:val="center"/>
                </w:tcPr>
                <w:p>
                  <w:pPr>
                    <w:adjustRightInd w:val="0"/>
                    <w:snapToGrid w:val="0"/>
                    <w:jc w:val="center"/>
                    <w:rPr>
                      <w:szCs w:val="21"/>
                    </w:rPr>
                  </w:pPr>
                  <w:r>
                    <w:rPr>
                      <w:rFonts w:hint="eastAsia"/>
                      <w:szCs w:val="21"/>
                    </w:rPr>
                    <w:t>59</w:t>
                  </w:r>
                </w:p>
              </w:tc>
              <w:tc>
                <w:tcPr>
                  <w:tcW w:w="2190" w:type="dxa"/>
                  <w:vAlign w:val="center"/>
                </w:tcPr>
                <w:p>
                  <w:pPr>
                    <w:adjustRightInd w:val="0"/>
                    <w:snapToGrid w:val="0"/>
                    <w:jc w:val="center"/>
                    <w:rPr>
                      <w:szCs w:val="21"/>
                    </w:rPr>
                  </w:pPr>
                  <w:r>
                    <w:rPr>
                      <w:rFonts w:hint="eastAsia"/>
                      <w:szCs w:val="21"/>
                    </w:rPr>
                    <w:t>58</w:t>
                  </w:r>
                </w:p>
              </w:tc>
              <w:tc>
                <w:tcPr>
                  <w:tcW w:w="915" w:type="dxa"/>
                  <w:vMerge w:val="restart"/>
                  <w:vAlign w:val="center"/>
                </w:tcPr>
                <w:p>
                  <w:pPr>
                    <w:spacing w:line="320" w:lineRule="exact"/>
                    <w:jc w:val="center"/>
                  </w:pPr>
                  <w:r>
                    <w:rPr>
                      <w:rFonts w:hint="eastAsia"/>
                    </w:rPr>
                    <w:t>65</w:t>
                  </w:r>
                </w:p>
              </w:tc>
              <w:tc>
                <w:tcPr>
                  <w:tcW w:w="709" w:type="dxa"/>
                  <w:vAlign w:val="center"/>
                </w:tcPr>
                <w:p>
                  <w:pPr>
                    <w:spacing w:line="320" w:lineRule="exact"/>
                    <w:jc w:val="center"/>
                    <w:rPr>
                      <w:szCs w:val="21"/>
                    </w:rPr>
                  </w:pPr>
                  <w:r>
                    <w:rPr>
                      <w:szCs w:val="21"/>
                    </w:rPr>
                    <w:t>否</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808" w:type="dxa"/>
                  <w:vMerge w:val="continue"/>
                  <w:vAlign w:val="center"/>
                </w:tcPr>
                <w:p>
                  <w:pPr>
                    <w:spacing w:line="320" w:lineRule="exact"/>
                    <w:jc w:val="center"/>
                    <w:rPr>
                      <w:szCs w:val="21"/>
                    </w:rPr>
                  </w:pPr>
                </w:p>
              </w:tc>
              <w:tc>
                <w:tcPr>
                  <w:tcW w:w="1747" w:type="dxa"/>
                  <w:vAlign w:val="center"/>
                </w:tcPr>
                <w:p>
                  <w:pPr>
                    <w:spacing w:line="320" w:lineRule="exact"/>
                    <w:jc w:val="center"/>
                    <w:rPr>
                      <w:szCs w:val="21"/>
                    </w:rPr>
                  </w:pPr>
                  <w:r>
                    <w:rPr>
                      <w:szCs w:val="21"/>
                    </w:rPr>
                    <w:t>N2（南厂界）</w:t>
                  </w:r>
                </w:p>
              </w:tc>
              <w:tc>
                <w:tcPr>
                  <w:tcW w:w="1943" w:type="dxa"/>
                  <w:vAlign w:val="center"/>
                </w:tcPr>
                <w:p>
                  <w:pPr>
                    <w:adjustRightInd w:val="0"/>
                    <w:snapToGrid w:val="0"/>
                    <w:jc w:val="center"/>
                    <w:rPr>
                      <w:szCs w:val="21"/>
                    </w:rPr>
                  </w:pPr>
                  <w:r>
                    <w:rPr>
                      <w:rFonts w:hint="eastAsia"/>
                      <w:szCs w:val="21"/>
                    </w:rPr>
                    <w:t>56</w:t>
                  </w:r>
                </w:p>
              </w:tc>
              <w:tc>
                <w:tcPr>
                  <w:tcW w:w="2190" w:type="dxa"/>
                  <w:vAlign w:val="center"/>
                </w:tcPr>
                <w:p>
                  <w:pPr>
                    <w:adjustRightInd w:val="0"/>
                    <w:snapToGrid w:val="0"/>
                    <w:jc w:val="center"/>
                    <w:rPr>
                      <w:szCs w:val="21"/>
                    </w:rPr>
                  </w:pPr>
                  <w:r>
                    <w:rPr>
                      <w:rFonts w:hint="eastAsia"/>
                      <w:szCs w:val="21"/>
                    </w:rPr>
                    <w:t>57</w:t>
                  </w:r>
                </w:p>
              </w:tc>
              <w:tc>
                <w:tcPr>
                  <w:tcW w:w="915" w:type="dxa"/>
                  <w:vMerge w:val="continue"/>
                  <w:vAlign w:val="center"/>
                </w:tcPr>
                <w:p>
                  <w:pPr>
                    <w:spacing w:line="320" w:lineRule="exact"/>
                    <w:jc w:val="center"/>
                    <w:rPr>
                      <w:szCs w:val="21"/>
                    </w:rPr>
                  </w:pPr>
                </w:p>
              </w:tc>
              <w:tc>
                <w:tcPr>
                  <w:tcW w:w="709" w:type="dxa"/>
                  <w:vAlign w:val="center"/>
                </w:tcPr>
                <w:p>
                  <w:pPr>
                    <w:spacing w:line="320" w:lineRule="exact"/>
                    <w:jc w:val="center"/>
                    <w:rPr>
                      <w:szCs w:val="21"/>
                    </w:rPr>
                  </w:pPr>
                  <w:r>
                    <w:rPr>
                      <w:szCs w:val="21"/>
                    </w:rPr>
                    <w:t>否</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PrEx>
              <w:trPr>
                <w:trHeight w:val="90" w:hRule="atLeast"/>
              </w:trPr>
              <w:tc>
                <w:tcPr>
                  <w:tcW w:w="808" w:type="dxa"/>
                  <w:vMerge w:val="continue"/>
                  <w:vAlign w:val="center"/>
                </w:tcPr>
                <w:p>
                  <w:pPr>
                    <w:spacing w:line="320" w:lineRule="exact"/>
                    <w:jc w:val="center"/>
                    <w:rPr>
                      <w:szCs w:val="21"/>
                    </w:rPr>
                  </w:pPr>
                </w:p>
              </w:tc>
              <w:tc>
                <w:tcPr>
                  <w:tcW w:w="1747" w:type="dxa"/>
                  <w:vAlign w:val="center"/>
                </w:tcPr>
                <w:p>
                  <w:pPr>
                    <w:spacing w:line="320" w:lineRule="exact"/>
                    <w:jc w:val="center"/>
                    <w:rPr>
                      <w:szCs w:val="21"/>
                    </w:rPr>
                  </w:pPr>
                  <w:r>
                    <w:rPr>
                      <w:szCs w:val="21"/>
                    </w:rPr>
                    <w:t>N3（西厂界）</w:t>
                  </w:r>
                </w:p>
              </w:tc>
              <w:tc>
                <w:tcPr>
                  <w:tcW w:w="1943" w:type="dxa"/>
                  <w:vAlign w:val="center"/>
                </w:tcPr>
                <w:p>
                  <w:pPr>
                    <w:adjustRightInd w:val="0"/>
                    <w:snapToGrid w:val="0"/>
                    <w:jc w:val="center"/>
                    <w:rPr>
                      <w:szCs w:val="21"/>
                    </w:rPr>
                  </w:pPr>
                  <w:r>
                    <w:rPr>
                      <w:rFonts w:hint="eastAsia"/>
                      <w:szCs w:val="21"/>
                    </w:rPr>
                    <w:t>57</w:t>
                  </w:r>
                </w:p>
              </w:tc>
              <w:tc>
                <w:tcPr>
                  <w:tcW w:w="2190" w:type="dxa"/>
                  <w:vAlign w:val="center"/>
                </w:tcPr>
                <w:p>
                  <w:pPr>
                    <w:adjustRightInd w:val="0"/>
                    <w:snapToGrid w:val="0"/>
                    <w:jc w:val="center"/>
                    <w:rPr>
                      <w:szCs w:val="21"/>
                    </w:rPr>
                  </w:pPr>
                  <w:r>
                    <w:rPr>
                      <w:rFonts w:hint="eastAsia"/>
                      <w:szCs w:val="21"/>
                    </w:rPr>
                    <w:t>58</w:t>
                  </w:r>
                </w:p>
              </w:tc>
              <w:tc>
                <w:tcPr>
                  <w:tcW w:w="915" w:type="dxa"/>
                  <w:vMerge w:val="continue"/>
                  <w:vAlign w:val="center"/>
                </w:tcPr>
                <w:p>
                  <w:pPr>
                    <w:spacing w:line="320" w:lineRule="exact"/>
                    <w:jc w:val="center"/>
                    <w:rPr>
                      <w:szCs w:val="21"/>
                    </w:rPr>
                  </w:pPr>
                </w:p>
              </w:tc>
              <w:tc>
                <w:tcPr>
                  <w:tcW w:w="709" w:type="dxa"/>
                  <w:vAlign w:val="center"/>
                </w:tcPr>
                <w:p>
                  <w:pPr>
                    <w:spacing w:line="320" w:lineRule="exact"/>
                    <w:jc w:val="center"/>
                    <w:rPr>
                      <w:szCs w:val="21"/>
                    </w:rPr>
                  </w:pPr>
                  <w:r>
                    <w:rPr>
                      <w:szCs w:val="21"/>
                    </w:rPr>
                    <w:t>否</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808" w:type="dxa"/>
                  <w:vMerge w:val="continue"/>
                  <w:vAlign w:val="center"/>
                </w:tcPr>
                <w:p>
                  <w:pPr>
                    <w:spacing w:line="320" w:lineRule="exact"/>
                    <w:jc w:val="center"/>
                    <w:rPr>
                      <w:szCs w:val="21"/>
                    </w:rPr>
                  </w:pPr>
                </w:p>
              </w:tc>
              <w:tc>
                <w:tcPr>
                  <w:tcW w:w="1747" w:type="dxa"/>
                  <w:vAlign w:val="center"/>
                </w:tcPr>
                <w:p>
                  <w:pPr>
                    <w:spacing w:line="320" w:lineRule="exact"/>
                    <w:jc w:val="center"/>
                    <w:rPr>
                      <w:szCs w:val="21"/>
                    </w:rPr>
                  </w:pPr>
                  <w:r>
                    <w:rPr>
                      <w:szCs w:val="21"/>
                    </w:rPr>
                    <w:t>N4（北厂界）</w:t>
                  </w:r>
                </w:p>
              </w:tc>
              <w:tc>
                <w:tcPr>
                  <w:tcW w:w="1943" w:type="dxa"/>
                  <w:vAlign w:val="center"/>
                </w:tcPr>
                <w:p>
                  <w:pPr>
                    <w:adjustRightInd w:val="0"/>
                    <w:snapToGrid w:val="0"/>
                    <w:jc w:val="center"/>
                    <w:rPr>
                      <w:szCs w:val="21"/>
                    </w:rPr>
                  </w:pPr>
                  <w:r>
                    <w:rPr>
                      <w:rFonts w:hint="eastAsia"/>
                      <w:szCs w:val="21"/>
                    </w:rPr>
                    <w:t>58</w:t>
                  </w:r>
                </w:p>
              </w:tc>
              <w:tc>
                <w:tcPr>
                  <w:tcW w:w="2190" w:type="dxa"/>
                  <w:vAlign w:val="center"/>
                </w:tcPr>
                <w:p>
                  <w:pPr>
                    <w:adjustRightInd w:val="0"/>
                    <w:snapToGrid w:val="0"/>
                    <w:jc w:val="center"/>
                    <w:rPr>
                      <w:szCs w:val="21"/>
                    </w:rPr>
                  </w:pPr>
                  <w:r>
                    <w:rPr>
                      <w:rFonts w:hint="eastAsia"/>
                      <w:szCs w:val="21"/>
                    </w:rPr>
                    <w:t>58</w:t>
                  </w:r>
                </w:p>
              </w:tc>
              <w:tc>
                <w:tcPr>
                  <w:tcW w:w="915" w:type="dxa"/>
                  <w:vMerge w:val="continue"/>
                  <w:vAlign w:val="center"/>
                </w:tcPr>
                <w:p>
                  <w:pPr>
                    <w:spacing w:line="320" w:lineRule="exact"/>
                    <w:jc w:val="center"/>
                    <w:rPr>
                      <w:szCs w:val="21"/>
                    </w:rPr>
                  </w:pPr>
                </w:p>
              </w:tc>
              <w:tc>
                <w:tcPr>
                  <w:tcW w:w="709" w:type="dxa"/>
                  <w:vAlign w:val="center"/>
                </w:tcPr>
                <w:p>
                  <w:pPr>
                    <w:spacing w:line="320" w:lineRule="exact"/>
                    <w:jc w:val="center"/>
                    <w:rPr>
                      <w:szCs w:val="21"/>
                    </w:rPr>
                  </w:pPr>
                  <w:r>
                    <w:rPr>
                      <w:szCs w:val="21"/>
                    </w:rPr>
                    <w:t>否</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808" w:type="dxa"/>
                  <w:vMerge w:val="continue"/>
                  <w:vAlign w:val="center"/>
                </w:tcPr>
                <w:p>
                  <w:pPr>
                    <w:spacing w:line="320" w:lineRule="exact"/>
                    <w:jc w:val="center"/>
                    <w:rPr>
                      <w:szCs w:val="21"/>
                    </w:rPr>
                  </w:pPr>
                </w:p>
              </w:tc>
              <w:tc>
                <w:tcPr>
                  <w:tcW w:w="1747" w:type="dxa"/>
                  <w:vAlign w:val="center"/>
                </w:tcPr>
                <w:p>
                  <w:pPr>
                    <w:spacing w:line="320" w:lineRule="exact"/>
                    <w:jc w:val="center"/>
                    <w:rPr>
                      <w:szCs w:val="21"/>
                    </w:rPr>
                  </w:pPr>
                  <w:r>
                    <w:rPr>
                      <w:rFonts w:hint="eastAsia"/>
                      <w:szCs w:val="21"/>
                    </w:rPr>
                    <w:t>N5（敏感点</w:t>
                  </w:r>
                  <w:r>
                    <w:rPr>
                      <w:rFonts w:hint="eastAsia"/>
                      <w:szCs w:val="21"/>
                      <w:lang w:eastAsia="zh-CN"/>
                    </w:rPr>
                    <w:t>珑庭花园</w:t>
                  </w:r>
                  <w:r>
                    <w:rPr>
                      <w:rFonts w:hint="eastAsia"/>
                      <w:szCs w:val="21"/>
                    </w:rPr>
                    <w:t>）</w:t>
                  </w:r>
                </w:p>
              </w:tc>
              <w:tc>
                <w:tcPr>
                  <w:tcW w:w="1943" w:type="dxa"/>
                  <w:vAlign w:val="center"/>
                </w:tcPr>
                <w:p>
                  <w:pPr>
                    <w:adjustRightInd w:val="0"/>
                    <w:snapToGrid w:val="0"/>
                    <w:jc w:val="center"/>
                    <w:rPr>
                      <w:szCs w:val="21"/>
                    </w:rPr>
                  </w:pPr>
                  <w:r>
                    <w:rPr>
                      <w:rFonts w:hint="eastAsia"/>
                      <w:szCs w:val="21"/>
                    </w:rPr>
                    <w:t>58</w:t>
                  </w:r>
                </w:p>
              </w:tc>
              <w:tc>
                <w:tcPr>
                  <w:tcW w:w="2190" w:type="dxa"/>
                  <w:vAlign w:val="center"/>
                </w:tcPr>
                <w:p>
                  <w:pPr>
                    <w:adjustRightInd w:val="0"/>
                    <w:snapToGrid w:val="0"/>
                    <w:jc w:val="center"/>
                    <w:rPr>
                      <w:szCs w:val="21"/>
                    </w:rPr>
                  </w:pPr>
                  <w:r>
                    <w:rPr>
                      <w:rFonts w:hint="eastAsia"/>
                      <w:szCs w:val="21"/>
                    </w:rPr>
                    <w:t>58</w:t>
                  </w:r>
                </w:p>
              </w:tc>
              <w:tc>
                <w:tcPr>
                  <w:tcW w:w="915" w:type="dxa"/>
                  <w:vAlign w:val="center"/>
                </w:tcPr>
                <w:p>
                  <w:pPr>
                    <w:spacing w:line="320" w:lineRule="exact"/>
                    <w:jc w:val="center"/>
                    <w:rPr>
                      <w:szCs w:val="21"/>
                    </w:rPr>
                  </w:pPr>
                  <w:r>
                    <w:rPr>
                      <w:rFonts w:hint="eastAsia"/>
                    </w:rPr>
                    <w:t>60</w:t>
                  </w:r>
                </w:p>
              </w:tc>
              <w:tc>
                <w:tcPr>
                  <w:tcW w:w="709" w:type="dxa"/>
                  <w:vAlign w:val="center"/>
                </w:tcPr>
                <w:p>
                  <w:pPr>
                    <w:spacing w:line="320" w:lineRule="exact"/>
                    <w:jc w:val="center"/>
                    <w:rPr>
                      <w:szCs w:val="21"/>
                    </w:rPr>
                  </w:pPr>
                  <w:r>
                    <w:rPr>
                      <w:szCs w:val="21"/>
                    </w:rPr>
                    <w:t>否</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08" w:type="dxa"/>
                  <w:vMerge w:val="restart"/>
                  <w:vAlign w:val="center"/>
                </w:tcPr>
                <w:p>
                  <w:pPr>
                    <w:spacing w:line="320" w:lineRule="exact"/>
                    <w:jc w:val="center"/>
                    <w:rPr>
                      <w:szCs w:val="21"/>
                    </w:rPr>
                  </w:pPr>
                  <w:r>
                    <w:rPr>
                      <w:szCs w:val="21"/>
                    </w:rPr>
                    <w:t>夜间</w:t>
                  </w:r>
                </w:p>
              </w:tc>
              <w:tc>
                <w:tcPr>
                  <w:tcW w:w="1747" w:type="dxa"/>
                  <w:vAlign w:val="center"/>
                </w:tcPr>
                <w:p>
                  <w:pPr>
                    <w:spacing w:line="320" w:lineRule="exact"/>
                    <w:jc w:val="center"/>
                    <w:rPr>
                      <w:szCs w:val="21"/>
                    </w:rPr>
                  </w:pPr>
                  <w:r>
                    <w:rPr>
                      <w:szCs w:val="21"/>
                    </w:rPr>
                    <w:t>N1（东厂界）</w:t>
                  </w:r>
                </w:p>
              </w:tc>
              <w:tc>
                <w:tcPr>
                  <w:tcW w:w="1943" w:type="dxa"/>
                  <w:vAlign w:val="center"/>
                </w:tcPr>
                <w:p>
                  <w:pPr>
                    <w:adjustRightInd w:val="0"/>
                    <w:snapToGrid w:val="0"/>
                    <w:jc w:val="center"/>
                    <w:rPr>
                      <w:szCs w:val="21"/>
                    </w:rPr>
                  </w:pPr>
                  <w:r>
                    <w:rPr>
                      <w:rFonts w:hint="eastAsia"/>
                      <w:szCs w:val="21"/>
                    </w:rPr>
                    <w:t>48</w:t>
                  </w:r>
                </w:p>
              </w:tc>
              <w:tc>
                <w:tcPr>
                  <w:tcW w:w="2190" w:type="dxa"/>
                  <w:vAlign w:val="center"/>
                </w:tcPr>
                <w:p>
                  <w:pPr>
                    <w:adjustRightInd w:val="0"/>
                    <w:snapToGrid w:val="0"/>
                    <w:jc w:val="center"/>
                    <w:rPr>
                      <w:szCs w:val="21"/>
                    </w:rPr>
                  </w:pPr>
                  <w:r>
                    <w:rPr>
                      <w:rFonts w:hint="eastAsia"/>
                      <w:szCs w:val="21"/>
                    </w:rPr>
                    <w:t>48</w:t>
                  </w:r>
                </w:p>
              </w:tc>
              <w:tc>
                <w:tcPr>
                  <w:tcW w:w="915" w:type="dxa"/>
                  <w:vMerge w:val="restart"/>
                  <w:vAlign w:val="center"/>
                </w:tcPr>
                <w:p>
                  <w:pPr>
                    <w:spacing w:line="320" w:lineRule="exact"/>
                    <w:jc w:val="center"/>
                    <w:rPr>
                      <w:szCs w:val="21"/>
                    </w:rPr>
                  </w:pPr>
                  <w:r>
                    <w:rPr>
                      <w:rFonts w:hint="eastAsia"/>
                      <w:szCs w:val="21"/>
                    </w:rPr>
                    <w:t>55</w:t>
                  </w:r>
                </w:p>
              </w:tc>
              <w:tc>
                <w:tcPr>
                  <w:tcW w:w="709" w:type="dxa"/>
                  <w:vAlign w:val="center"/>
                </w:tcPr>
                <w:p>
                  <w:pPr>
                    <w:spacing w:line="320" w:lineRule="exact"/>
                    <w:jc w:val="center"/>
                    <w:rPr>
                      <w:szCs w:val="21"/>
                    </w:rPr>
                  </w:pPr>
                  <w:r>
                    <w:rPr>
                      <w:szCs w:val="21"/>
                    </w:rPr>
                    <w:t>否</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808" w:type="dxa"/>
                  <w:vMerge w:val="continue"/>
                  <w:vAlign w:val="center"/>
                </w:tcPr>
                <w:p>
                  <w:pPr>
                    <w:spacing w:line="320" w:lineRule="exact"/>
                    <w:jc w:val="center"/>
                    <w:rPr>
                      <w:szCs w:val="21"/>
                    </w:rPr>
                  </w:pPr>
                </w:p>
              </w:tc>
              <w:tc>
                <w:tcPr>
                  <w:tcW w:w="1747" w:type="dxa"/>
                  <w:vAlign w:val="center"/>
                </w:tcPr>
                <w:p>
                  <w:pPr>
                    <w:spacing w:line="320" w:lineRule="exact"/>
                    <w:jc w:val="center"/>
                    <w:rPr>
                      <w:szCs w:val="21"/>
                    </w:rPr>
                  </w:pPr>
                  <w:r>
                    <w:rPr>
                      <w:szCs w:val="21"/>
                    </w:rPr>
                    <w:t>N2（南厂界）</w:t>
                  </w:r>
                </w:p>
              </w:tc>
              <w:tc>
                <w:tcPr>
                  <w:tcW w:w="1943" w:type="dxa"/>
                  <w:vAlign w:val="center"/>
                </w:tcPr>
                <w:p>
                  <w:pPr>
                    <w:adjustRightInd w:val="0"/>
                    <w:snapToGrid w:val="0"/>
                    <w:jc w:val="center"/>
                    <w:rPr>
                      <w:szCs w:val="21"/>
                    </w:rPr>
                  </w:pPr>
                  <w:r>
                    <w:rPr>
                      <w:rFonts w:hint="eastAsia"/>
                      <w:szCs w:val="21"/>
                    </w:rPr>
                    <w:t>48</w:t>
                  </w:r>
                </w:p>
              </w:tc>
              <w:tc>
                <w:tcPr>
                  <w:tcW w:w="2190" w:type="dxa"/>
                  <w:vAlign w:val="center"/>
                </w:tcPr>
                <w:p>
                  <w:pPr>
                    <w:adjustRightInd w:val="0"/>
                    <w:snapToGrid w:val="0"/>
                    <w:jc w:val="center"/>
                    <w:rPr>
                      <w:szCs w:val="21"/>
                    </w:rPr>
                  </w:pPr>
                  <w:r>
                    <w:rPr>
                      <w:rFonts w:hint="eastAsia"/>
                      <w:szCs w:val="21"/>
                    </w:rPr>
                    <w:t>48</w:t>
                  </w:r>
                </w:p>
              </w:tc>
              <w:tc>
                <w:tcPr>
                  <w:tcW w:w="915" w:type="dxa"/>
                  <w:vMerge w:val="continue"/>
                  <w:vAlign w:val="center"/>
                </w:tcPr>
                <w:p>
                  <w:pPr>
                    <w:spacing w:line="320" w:lineRule="exact"/>
                    <w:jc w:val="center"/>
                    <w:rPr>
                      <w:szCs w:val="21"/>
                    </w:rPr>
                  </w:pPr>
                </w:p>
              </w:tc>
              <w:tc>
                <w:tcPr>
                  <w:tcW w:w="709" w:type="dxa"/>
                  <w:vAlign w:val="center"/>
                </w:tcPr>
                <w:p>
                  <w:pPr>
                    <w:spacing w:line="320" w:lineRule="exact"/>
                    <w:jc w:val="center"/>
                    <w:rPr>
                      <w:szCs w:val="21"/>
                    </w:rPr>
                  </w:pPr>
                  <w:r>
                    <w:rPr>
                      <w:szCs w:val="21"/>
                    </w:rPr>
                    <w:t>否</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808" w:type="dxa"/>
                  <w:vMerge w:val="continue"/>
                  <w:vAlign w:val="center"/>
                </w:tcPr>
                <w:p>
                  <w:pPr>
                    <w:spacing w:line="320" w:lineRule="exact"/>
                    <w:jc w:val="center"/>
                    <w:rPr>
                      <w:szCs w:val="21"/>
                    </w:rPr>
                  </w:pPr>
                </w:p>
              </w:tc>
              <w:tc>
                <w:tcPr>
                  <w:tcW w:w="1747" w:type="dxa"/>
                  <w:vAlign w:val="center"/>
                </w:tcPr>
                <w:p>
                  <w:pPr>
                    <w:spacing w:line="320" w:lineRule="exact"/>
                    <w:jc w:val="center"/>
                    <w:rPr>
                      <w:szCs w:val="21"/>
                    </w:rPr>
                  </w:pPr>
                  <w:r>
                    <w:rPr>
                      <w:szCs w:val="21"/>
                    </w:rPr>
                    <w:t>N3（西厂界）</w:t>
                  </w:r>
                </w:p>
              </w:tc>
              <w:tc>
                <w:tcPr>
                  <w:tcW w:w="1943" w:type="dxa"/>
                  <w:vAlign w:val="center"/>
                </w:tcPr>
                <w:p>
                  <w:pPr>
                    <w:adjustRightInd w:val="0"/>
                    <w:snapToGrid w:val="0"/>
                    <w:jc w:val="center"/>
                    <w:rPr>
                      <w:szCs w:val="21"/>
                    </w:rPr>
                  </w:pPr>
                  <w:r>
                    <w:rPr>
                      <w:rFonts w:hint="eastAsia"/>
                      <w:szCs w:val="21"/>
                    </w:rPr>
                    <w:t>48</w:t>
                  </w:r>
                </w:p>
              </w:tc>
              <w:tc>
                <w:tcPr>
                  <w:tcW w:w="2190" w:type="dxa"/>
                  <w:vAlign w:val="center"/>
                </w:tcPr>
                <w:p>
                  <w:pPr>
                    <w:adjustRightInd w:val="0"/>
                    <w:snapToGrid w:val="0"/>
                    <w:jc w:val="center"/>
                    <w:rPr>
                      <w:szCs w:val="21"/>
                    </w:rPr>
                  </w:pPr>
                  <w:r>
                    <w:rPr>
                      <w:rFonts w:hint="eastAsia"/>
                      <w:szCs w:val="21"/>
                    </w:rPr>
                    <w:t>48</w:t>
                  </w:r>
                </w:p>
              </w:tc>
              <w:tc>
                <w:tcPr>
                  <w:tcW w:w="915" w:type="dxa"/>
                  <w:vMerge w:val="continue"/>
                  <w:vAlign w:val="center"/>
                </w:tcPr>
                <w:p>
                  <w:pPr>
                    <w:spacing w:line="320" w:lineRule="exact"/>
                    <w:jc w:val="center"/>
                    <w:rPr>
                      <w:szCs w:val="21"/>
                    </w:rPr>
                  </w:pPr>
                </w:p>
              </w:tc>
              <w:tc>
                <w:tcPr>
                  <w:tcW w:w="709" w:type="dxa"/>
                  <w:vAlign w:val="center"/>
                </w:tcPr>
                <w:p>
                  <w:pPr>
                    <w:spacing w:line="320" w:lineRule="exact"/>
                    <w:jc w:val="center"/>
                    <w:rPr>
                      <w:szCs w:val="21"/>
                    </w:rPr>
                  </w:pPr>
                  <w:r>
                    <w:rPr>
                      <w:szCs w:val="21"/>
                    </w:rPr>
                    <w:t>否</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808" w:type="dxa"/>
                  <w:vMerge w:val="continue"/>
                  <w:vAlign w:val="center"/>
                </w:tcPr>
                <w:p>
                  <w:pPr>
                    <w:spacing w:line="320" w:lineRule="exact"/>
                    <w:jc w:val="center"/>
                    <w:rPr>
                      <w:szCs w:val="21"/>
                    </w:rPr>
                  </w:pPr>
                </w:p>
              </w:tc>
              <w:tc>
                <w:tcPr>
                  <w:tcW w:w="1747" w:type="dxa"/>
                  <w:vAlign w:val="center"/>
                </w:tcPr>
                <w:p>
                  <w:pPr>
                    <w:spacing w:line="320" w:lineRule="exact"/>
                    <w:jc w:val="center"/>
                    <w:rPr>
                      <w:szCs w:val="21"/>
                    </w:rPr>
                  </w:pPr>
                  <w:r>
                    <w:rPr>
                      <w:szCs w:val="21"/>
                    </w:rPr>
                    <w:t>N4（北厂界）</w:t>
                  </w:r>
                </w:p>
              </w:tc>
              <w:tc>
                <w:tcPr>
                  <w:tcW w:w="1943" w:type="dxa"/>
                  <w:vAlign w:val="center"/>
                </w:tcPr>
                <w:p>
                  <w:pPr>
                    <w:adjustRightInd w:val="0"/>
                    <w:snapToGrid w:val="0"/>
                    <w:jc w:val="center"/>
                    <w:rPr>
                      <w:szCs w:val="21"/>
                    </w:rPr>
                  </w:pPr>
                  <w:r>
                    <w:rPr>
                      <w:rFonts w:hint="eastAsia"/>
                      <w:szCs w:val="21"/>
                    </w:rPr>
                    <w:t>47</w:t>
                  </w:r>
                </w:p>
              </w:tc>
              <w:tc>
                <w:tcPr>
                  <w:tcW w:w="2190" w:type="dxa"/>
                  <w:vAlign w:val="center"/>
                </w:tcPr>
                <w:p>
                  <w:pPr>
                    <w:adjustRightInd w:val="0"/>
                    <w:snapToGrid w:val="0"/>
                    <w:jc w:val="center"/>
                    <w:rPr>
                      <w:szCs w:val="21"/>
                    </w:rPr>
                  </w:pPr>
                  <w:r>
                    <w:rPr>
                      <w:rFonts w:hint="eastAsia"/>
                      <w:szCs w:val="21"/>
                    </w:rPr>
                    <w:t>46</w:t>
                  </w:r>
                </w:p>
              </w:tc>
              <w:tc>
                <w:tcPr>
                  <w:tcW w:w="915" w:type="dxa"/>
                  <w:vMerge w:val="continue"/>
                  <w:vAlign w:val="center"/>
                </w:tcPr>
                <w:p>
                  <w:pPr>
                    <w:spacing w:line="320" w:lineRule="exact"/>
                    <w:jc w:val="center"/>
                    <w:rPr>
                      <w:szCs w:val="21"/>
                    </w:rPr>
                  </w:pPr>
                </w:p>
              </w:tc>
              <w:tc>
                <w:tcPr>
                  <w:tcW w:w="709" w:type="dxa"/>
                  <w:vAlign w:val="center"/>
                </w:tcPr>
                <w:p>
                  <w:pPr>
                    <w:spacing w:line="320" w:lineRule="exact"/>
                    <w:jc w:val="center"/>
                    <w:rPr>
                      <w:szCs w:val="21"/>
                    </w:rPr>
                  </w:pPr>
                  <w:r>
                    <w:rPr>
                      <w:szCs w:val="21"/>
                    </w:rPr>
                    <w:t>否</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808" w:type="dxa"/>
                  <w:vMerge w:val="continue"/>
                  <w:vAlign w:val="center"/>
                </w:tcPr>
                <w:p>
                  <w:pPr>
                    <w:spacing w:line="320" w:lineRule="exact"/>
                    <w:jc w:val="center"/>
                    <w:rPr>
                      <w:szCs w:val="21"/>
                    </w:rPr>
                  </w:pPr>
                </w:p>
              </w:tc>
              <w:tc>
                <w:tcPr>
                  <w:tcW w:w="1747" w:type="dxa"/>
                  <w:vAlign w:val="center"/>
                </w:tcPr>
                <w:p>
                  <w:pPr>
                    <w:spacing w:line="320" w:lineRule="exact"/>
                    <w:jc w:val="center"/>
                    <w:rPr>
                      <w:szCs w:val="21"/>
                    </w:rPr>
                  </w:pPr>
                  <w:r>
                    <w:rPr>
                      <w:rFonts w:hint="eastAsia"/>
                      <w:szCs w:val="21"/>
                    </w:rPr>
                    <w:t>N5（敏感点</w:t>
                  </w:r>
                  <w:r>
                    <w:rPr>
                      <w:rFonts w:hint="eastAsia"/>
                      <w:szCs w:val="21"/>
                      <w:lang w:eastAsia="zh-CN"/>
                    </w:rPr>
                    <w:t>珑庭花园</w:t>
                  </w:r>
                  <w:r>
                    <w:rPr>
                      <w:rFonts w:hint="eastAsia"/>
                      <w:szCs w:val="21"/>
                    </w:rPr>
                    <w:t>）</w:t>
                  </w:r>
                </w:p>
              </w:tc>
              <w:tc>
                <w:tcPr>
                  <w:tcW w:w="1943" w:type="dxa"/>
                  <w:vAlign w:val="center"/>
                </w:tcPr>
                <w:p>
                  <w:pPr>
                    <w:adjustRightInd w:val="0"/>
                    <w:snapToGrid w:val="0"/>
                    <w:jc w:val="center"/>
                    <w:rPr>
                      <w:szCs w:val="21"/>
                    </w:rPr>
                  </w:pPr>
                  <w:r>
                    <w:rPr>
                      <w:rFonts w:hint="eastAsia"/>
                      <w:szCs w:val="21"/>
                    </w:rPr>
                    <w:t>47</w:t>
                  </w:r>
                </w:p>
              </w:tc>
              <w:tc>
                <w:tcPr>
                  <w:tcW w:w="2190" w:type="dxa"/>
                  <w:vAlign w:val="center"/>
                </w:tcPr>
                <w:p>
                  <w:pPr>
                    <w:adjustRightInd w:val="0"/>
                    <w:snapToGrid w:val="0"/>
                    <w:jc w:val="center"/>
                    <w:rPr>
                      <w:szCs w:val="21"/>
                    </w:rPr>
                  </w:pPr>
                  <w:r>
                    <w:rPr>
                      <w:rFonts w:hint="eastAsia"/>
                      <w:szCs w:val="21"/>
                    </w:rPr>
                    <w:t>48</w:t>
                  </w:r>
                </w:p>
              </w:tc>
              <w:tc>
                <w:tcPr>
                  <w:tcW w:w="915" w:type="dxa"/>
                  <w:vAlign w:val="center"/>
                </w:tcPr>
                <w:p>
                  <w:pPr>
                    <w:spacing w:line="320" w:lineRule="exact"/>
                    <w:jc w:val="center"/>
                    <w:rPr>
                      <w:szCs w:val="21"/>
                    </w:rPr>
                  </w:pPr>
                  <w:r>
                    <w:rPr>
                      <w:rFonts w:hint="eastAsia"/>
                      <w:szCs w:val="21"/>
                    </w:rPr>
                    <w:t>50</w:t>
                  </w:r>
                </w:p>
              </w:tc>
              <w:tc>
                <w:tcPr>
                  <w:tcW w:w="709" w:type="dxa"/>
                  <w:vAlign w:val="center"/>
                </w:tcPr>
                <w:p>
                  <w:pPr>
                    <w:spacing w:line="320" w:lineRule="exact"/>
                    <w:jc w:val="center"/>
                    <w:rPr>
                      <w:szCs w:val="21"/>
                    </w:rPr>
                  </w:pPr>
                  <w:r>
                    <w:rPr>
                      <w:szCs w:val="21"/>
                    </w:rPr>
                    <w:t>否</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808" w:type="dxa"/>
                  <w:vAlign w:val="center"/>
                </w:tcPr>
                <w:p>
                  <w:pPr>
                    <w:spacing w:line="320" w:lineRule="exact"/>
                    <w:jc w:val="center"/>
                    <w:rPr>
                      <w:szCs w:val="21"/>
                    </w:rPr>
                  </w:pPr>
                  <w:r>
                    <w:rPr>
                      <w:rFonts w:hint="eastAsia"/>
                      <w:szCs w:val="21"/>
                    </w:rPr>
                    <w:t>备注</w:t>
                  </w:r>
                </w:p>
              </w:tc>
              <w:tc>
                <w:tcPr>
                  <w:tcW w:w="7504" w:type="dxa"/>
                  <w:gridSpan w:val="5"/>
                  <w:vAlign w:val="center"/>
                </w:tcPr>
                <w:p>
                  <w:pPr>
                    <w:spacing w:line="320" w:lineRule="exact"/>
                    <w:jc w:val="center"/>
                    <w:rPr>
                      <w:szCs w:val="21"/>
                    </w:rPr>
                  </w:pPr>
                  <w:r>
                    <w:rPr>
                      <w:rFonts w:hint="eastAsia"/>
                      <w:szCs w:val="21"/>
                    </w:rPr>
                    <w:t>检测期间：天气均为晴，风速2.3~2.5m/s。</w:t>
                  </w:r>
                </w:p>
              </w:tc>
            </w:tr>
          </w:tbl>
          <w:p>
            <w:pPr>
              <w:spacing w:line="360" w:lineRule="auto"/>
              <w:ind w:firstLine="508" w:firstLineChars="212"/>
              <w:rPr>
                <w:kern w:val="0"/>
                <w:sz w:val="24"/>
                <w:szCs w:val="24"/>
              </w:rPr>
            </w:pPr>
            <w:r>
              <w:rPr>
                <w:rFonts w:hint="eastAsia"/>
                <w:sz w:val="24"/>
                <w:szCs w:val="24"/>
              </w:rPr>
              <w:t>根据上述监测数据可知，</w:t>
            </w:r>
            <w:r>
              <w:rPr>
                <w:sz w:val="24"/>
                <w:szCs w:val="24"/>
              </w:rPr>
              <w:t>厂界四周声环境达到《声环境质量标准》（GB3096-2008）中的</w:t>
            </w:r>
            <w:r>
              <w:rPr>
                <w:rFonts w:hint="eastAsia"/>
                <w:sz w:val="24"/>
                <w:szCs w:val="24"/>
              </w:rPr>
              <w:t>3</w:t>
            </w:r>
            <w:r>
              <w:rPr>
                <w:sz w:val="24"/>
                <w:szCs w:val="24"/>
              </w:rPr>
              <w:t>类</w:t>
            </w:r>
            <w:r>
              <w:rPr>
                <w:rFonts w:hint="eastAsia"/>
                <w:sz w:val="24"/>
                <w:szCs w:val="24"/>
              </w:rPr>
              <w:t>区限值</w:t>
            </w:r>
            <w:r>
              <w:rPr>
                <w:sz w:val="24"/>
                <w:szCs w:val="24"/>
              </w:rPr>
              <w:t>，</w:t>
            </w:r>
            <w:r>
              <w:rPr>
                <w:kern w:val="0"/>
                <w:sz w:val="24"/>
                <w:szCs w:val="24"/>
              </w:rPr>
              <w:t>即：昼间≤6</w:t>
            </w:r>
            <w:r>
              <w:rPr>
                <w:rFonts w:hint="eastAsia"/>
                <w:kern w:val="0"/>
                <w:sz w:val="24"/>
                <w:szCs w:val="24"/>
              </w:rPr>
              <w:t>5</w:t>
            </w:r>
            <w:r>
              <w:rPr>
                <w:kern w:val="0"/>
                <w:sz w:val="24"/>
                <w:szCs w:val="24"/>
              </w:rPr>
              <w:t>dB(A)、夜间≤5</w:t>
            </w:r>
            <w:r>
              <w:rPr>
                <w:rFonts w:hint="eastAsia"/>
                <w:kern w:val="0"/>
                <w:sz w:val="24"/>
                <w:szCs w:val="24"/>
              </w:rPr>
              <w:t>5</w:t>
            </w:r>
            <w:r>
              <w:rPr>
                <w:kern w:val="0"/>
                <w:sz w:val="24"/>
                <w:szCs w:val="24"/>
              </w:rPr>
              <w:t>dB(A)</w:t>
            </w:r>
            <w:r>
              <w:rPr>
                <w:rFonts w:hint="eastAsia"/>
                <w:kern w:val="0"/>
                <w:sz w:val="24"/>
                <w:szCs w:val="24"/>
              </w:rPr>
              <w:t>；</w:t>
            </w:r>
            <w:r>
              <w:rPr>
                <w:rFonts w:hint="eastAsia"/>
                <w:sz w:val="24"/>
                <w:szCs w:val="24"/>
              </w:rPr>
              <w:t>敏感点中宋庄</w:t>
            </w:r>
            <w:r>
              <w:rPr>
                <w:sz w:val="24"/>
                <w:szCs w:val="24"/>
              </w:rPr>
              <w:t>声环境达到《声环境质量标准》（GB3096-2008）中的</w:t>
            </w:r>
            <w:r>
              <w:rPr>
                <w:rFonts w:hint="eastAsia"/>
                <w:sz w:val="24"/>
                <w:szCs w:val="24"/>
              </w:rPr>
              <w:t>2</w:t>
            </w:r>
            <w:r>
              <w:rPr>
                <w:sz w:val="24"/>
                <w:szCs w:val="24"/>
              </w:rPr>
              <w:t>类</w:t>
            </w:r>
            <w:r>
              <w:rPr>
                <w:rFonts w:hint="eastAsia"/>
                <w:sz w:val="24"/>
                <w:szCs w:val="24"/>
              </w:rPr>
              <w:t>区限值</w:t>
            </w:r>
            <w:r>
              <w:rPr>
                <w:sz w:val="24"/>
                <w:szCs w:val="24"/>
              </w:rPr>
              <w:t>，</w:t>
            </w:r>
            <w:r>
              <w:rPr>
                <w:kern w:val="0"/>
                <w:sz w:val="24"/>
                <w:szCs w:val="24"/>
              </w:rPr>
              <w:t>即：昼间≤6</w:t>
            </w:r>
            <w:r>
              <w:rPr>
                <w:rFonts w:hint="eastAsia"/>
                <w:kern w:val="0"/>
                <w:sz w:val="24"/>
                <w:szCs w:val="24"/>
              </w:rPr>
              <w:t>0</w:t>
            </w:r>
            <w:r>
              <w:rPr>
                <w:kern w:val="0"/>
                <w:sz w:val="24"/>
                <w:szCs w:val="24"/>
              </w:rPr>
              <w:t>dB(A)、夜间≤5</w:t>
            </w:r>
            <w:r>
              <w:rPr>
                <w:rFonts w:hint="eastAsia"/>
                <w:kern w:val="0"/>
                <w:sz w:val="24"/>
                <w:szCs w:val="24"/>
              </w:rPr>
              <w:t>0</w:t>
            </w:r>
            <w:r>
              <w:rPr>
                <w:kern w:val="0"/>
                <w:sz w:val="24"/>
                <w:szCs w:val="24"/>
              </w:rPr>
              <w:t>dB(A)</w:t>
            </w:r>
            <w:r>
              <w:rPr>
                <w:rFonts w:hint="eastAsia"/>
                <w:kern w:val="0"/>
                <w:sz w:val="24"/>
                <w:szCs w:val="24"/>
              </w:rPr>
              <w:t>。</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3452" w:hRule="atLeast"/>
          <w:jc w:val="center"/>
        </w:trPr>
        <w:tc>
          <w:tcPr>
            <w:tcW w:w="8528" w:type="dxa"/>
          </w:tcPr>
          <w:p>
            <w:pPr>
              <w:adjustRightInd w:val="0"/>
              <w:snapToGrid w:val="0"/>
              <w:spacing w:before="156" w:beforeLines="50" w:line="360" w:lineRule="auto"/>
              <w:rPr>
                <w:rStyle w:val="679"/>
                <w:color w:val="auto"/>
              </w:rPr>
            </w:pPr>
            <w:r>
              <w:rPr>
                <w:b/>
                <w:bCs/>
                <w:sz w:val="24"/>
                <w:szCs w:val="24"/>
              </w:rPr>
              <w:t>主要环境保护目标(列出名单及保护级别)</w:t>
            </w:r>
            <w:r>
              <w:rPr>
                <w:b/>
                <w:sz w:val="24"/>
                <w:szCs w:val="24"/>
              </w:rPr>
              <w:t>：</w:t>
            </w:r>
          </w:p>
          <w:p>
            <w:pPr>
              <w:spacing w:line="360" w:lineRule="auto"/>
              <w:ind w:firstLine="480" w:firstLineChars="200"/>
              <w:rPr>
                <w:sz w:val="24"/>
                <w:szCs w:val="24"/>
              </w:rPr>
            </w:pPr>
            <w:r>
              <w:rPr>
                <w:sz w:val="24"/>
                <w:szCs w:val="24"/>
              </w:rPr>
              <w:t>根据现场勘查，项目厂区周围</w:t>
            </w:r>
            <w:r>
              <w:rPr>
                <w:rFonts w:hint="eastAsia"/>
                <w:sz w:val="24"/>
                <w:szCs w:val="24"/>
              </w:rPr>
              <w:t>主要</w:t>
            </w:r>
            <w:r>
              <w:rPr>
                <w:sz w:val="24"/>
                <w:szCs w:val="24"/>
              </w:rPr>
              <w:t>环境保护目标见表3-</w:t>
            </w:r>
            <w:r>
              <w:rPr>
                <w:rFonts w:hint="eastAsia"/>
                <w:sz w:val="24"/>
                <w:szCs w:val="24"/>
              </w:rPr>
              <w:t>6</w:t>
            </w:r>
            <w:r>
              <w:rPr>
                <w:sz w:val="24"/>
                <w:szCs w:val="24"/>
              </w:rPr>
              <w:t>和表3-</w:t>
            </w:r>
            <w:r>
              <w:rPr>
                <w:rFonts w:hint="eastAsia"/>
                <w:sz w:val="24"/>
                <w:szCs w:val="24"/>
              </w:rPr>
              <w:t>7</w:t>
            </w:r>
            <w:r>
              <w:rPr>
                <w:sz w:val="24"/>
                <w:szCs w:val="24"/>
              </w:rPr>
              <w:t>。</w:t>
            </w:r>
          </w:p>
          <w:p>
            <w:pPr>
              <w:jc w:val="center"/>
              <w:rPr>
                <w:b/>
                <w:bCs/>
                <w:szCs w:val="21"/>
              </w:rPr>
            </w:pPr>
            <w:r>
              <w:rPr>
                <w:b/>
                <w:bCs/>
                <w:szCs w:val="21"/>
              </w:rPr>
              <w:t>表3-</w:t>
            </w:r>
            <w:r>
              <w:rPr>
                <w:rFonts w:hint="eastAsia"/>
                <w:b/>
                <w:bCs/>
                <w:szCs w:val="21"/>
              </w:rPr>
              <w:t>6</w:t>
            </w:r>
            <w:r>
              <w:rPr>
                <w:b/>
                <w:bCs/>
                <w:szCs w:val="21"/>
              </w:rPr>
              <w:t xml:space="preserve">  </w:t>
            </w:r>
            <w:r>
              <w:rPr>
                <w:rFonts w:hint="eastAsia"/>
                <w:b/>
                <w:bCs/>
                <w:szCs w:val="21"/>
              </w:rPr>
              <w:t>主要</w:t>
            </w:r>
            <w:r>
              <w:rPr>
                <w:b/>
                <w:bCs/>
                <w:szCs w:val="21"/>
              </w:rPr>
              <w:t>环境空气保护目标一览表</w:t>
            </w:r>
          </w:p>
          <w:tbl>
            <w:tblPr>
              <w:tblStyle w:val="56"/>
              <w:tblW w:w="4998" w:type="pct"/>
              <w:jc w:val="center"/>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Layout w:type="fixed"/>
              <w:tblCellMar>
                <w:top w:w="0" w:type="dxa"/>
                <w:left w:w="108" w:type="dxa"/>
                <w:bottom w:w="0" w:type="dxa"/>
                <w:right w:w="108" w:type="dxa"/>
              </w:tblCellMar>
            </w:tblPr>
            <w:tblGrid>
              <w:gridCol w:w="921"/>
              <w:gridCol w:w="1239"/>
              <w:gridCol w:w="1050"/>
              <w:gridCol w:w="780"/>
              <w:gridCol w:w="780"/>
              <w:gridCol w:w="705"/>
              <w:gridCol w:w="1043"/>
              <w:gridCol w:w="832"/>
              <w:gridCol w:w="959"/>
            </w:tblGrid>
            <w:tr>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0" w:type="dxa"/>
                  <w:left w:w="108" w:type="dxa"/>
                  <w:bottom w:w="0" w:type="dxa"/>
                  <w:right w:w="108" w:type="dxa"/>
                </w:tblCellMar>
              </w:tblPrEx>
              <w:trPr>
                <w:trHeight w:val="367" w:hRule="atLeast"/>
                <w:tblHeader/>
                <w:jc w:val="center"/>
              </w:trPr>
              <w:tc>
                <w:tcPr>
                  <w:tcW w:w="554" w:type="pct"/>
                  <w:vMerge w:val="restart"/>
                  <w:shd w:val="clear" w:color="auto" w:fill="FFFFFF"/>
                  <w:vAlign w:val="center"/>
                </w:tcPr>
                <w:p>
                  <w:pPr>
                    <w:pStyle w:val="50"/>
                    <w:widowControl w:val="0"/>
                    <w:adjustRightInd w:val="0"/>
                    <w:snapToGrid w:val="0"/>
                    <w:spacing w:before="0" w:line="240" w:lineRule="auto"/>
                    <w:ind w:firstLine="0"/>
                    <w:jc w:val="center"/>
                    <w:rPr>
                      <w:rFonts w:ascii="Times New Roman" w:hAnsi="Times New Roman"/>
                      <w:b/>
                      <w:bCs/>
                      <w:color w:val="auto"/>
                      <w:sz w:val="21"/>
                      <w:szCs w:val="21"/>
                    </w:rPr>
                  </w:pPr>
                  <w:r>
                    <w:rPr>
                      <w:rFonts w:ascii="Times New Roman" w:hAnsi="Times New Roman"/>
                      <w:b/>
                      <w:bCs/>
                      <w:color w:val="auto"/>
                      <w:sz w:val="21"/>
                      <w:szCs w:val="21"/>
                    </w:rPr>
                    <w:t>名称</w:t>
                  </w:r>
                </w:p>
              </w:tc>
              <w:tc>
                <w:tcPr>
                  <w:tcW w:w="1377" w:type="pct"/>
                  <w:gridSpan w:val="2"/>
                  <w:shd w:val="clear" w:color="auto" w:fill="FFFFFF"/>
                  <w:vAlign w:val="center"/>
                </w:tcPr>
                <w:p>
                  <w:pPr>
                    <w:pStyle w:val="50"/>
                    <w:widowControl w:val="0"/>
                    <w:adjustRightInd w:val="0"/>
                    <w:snapToGrid w:val="0"/>
                    <w:spacing w:before="0" w:line="240" w:lineRule="auto"/>
                    <w:ind w:firstLine="0"/>
                    <w:jc w:val="center"/>
                    <w:rPr>
                      <w:rFonts w:ascii="Times New Roman" w:hAnsi="Times New Roman"/>
                      <w:b/>
                      <w:bCs/>
                      <w:color w:val="auto"/>
                      <w:sz w:val="21"/>
                      <w:szCs w:val="21"/>
                    </w:rPr>
                  </w:pPr>
                  <w:r>
                    <w:rPr>
                      <w:rFonts w:ascii="Times New Roman" w:hAnsi="Times New Roman"/>
                      <w:b/>
                      <w:bCs/>
                      <w:color w:val="auto"/>
                      <w:sz w:val="21"/>
                      <w:szCs w:val="21"/>
                    </w:rPr>
                    <w:t>坐标</w:t>
                  </w:r>
                </w:p>
              </w:tc>
              <w:tc>
                <w:tcPr>
                  <w:tcW w:w="469" w:type="pct"/>
                  <w:vMerge w:val="restart"/>
                  <w:shd w:val="clear" w:color="auto" w:fill="FFFFFF"/>
                  <w:vAlign w:val="center"/>
                </w:tcPr>
                <w:p>
                  <w:pPr>
                    <w:pStyle w:val="50"/>
                    <w:widowControl w:val="0"/>
                    <w:adjustRightInd w:val="0"/>
                    <w:snapToGrid w:val="0"/>
                    <w:spacing w:before="0" w:line="240" w:lineRule="auto"/>
                    <w:ind w:firstLine="0"/>
                    <w:jc w:val="center"/>
                    <w:rPr>
                      <w:rFonts w:ascii="Times New Roman" w:hAnsi="Times New Roman"/>
                      <w:b/>
                      <w:bCs/>
                      <w:color w:val="auto"/>
                      <w:sz w:val="21"/>
                      <w:szCs w:val="21"/>
                    </w:rPr>
                  </w:pPr>
                  <w:r>
                    <w:rPr>
                      <w:rFonts w:ascii="Times New Roman" w:hAnsi="Times New Roman"/>
                      <w:b/>
                      <w:bCs/>
                      <w:color w:val="auto"/>
                      <w:sz w:val="21"/>
                      <w:szCs w:val="21"/>
                    </w:rPr>
                    <w:t>保护对象</w:t>
                  </w:r>
                </w:p>
              </w:tc>
              <w:tc>
                <w:tcPr>
                  <w:tcW w:w="469" w:type="pct"/>
                  <w:vMerge w:val="restart"/>
                  <w:shd w:val="clear" w:color="auto" w:fill="FFFFFF"/>
                  <w:vAlign w:val="center"/>
                </w:tcPr>
                <w:p>
                  <w:pPr>
                    <w:pStyle w:val="50"/>
                    <w:widowControl w:val="0"/>
                    <w:adjustRightInd w:val="0"/>
                    <w:snapToGrid w:val="0"/>
                    <w:spacing w:before="0" w:line="240" w:lineRule="auto"/>
                    <w:ind w:firstLine="0"/>
                    <w:jc w:val="center"/>
                    <w:rPr>
                      <w:rFonts w:ascii="Times New Roman" w:hAnsi="Times New Roman"/>
                      <w:b/>
                      <w:bCs/>
                      <w:color w:val="auto"/>
                      <w:sz w:val="21"/>
                      <w:szCs w:val="21"/>
                    </w:rPr>
                  </w:pPr>
                  <w:r>
                    <w:rPr>
                      <w:rFonts w:ascii="Times New Roman" w:hAnsi="Times New Roman"/>
                      <w:b/>
                      <w:bCs/>
                      <w:color w:val="auto"/>
                      <w:sz w:val="21"/>
                      <w:szCs w:val="21"/>
                    </w:rPr>
                    <w:t>保护内容</w:t>
                  </w:r>
                </w:p>
              </w:tc>
              <w:tc>
                <w:tcPr>
                  <w:tcW w:w="424" w:type="pct"/>
                  <w:vMerge w:val="restart"/>
                  <w:shd w:val="clear" w:color="auto" w:fill="FFFFFF"/>
                  <w:vAlign w:val="center"/>
                </w:tcPr>
                <w:p>
                  <w:pPr>
                    <w:pStyle w:val="50"/>
                    <w:widowControl w:val="0"/>
                    <w:adjustRightInd w:val="0"/>
                    <w:snapToGrid w:val="0"/>
                    <w:spacing w:before="0" w:line="240" w:lineRule="auto"/>
                    <w:ind w:firstLine="0"/>
                    <w:jc w:val="center"/>
                    <w:rPr>
                      <w:rFonts w:ascii="Times New Roman" w:hAnsi="Times New Roman"/>
                      <w:b/>
                      <w:bCs/>
                      <w:color w:val="auto"/>
                      <w:sz w:val="21"/>
                      <w:szCs w:val="21"/>
                    </w:rPr>
                  </w:pPr>
                  <w:r>
                    <w:rPr>
                      <w:rFonts w:hint="eastAsia" w:ascii="Times New Roman" w:hAnsi="Times New Roman"/>
                      <w:b/>
                      <w:bCs/>
                      <w:color w:val="auto"/>
                      <w:sz w:val="21"/>
                      <w:szCs w:val="21"/>
                    </w:rPr>
                    <w:t>保护规模</w:t>
                  </w:r>
                </w:p>
              </w:tc>
              <w:tc>
                <w:tcPr>
                  <w:tcW w:w="627" w:type="pct"/>
                  <w:vMerge w:val="restart"/>
                  <w:shd w:val="clear" w:color="auto" w:fill="FFFFFF"/>
                  <w:vAlign w:val="center"/>
                </w:tcPr>
                <w:p>
                  <w:pPr>
                    <w:pStyle w:val="50"/>
                    <w:widowControl w:val="0"/>
                    <w:adjustRightInd w:val="0"/>
                    <w:snapToGrid w:val="0"/>
                    <w:spacing w:before="0" w:line="240" w:lineRule="auto"/>
                    <w:ind w:firstLine="0"/>
                    <w:jc w:val="center"/>
                    <w:rPr>
                      <w:rFonts w:ascii="Times New Roman" w:hAnsi="Times New Roman"/>
                      <w:b/>
                      <w:bCs/>
                      <w:color w:val="auto"/>
                      <w:sz w:val="21"/>
                      <w:szCs w:val="21"/>
                    </w:rPr>
                  </w:pPr>
                  <w:r>
                    <w:rPr>
                      <w:rFonts w:ascii="Times New Roman" w:hAnsi="Times New Roman"/>
                      <w:b/>
                      <w:bCs/>
                      <w:color w:val="auto"/>
                      <w:sz w:val="21"/>
                      <w:szCs w:val="21"/>
                    </w:rPr>
                    <w:t>环境功能区</w:t>
                  </w:r>
                </w:p>
              </w:tc>
              <w:tc>
                <w:tcPr>
                  <w:tcW w:w="500" w:type="pct"/>
                  <w:vMerge w:val="restart"/>
                  <w:shd w:val="clear" w:color="auto" w:fill="FFFFFF"/>
                  <w:vAlign w:val="center"/>
                </w:tcPr>
                <w:p>
                  <w:pPr>
                    <w:pStyle w:val="50"/>
                    <w:widowControl w:val="0"/>
                    <w:adjustRightInd w:val="0"/>
                    <w:snapToGrid w:val="0"/>
                    <w:spacing w:before="0" w:line="240" w:lineRule="auto"/>
                    <w:ind w:firstLine="0"/>
                    <w:jc w:val="center"/>
                    <w:rPr>
                      <w:rFonts w:ascii="Times New Roman" w:hAnsi="Times New Roman"/>
                      <w:b/>
                      <w:bCs/>
                      <w:color w:val="auto"/>
                      <w:sz w:val="21"/>
                      <w:szCs w:val="21"/>
                    </w:rPr>
                  </w:pPr>
                  <w:r>
                    <w:rPr>
                      <w:rFonts w:ascii="Times New Roman" w:hAnsi="Times New Roman"/>
                      <w:b/>
                      <w:bCs/>
                      <w:color w:val="auto"/>
                      <w:sz w:val="21"/>
                      <w:szCs w:val="21"/>
                    </w:rPr>
                    <w:t>相对厂址方位</w:t>
                  </w:r>
                </w:p>
              </w:tc>
              <w:tc>
                <w:tcPr>
                  <w:tcW w:w="577" w:type="pct"/>
                  <w:vMerge w:val="restart"/>
                  <w:shd w:val="clear" w:color="auto" w:fill="FFFFFF"/>
                  <w:vAlign w:val="center"/>
                </w:tcPr>
                <w:p>
                  <w:pPr>
                    <w:pStyle w:val="50"/>
                    <w:widowControl w:val="0"/>
                    <w:adjustRightInd w:val="0"/>
                    <w:snapToGrid w:val="0"/>
                    <w:spacing w:before="0" w:line="240" w:lineRule="auto"/>
                    <w:ind w:firstLine="0"/>
                    <w:jc w:val="center"/>
                    <w:rPr>
                      <w:rFonts w:ascii="Times New Roman" w:hAnsi="Times New Roman"/>
                      <w:b/>
                      <w:bCs/>
                      <w:color w:val="auto"/>
                      <w:sz w:val="21"/>
                      <w:szCs w:val="21"/>
                    </w:rPr>
                  </w:pPr>
                  <w:r>
                    <w:rPr>
                      <w:rFonts w:ascii="Times New Roman" w:hAnsi="Times New Roman"/>
                      <w:b/>
                      <w:bCs/>
                      <w:color w:val="auto"/>
                      <w:sz w:val="21"/>
                      <w:szCs w:val="21"/>
                    </w:rPr>
                    <w:t>相对厂界距离（m）</w:t>
                  </w:r>
                </w:p>
              </w:tc>
            </w:tr>
            <w:tr>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0" w:type="dxa"/>
                  <w:left w:w="108" w:type="dxa"/>
                  <w:bottom w:w="0" w:type="dxa"/>
                  <w:right w:w="108" w:type="dxa"/>
                </w:tblCellMar>
              </w:tblPrEx>
              <w:trPr>
                <w:trHeight w:val="126" w:hRule="atLeast"/>
                <w:jc w:val="center"/>
              </w:trPr>
              <w:tc>
                <w:tcPr>
                  <w:tcW w:w="554" w:type="pct"/>
                  <w:vMerge w:val="continue"/>
                  <w:shd w:val="clear" w:color="auto" w:fill="FFFFFF"/>
                  <w:vAlign w:val="center"/>
                </w:tcPr>
                <w:p>
                  <w:pPr>
                    <w:rPr>
                      <w:szCs w:val="21"/>
                    </w:rPr>
                  </w:pPr>
                </w:p>
              </w:tc>
              <w:tc>
                <w:tcPr>
                  <w:tcW w:w="745" w:type="pct"/>
                  <w:shd w:val="clear" w:color="auto" w:fill="FFFFFF"/>
                  <w:vAlign w:val="center"/>
                </w:tcPr>
                <w:p>
                  <w:pPr>
                    <w:pStyle w:val="50"/>
                    <w:widowControl w:val="0"/>
                    <w:adjustRightInd w:val="0"/>
                    <w:snapToGrid w:val="0"/>
                    <w:spacing w:before="0" w:line="240" w:lineRule="auto"/>
                    <w:ind w:firstLine="0"/>
                    <w:jc w:val="center"/>
                    <w:rPr>
                      <w:rFonts w:ascii="Times New Roman" w:hAnsi="Times New Roman"/>
                      <w:b/>
                      <w:bCs/>
                      <w:color w:val="auto"/>
                      <w:sz w:val="21"/>
                      <w:szCs w:val="21"/>
                    </w:rPr>
                  </w:pPr>
                  <w:r>
                    <w:rPr>
                      <w:rFonts w:ascii="Times New Roman" w:hAnsi="Times New Roman"/>
                      <w:b/>
                      <w:bCs/>
                      <w:color w:val="auto"/>
                      <w:sz w:val="21"/>
                      <w:szCs w:val="21"/>
                    </w:rPr>
                    <w:t>X</w:t>
                  </w:r>
                </w:p>
              </w:tc>
              <w:tc>
                <w:tcPr>
                  <w:tcW w:w="631" w:type="pct"/>
                  <w:shd w:val="clear" w:color="auto" w:fill="FFFFFF"/>
                  <w:vAlign w:val="center"/>
                </w:tcPr>
                <w:p>
                  <w:pPr>
                    <w:pStyle w:val="50"/>
                    <w:widowControl w:val="0"/>
                    <w:adjustRightInd w:val="0"/>
                    <w:snapToGrid w:val="0"/>
                    <w:spacing w:before="0" w:line="240" w:lineRule="auto"/>
                    <w:ind w:firstLine="0"/>
                    <w:jc w:val="center"/>
                    <w:rPr>
                      <w:rFonts w:ascii="Times New Roman" w:hAnsi="Times New Roman"/>
                      <w:b/>
                      <w:bCs/>
                      <w:color w:val="auto"/>
                      <w:sz w:val="21"/>
                      <w:szCs w:val="21"/>
                    </w:rPr>
                  </w:pPr>
                  <w:r>
                    <w:rPr>
                      <w:rFonts w:ascii="Times New Roman" w:hAnsi="Times New Roman"/>
                      <w:b/>
                      <w:bCs/>
                      <w:color w:val="auto"/>
                      <w:sz w:val="21"/>
                      <w:szCs w:val="21"/>
                    </w:rPr>
                    <w:t>Y</w:t>
                  </w:r>
                </w:p>
              </w:tc>
              <w:tc>
                <w:tcPr>
                  <w:tcW w:w="469" w:type="pct"/>
                  <w:vMerge w:val="continue"/>
                  <w:shd w:val="clear" w:color="auto" w:fill="FFFFFF"/>
                  <w:vAlign w:val="center"/>
                </w:tcPr>
                <w:p>
                  <w:pPr>
                    <w:rPr>
                      <w:szCs w:val="21"/>
                    </w:rPr>
                  </w:pPr>
                </w:p>
              </w:tc>
              <w:tc>
                <w:tcPr>
                  <w:tcW w:w="469" w:type="pct"/>
                  <w:vMerge w:val="continue"/>
                  <w:shd w:val="clear" w:color="auto" w:fill="FFFFFF"/>
                  <w:vAlign w:val="center"/>
                </w:tcPr>
                <w:p>
                  <w:pPr>
                    <w:rPr>
                      <w:szCs w:val="21"/>
                    </w:rPr>
                  </w:pPr>
                </w:p>
              </w:tc>
              <w:tc>
                <w:tcPr>
                  <w:tcW w:w="424" w:type="pct"/>
                  <w:vMerge w:val="continue"/>
                  <w:shd w:val="clear" w:color="auto" w:fill="FFFFFF"/>
                  <w:vAlign w:val="center"/>
                </w:tcPr>
                <w:p>
                  <w:pPr>
                    <w:rPr>
                      <w:szCs w:val="21"/>
                    </w:rPr>
                  </w:pPr>
                </w:p>
              </w:tc>
              <w:tc>
                <w:tcPr>
                  <w:tcW w:w="627" w:type="pct"/>
                  <w:vMerge w:val="continue"/>
                  <w:shd w:val="clear" w:color="auto" w:fill="FFFFFF"/>
                  <w:vAlign w:val="center"/>
                </w:tcPr>
                <w:p>
                  <w:pPr>
                    <w:rPr>
                      <w:szCs w:val="21"/>
                    </w:rPr>
                  </w:pPr>
                </w:p>
              </w:tc>
              <w:tc>
                <w:tcPr>
                  <w:tcW w:w="500" w:type="pct"/>
                  <w:vMerge w:val="continue"/>
                  <w:shd w:val="clear" w:color="auto" w:fill="FFFFFF"/>
                  <w:vAlign w:val="center"/>
                </w:tcPr>
                <w:p>
                  <w:pPr>
                    <w:rPr>
                      <w:szCs w:val="21"/>
                    </w:rPr>
                  </w:pPr>
                </w:p>
              </w:tc>
              <w:tc>
                <w:tcPr>
                  <w:tcW w:w="577" w:type="pct"/>
                  <w:vMerge w:val="continue"/>
                  <w:shd w:val="clear" w:color="auto" w:fill="FFFFFF"/>
                  <w:vAlign w:val="center"/>
                </w:tcPr>
                <w:p>
                  <w:pPr>
                    <w:rPr>
                      <w:szCs w:val="21"/>
                    </w:rPr>
                  </w:pPr>
                </w:p>
              </w:tc>
            </w:tr>
            <w:tr>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0" w:type="dxa"/>
                  <w:left w:w="108" w:type="dxa"/>
                  <w:bottom w:w="0" w:type="dxa"/>
                  <w:right w:w="108" w:type="dxa"/>
                </w:tblCellMar>
              </w:tblPrEx>
              <w:trPr>
                <w:trHeight w:val="717" w:hRule="atLeast"/>
                <w:jc w:val="center"/>
              </w:trPr>
              <w:tc>
                <w:tcPr>
                  <w:tcW w:w="554" w:type="pct"/>
                  <w:shd w:val="clear" w:color="auto" w:fill="FFFFFF"/>
                  <w:vAlign w:val="center"/>
                </w:tcPr>
                <w:p>
                  <w:pPr>
                    <w:pStyle w:val="50"/>
                    <w:widowControl w:val="0"/>
                    <w:adjustRightInd w:val="0"/>
                    <w:snapToGrid w:val="0"/>
                    <w:spacing w:before="0" w:line="240" w:lineRule="auto"/>
                    <w:ind w:firstLine="0" w:firstLineChars="0"/>
                    <w:jc w:val="center"/>
                    <w:rPr>
                      <w:rFonts w:hint="eastAsia" w:ascii="Times New Roman" w:hAnsi="Times New Roman" w:eastAsia="宋体" w:cs="Times New Roman"/>
                      <w:color w:val="auto"/>
                      <w:spacing w:val="0"/>
                      <w:kern w:val="2"/>
                      <w:sz w:val="21"/>
                      <w:szCs w:val="22"/>
                      <w:lang w:val="en-US" w:eastAsia="zh-CN" w:bidi="ar-SA"/>
                    </w:rPr>
                  </w:pPr>
                  <w:r>
                    <w:rPr>
                      <w:rFonts w:hint="eastAsia" w:ascii="Times New Roman" w:hAnsi="Times New Roman" w:eastAsia="宋体" w:cs="Times New Roman"/>
                      <w:color w:val="auto"/>
                      <w:spacing w:val="0"/>
                      <w:kern w:val="2"/>
                      <w:sz w:val="21"/>
                      <w:szCs w:val="22"/>
                      <w:lang w:val="en-US" w:eastAsia="zh-CN" w:bidi="ar-SA"/>
                    </w:rPr>
                    <w:t>香格里拉山庄</w:t>
                  </w:r>
                </w:p>
              </w:tc>
              <w:tc>
                <w:tcPr>
                  <w:tcW w:w="745" w:type="pct"/>
                  <w:shd w:val="clear" w:color="auto" w:fill="FFFFFF"/>
                  <w:vAlign w:val="center"/>
                </w:tcPr>
                <w:p>
                  <w:pPr>
                    <w:jc w:val="center"/>
                    <w:rPr>
                      <w:rFonts w:hint="eastAsia" w:ascii="Times New Roman" w:hAnsi="Times New Roman" w:eastAsia="宋体" w:cs="Times New Roman"/>
                      <w:color w:val="auto"/>
                      <w:spacing w:val="0"/>
                      <w:kern w:val="2"/>
                      <w:sz w:val="21"/>
                      <w:szCs w:val="22"/>
                      <w:lang w:val="en-US" w:eastAsia="zh-CN" w:bidi="ar-SA"/>
                    </w:rPr>
                  </w:pPr>
                  <w:r>
                    <w:rPr>
                      <w:rFonts w:hint="eastAsia" w:ascii="Times New Roman" w:hAnsi="Times New Roman" w:eastAsia="宋体" w:cs="Times New Roman"/>
                      <w:color w:val="auto"/>
                      <w:spacing w:val="0"/>
                      <w:kern w:val="2"/>
                      <w:sz w:val="21"/>
                      <w:szCs w:val="22"/>
                      <w:lang w:val="en-US" w:eastAsia="zh-CN" w:bidi="ar-SA"/>
                    </w:rPr>
                    <w:t>119.6426</w:t>
                  </w:r>
                </w:p>
              </w:tc>
              <w:tc>
                <w:tcPr>
                  <w:tcW w:w="631" w:type="pct"/>
                  <w:shd w:val="clear" w:color="auto" w:fill="FFFFFF"/>
                  <w:vAlign w:val="center"/>
                </w:tcPr>
                <w:p>
                  <w:pPr>
                    <w:jc w:val="center"/>
                    <w:rPr>
                      <w:rFonts w:hint="eastAsia" w:ascii="Times New Roman" w:hAnsi="Times New Roman" w:eastAsia="宋体" w:cs="Times New Roman"/>
                      <w:color w:val="auto"/>
                      <w:spacing w:val="0"/>
                      <w:kern w:val="2"/>
                      <w:sz w:val="21"/>
                      <w:szCs w:val="22"/>
                      <w:lang w:val="en-US" w:eastAsia="zh-CN" w:bidi="ar-SA"/>
                    </w:rPr>
                  </w:pPr>
                  <w:r>
                    <w:rPr>
                      <w:rFonts w:hint="eastAsia" w:ascii="Times New Roman" w:hAnsi="Times New Roman" w:eastAsia="宋体" w:cs="Times New Roman"/>
                      <w:color w:val="auto"/>
                      <w:spacing w:val="0"/>
                      <w:kern w:val="2"/>
                      <w:sz w:val="21"/>
                      <w:szCs w:val="22"/>
                      <w:lang w:val="en-US" w:eastAsia="zh-CN" w:bidi="ar-SA"/>
                    </w:rPr>
                    <w:t>31.7560</w:t>
                  </w:r>
                </w:p>
              </w:tc>
              <w:tc>
                <w:tcPr>
                  <w:tcW w:w="469" w:type="pct"/>
                  <w:shd w:val="clear" w:color="auto" w:fill="FFFFFF"/>
                  <w:vAlign w:val="center"/>
                </w:tcPr>
                <w:p>
                  <w:pPr>
                    <w:jc w:val="center"/>
                    <w:rPr>
                      <w:rFonts w:hint="eastAsia" w:ascii="Times New Roman" w:hAnsi="Times New Roman" w:eastAsia="宋体" w:cs="Times New Roman"/>
                      <w:color w:val="auto"/>
                      <w:spacing w:val="0"/>
                      <w:kern w:val="2"/>
                      <w:sz w:val="21"/>
                      <w:szCs w:val="22"/>
                      <w:lang w:val="en-US" w:eastAsia="zh-CN" w:bidi="ar-SA"/>
                    </w:rPr>
                  </w:pPr>
                  <w:r>
                    <w:rPr>
                      <w:rFonts w:hint="eastAsia" w:ascii="Times New Roman" w:hAnsi="Times New Roman" w:eastAsia="宋体" w:cs="Times New Roman"/>
                      <w:color w:val="auto"/>
                      <w:spacing w:val="0"/>
                      <w:kern w:val="2"/>
                      <w:sz w:val="21"/>
                      <w:szCs w:val="22"/>
                      <w:lang w:val="en-US" w:eastAsia="zh-CN" w:bidi="ar-SA"/>
                    </w:rPr>
                    <w:t>居住区</w:t>
                  </w:r>
                </w:p>
              </w:tc>
              <w:tc>
                <w:tcPr>
                  <w:tcW w:w="469" w:type="pct"/>
                  <w:shd w:val="clear" w:color="auto" w:fill="FFFFFF"/>
                  <w:vAlign w:val="center"/>
                </w:tcPr>
                <w:p>
                  <w:pPr>
                    <w:pStyle w:val="50"/>
                    <w:widowControl w:val="0"/>
                    <w:adjustRightInd w:val="0"/>
                    <w:snapToGrid w:val="0"/>
                    <w:spacing w:before="0" w:line="240" w:lineRule="auto"/>
                    <w:ind w:firstLine="0" w:firstLineChars="0"/>
                    <w:jc w:val="center"/>
                    <w:rPr>
                      <w:rFonts w:hint="eastAsia" w:ascii="Times New Roman" w:hAnsi="Times New Roman" w:eastAsia="宋体" w:cs="Times New Roman"/>
                      <w:color w:val="auto"/>
                      <w:spacing w:val="0"/>
                      <w:kern w:val="2"/>
                      <w:sz w:val="21"/>
                      <w:szCs w:val="22"/>
                      <w:lang w:val="en-US" w:eastAsia="zh-CN" w:bidi="ar-SA"/>
                    </w:rPr>
                  </w:pPr>
                  <w:r>
                    <w:rPr>
                      <w:rFonts w:hint="eastAsia" w:ascii="Times New Roman" w:hAnsi="Times New Roman" w:eastAsia="宋体" w:cs="Times New Roman"/>
                      <w:color w:val="auto"/>
                      <w:spacing w:val="0"/>
                      <w:kern w:val="2"/>
                      <w:sz w:val="21"/>
                      <w:szCs w:val="22"/>
                      <w:lang w:val="en-US" w:eastAsia="zh-CN" w:bidi="ar-SA"/>
                    </w:rPr>
                    <w:t>人群</w:t>
                  </w:r>
                </w:p>
              </w:tc>
              <w:tc>
                <w:tcPr>
                  <w:tcW w:w="424" w:type="pct"/>
                  <w:shd w:val="clear" w:color="auto" w:fill="FFFFFF"/>
                  <w:vAlign w:val="center"/>
                </w:tcPr>
                <w:p>
                  <w:pPr>
                    <w:pStyle w:val="50"/>
                    <w:widowControl w:val="0"/>
                    <w:adjustRightInd w:val="0"/>
                    <w:snapToGrid w:val="0"/>
                    <w:spacing w:before="0" w:line="240" w:lineRule="auto"/>
                    <w:ind w:firstLine="0" w:firstLineChars="0"/>
                    <w:jc w:val="center"/>
                    <w:rPr>
                      <w:rFonts w:hint="eastAsia" w:ascii="Times New Roman" w:hAnsi="Times New Roman" w:eastAsia="宋体" w:cs="Times New Roman"/>
                      <w:color w:val="auto"/>
                      <w:spacing w:val="0"/>
                      <w:kern w:val="2"/>
                      <w:sz w:val="21"/>
                      <w:szCs w:val="22"/>
                      <w:lang w:val="en-US" w:eastAsia="zh-CN" w:bidi="ar-SA"/>
                    </w:rPr>
                  </w:pPr>
                  <w:r>
                    <w:rPr>
                      <w:rFonts w:hint="eastAsia" w:ascii="Times New Roman" w:hAnsi="Times New Roman" w:eastAsia="宋体" w:cs="Times New Roman"/>
                      <w:color w:val="auto"/>
                      <w:spacing w:val="0"/>
                      <w:kern w:val="2"/>
                      <w:sz w:val="21"/>
                      <w:szCs w:val="22"/>
                      <w:lang w:val="en-US" w:eastAsia="zh-CN" w:bidi="ar-SA"/>
                    </w:rPr>
                    <w:t>3000</w:t>
                  </w:r>
                </w:p>
              </w:tc>
              <w:tc>
                <w:tcPr>
                  <w:tcW w:w="627" w:type="pct"/>
                  <w:shd w:val="clear" w:color="auto" w:fill="FFFFFF"/>
                  <w:vAlign w:val="center"/>
                </w:tcPr>
                <w:p>
                  <w:pPr>
                    <w:jc w:val="center"/>
                    <w:rPr>
                      <w:rFonts w:hint="eastAsia" w:ascii="Times New Roman" w:hAnsi="Times New Roman" w:eastAsia="宋体" w:cs="Times New Roman"/>
                      <w:color w:val="auto"/>
                      <w:spacing w:val="0"/>
                      <w:kern w:val="2"/>
                      <w:sz w:val="21"/>
                      <w:szCs w:val="22"/>
                      <w:lang w:val="en-US" w:eastAsia="zh-CN" w:bidi="ar-SA"/>
                    </w:rPr>
                  </w:pPr>
                  <w:r>
                    <w:rPr>
                      <w:rFonts w:hint="eastAsia" w:ascii="Times New Roman" w:hAnsi="Times New Roman" w:eastAsia="宋体" w:cs="Times New Roman"/>
                      <w:color w:val="auto"/>
                      <w:spacing w:val="0"/>
                      <w:kern w:val="2"/>
                      <w:sz w:val="21"/>
                      <w:szCs w:val="22"/>
                      <w:lang w:val="en-US" w:eastAsia="zh-CN" w:bidi="ar-SA"/>
                    </w:rPr>
                    <w:t>二类区</w:t>
                  </w:r>
                </w:p>
              </w:tc>
              <w:tc>
                <w:tcPr>
                  <w:tcW w:w="500" w:type="pct"/>
                  <w:shd w:val="clear" w:color="auto" w:fill="FFFFFF"/>
                  <w:vAlign w:val="center"/>
                </w:tcPr>
                <w:p>
                  <w:pPr>
                    <w:widowControl w:val="0"/>
                    <w:adjustRightInd w:val="0"/>
                    <w:snapToGrid w:val="0"/>
                    <w:spacing w:before="0" w:line="240" w:lineRule="auto"/>
                    <w:ind w:firstLine="0" w:firstLineChars="0"/>
                    <w:jc w:val="center"/>
                    <w:rPr>
                      <w:rFonts w:hint="eastAsia" w:ascii="Times New Roman" w:hAnsi="Times New Roman" w:eastAsia="宋体" w:cs="Times New Roman"/>
                      <w:color w:val="auto"/>
                      <w:spacing w:val="0"/>
                      <w:kern w:val="2"/>
                      <w:sz w:val="21"/>
                      <w:szCs w:val="22"/>
                      <w:lang w:val="en-US" w:eastAsia="zh-CN" w:bidi="ar-SA"/>
                    </w:rPr>
                  </w:pPr>
                  <w:r>
                    <w:rPr>
                      <w:rFonts w:hint="eastAsia" w:ascii="Times New Roman" w:hAnsi="Times New Roman" w:cs="Times New Roman"/>
                      <w:color w:val="auto"/>
                      <w:spacing w:val="0"/>
                      <w:kern w:val="2"/>
                      <w:sz w:val="21"/>
                      <w:szCs w:val="22"/>
                      <w:lang w:val="en-US" w:eastAsia="zh-CN" w:bidi="ar-SA"/>
                    </w:rPr>
                    <w:t>E</w:t>
                  </w:r>
                </w:p>
              </w:tc>
              <w:tc>
                <w:tcPr>
                  <w:tcW w:w="577" w:type="pct"/>
                  <w:shd w:val="clear" w:color="auto" w:fill="FFFFFF"/>
                  <w:vAlign w:val="center"/>
                </w:tcPr>
                <w:p>
                  <w:pPr>
                    <w:pStyle w:val="50"/>
                    <w:widowControl w:val="0"/>
                    <w:adjustRightInd w:val="0"/>
                    <w:snapToGrid w:val="0"/>
                    <w:spacing w:before="0" w:line="240" w:lineRule="auto"/>
                    <w:ind w:firstLine="0" w:firstLineChars="0"/>
                    <w:jc w:val="center"/>
                    <w:rPr>
                      <w:rFonts w:hint="default" w:ascii="Times New Roman" w:hAnsi="Times New Roman" w:eastAsia="宋体" w:cs="Times New Roman"/>
                      <w:color w:val="auto"/>
                      <w:spacing w:val="0"/>
                      <w:kern w:val="2"/>
                      <w:sz w:val="21"/>
                      <w:szCs w:val="22"/>
                      <w:lang w:val="en-US" w:eastAsia="zh-CN" w:bidi="ar-SA"/>
                    </w:rPr>
                  </w:pPr>
                  <w:r>
                    <w:rPr>
                      <w:rFonts w:hint="eastAsia" w:ascii="Times New Roman" w:hAnsi="Times New Roman" w:cs="Times New Roman"/>
                      <w:color w:val="auto"/>
                      <w:spacing w:val="0"/>
                      <w:kern w:val="2"/>
                      <w:sz w:val="21"/>
                      <w:szCs w:val="22"/>
                      <w:lang w:val="en-US" w:eastAsia="zh-CN" w:bidi="ar-SA"/>
                    </w:rPr>
                    <w:t>650</w:t>
                  </w:r>
                </w:p>
              </w:tc>
            </w:tr>
            <w:tr>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0" w:type="dxa"/>
                  <w:left w:w="108" w:type="dxa"/>
                  <w:bottom w:w="0" w:type="dxa"/>
                  <w:right w:w="108" w:type="dxa"/>
                </w:tblCellMar>
              </w:tblPrEx>
              <w:trPr>
                <w:trHeight w:val="941" w:hRule="atLeast"/>
                <w:jc w:val="center"/>
              </w:trPr>
              <w:tc>
                <w:tcPr>
                  <w:tcW w:w="554" w:type="pct"/>
                  <w:shd w:val="clear" w:color="auto" w:fill="FFFFFF"/>
                  <w:vAlign w:val="center"/>
                </w:tcPr>
                <w:p>
                  <w:pPr>
                    <w:pStyle w:val="50"/>
                    <w:widowControl w:val="0"/>
                    <w:adjustRightInd w:val="0"/>
                    <w:snapToGrid w:val="0"/>
                    <w:spacing w:before="0" w:line="240" w:lineRule="auto"/>
                    <w:ind w:firstLine="0" w:firstLineChars="0"/>
                    <w:jc w:val="center"/>
                    <w:rPr>
                      <w:rFonts w:hint="eastAsia" w:ascii="Times New Roman" w:hAnsi="Times New Roman" w:eastAsia="宋体" w:cs="Times New Roman"/>
                      <w:color w:val="auto"/>
                      <w:spacing w:val="0"/>
                      <w:kern w:val="2"/>
                      <w:sz w:val="21"/>
                      <w:szCs w:val="22"/>
                      <w:lang w:val="en-US" w:eastAsia="zh-CN" w:bidi="ar-SA"/>
                    </w:rPr>
                  </w:pPr>
                  <w:r>
                    <w:rPr>
                      <w:rFonts w:hint="eastAsia" w:ascii="Times New Roman" w:hAnsi="Times New Roman" w:eastAsia="宋体" w:cs="Times New Roman"/>
                      <w:color w:val="auto"/>
                      <w:spacing w:val="0"/>
                      <w:kern w:val="2"/>
                      <w:sz w:val="21"/>
                      <w:szCs w:val="22"/>
                      <w:lang w:val="en-US" w:eastAsia="zh-CN" w:bidi="ar-SA"/>
                    </w:rPr>
                    <w:t>半岛珑庭</w:t>
                  </w:r>
                </w:p>
              </w:tc>
              <w:tc>
                <w:tcPr>
                  <w:tcW w:w="745" w:type="pct"/>
                  <w:shd w:val="clear" w:color="auto" w:fill="FFFFFF"/>
                  <w:vAlign w:val="center"/>
                </w:tcPr>
                <w:p>
                  <w:pPr>
                    <w:pStyle w:val="50"/>
                    <w:widowControl w:val="0"/>
                    <w:adjustRightInd w:val="0"/>
                    <w:snapToGrid w:val="0"/>
                    <w:spacing w:before="0" w:line="240" w:lineRule="auto"/>
                    <w:ind w:firstLine="0" w:firstLineChars="0"/>
                    <w:jc w:val="center"/>
                    <w:rPr>
                      <w:rFonts w:hint="eastAsia" w:ascii="Times New Roman" w:hAnsi="Times New Roman" w:eastAsia="宋体" w:cs="Times New Roman"/>
                      <w:color w:val="auto"/>
                      <w:spacing w:val="0"/>
                      <w:kern w:val="2"/>
                      <w:sz w:val="21"/>
                      <w:szCs w:val="22"/>
                      <w:lang w:val="en-US" w:eastAsia="zh-CN" w:bidi="ar-SA"/>
                    </w:rPr>
                  </w:pPr>
                  <w:r>
                    <w:rPr>
                      <w:rFonts w:hint="eastAsia" w:ascii="Times New Roman" w:hAnsi="Times New Roman" w:eastAsia="宋体" w:cs="Times New Roman"/>
                      <w:color w:val="auto"/>
                      <w:spacing w:val="0"/>
                      <w:kern w:val="2"/>
                      <w:sz w:val="21"/>
                      <w:szCs w:val="22"/>
                      <w:lang w:val="en-US" w:eastAsia="zh-CN" w:bidi="ar-SA"/>
                    </w:rPr>
                    <w:t>119.6362</w:t>
                  </w:r>
                </w:p>
              </w:tc>
              <w:tc>
                <w:tcPr>
                  <w:tcW w:w="631" w:type="pct"/>
                  <w:shd w:val="clear" w:color="auto" w:fill="FFFFFF"/>
                  <w:vAlign w:val="center"/>
                </w:tcPr>
                <w:p>
                  <w:pPr>
                    <w:pStyle w:val="50"/>
                    <w:widowControl w:val="0"/>
                    <w:adjustRightInd w:val="0"/>
                    <w:snapToGrid w:val="0"/>
                    <w:spacing w:before="0" w:line="240" w:lineRule="auto"/>
                    <w:ind w:firstLine="0" w:firstLineChars="0"/>
                    <w:jc w:val="center"/>
                    <w:rPr>
                      <w:rFonts w:hint="eastAsia" w:ascii="Times New Roman" w:hAnsi="Times New Roman" w:eastAsia="宋体" w:cs="Times New Roman"/>
                      <w:color w:val="auto"/>
                      <w:spacing w:val="0"/>
                      <w:kern w:val="2"/>
                      <w:sz w:val="21"/>
                      <w:szCs w:val="22"/>
                      <w:lang w:val="en-US" w:eastAsia="zh-CN" w:bidi="ar-SA"/>
                    </w:rPr>
                  </w:pPr>
                  <w:r>
                    <w:rPr>
                      <w:rFonts w:hint="eastAsia" w:ascii="Times New Roman" w:hAnsi="Times New Roman" w:eastAsia="宋体" w:cs="Times New Roman"/>
                      <w:color w:val="auto"/>
                      <w:spacing w:val="0"/>
                      <w:kern w:val="2"/>
                      <w:sz w:val="21"/>
                      <w:szCs w:val="22"/>
                      <w:lang w:val="en-US" w:eastAsia="zh-CN" w:bidi="ar-SA"/>
                    </w:rPr>
                    <w:t>31.7542</w:t>
                  </w:r>
                </w:p>
              </w:tc>
              <w:tc>
                <w:tcPr>
                  <w:tcW w:w="469" w:type="pct"/>
                  <w:shd w:val="clear" w:color="auto" w:fill="FFFFFF"/>
                  <w:vAlign w:val="center"/>
                </w:tcPr>
                <w:p>
                  <w:pPr>
                    <w:jc w:val="center"/>
                    <w:rPr>
                      <w:rFonts w:hint="eastAsia" w:ascii="Times New Roman" w:hAnsi="Times New Roman" w:eastAsia="宋体" w:cs="Times New Roman"/>
                      <w:color w:val="auto"/>
                      <w:spacing w:val="0"/>
                      <w:kern w:val="2"/>
                      <w:sz w:val="21"/>
                      <w:szCs w:val="22"/>
                      <w:lang w:val="en-US" w:eastAsia="zh-CN" w:bidi="ar-SA"/>
                    </w:rPr>
                  </w:pPr>
                  <w:r>
                    <w:rPr>
                      <w:rFonts w:hint="eastAsia" w:ascii="Times New Roman" w:hAnsi="Times New Roman" w:eastAsia="宋体" w:cs="Times New Roman"/>
                      <w:color w:val="auto"/>
                      <w:spacing w:val="0"/>
                      <w:kern w:val="2"/>
                      <w:sz w:val="21"/>
                      <w:szCs w:val="22"/>
                      <w:lang w:val="en-US" w:eastAsia="zh-CN" w:bidi="ar-SA"/>
                    </w:rPr>
                    <w:t>居住区</w:t>
                  </w:r>
                </w:p>
              </w:tc>
              <w:tc>
                <w:tcPr>
                  <w:tcW w:w="469" w:type="pct"/>
                  <w:shd w:val="clear" w:color="auto" w:fill="FFFFFF"/>
                  <w:vAlign w:val="center"/>
                </w:tcPr>
                <w:p>
                  <w:pPr>
                    <w:pStyle w:val="50"/>
                    <w:widowControl w:val="0"/>
                    <w:adjustRightInd w:val="0"/>
                    <w:snapToGrid w:val="0"/>
                    <w:spacing w:before="0" w:line="240" w:lineRule="auto"/>
                    <w:ind w:firstLine="0" w:firstLineChars="0"/>
                    <w:jc w:val="center"/>
                    <w:rPr>
                      <w:rFonts w:hint="eastAsia" w:ascii="Times New Roman" w:hAnsi="Times New Roman" w:eastAsia="宋体" w:cs="Times New Roman"/>
                      <w:color w:val="auto"/>
                      <w:spacing w:val="0"/>
                      <w:kern w:val="2"/>
                      <w:sz w:val="21"/>
                      <w:szCs w:val="22"/>
                      <w:lang w:val="en-US" w:eastAsia="zh-CN" w:bidi="ar-SA"/>
                    </w:rPr>
                  </w:pPr>
                  <w:r>
                    <w:rPr>
                      <w:rFonts w:hint="eastAsia" w:ascii="Times New Roman" w:hAnsi="Times New Roman" w:eastAsia="宋体" w:cs="Times New Roman"/>
                      <w:color w:val="auto"/>
                      <w:spacing w:val="0"/>
                      <w:kern w:val="2"/>
                      <w:sz w:val="21"/>
                      <w:szCs w:val="22"/>
                      <w:lang w:val="en-US" w:eastAsia="zh-CN" w:bidi="ar-SA"/>
                    </w:rPr>
                    <w:t>人群</w:t>
                  </w:r>
                </w:p>
              </w:tc>
              <w:tc>
                <w:tcPr>
                  <w:tcW w:w="424" w:type="pct"/>
                  <w:shd w:val="clear" w:color="auto" w:fill="FFFFFF"/>
                  <w:vAlign w:val="center"/>
                </w:tcPr>
                <w:p>
                  <w:pPr>
                    <w:pStyle w:val="50"/>
                    <w:widowControl w:val="0"/>
                    <w:adjustRightInd w:val="0"/>
                    <w:snapToGrid w:val="0"/>
                    <w:spacing w:before="0" w:line="240" w:lineRule="auto"/>
                    <w:ind w:firstLine="0" w:firstLineChars="0"/>
                    <w:jc w:val="center"/>
                    <w:rPr>
                      <w:rFonts w:hint="eastAsia" w:ascii="Times New Roman" w:hAnsi="Times New Roman" w:eastAsia="宋体" w:cs="Times New Roman"/>
                      <w:color w:val="auto"/>
                      <w:spacing w:val="0"/>
                      <w:kern w:val="2"/>
                      <w:sz w:val="21"/>
                      <w:szCs w:val="22"/>
                      <w:lang w:val="en-US" w:eastAsia="zh-CN" w:bidi="ar-SA"/>
                    </w:rPr>
                  </w:pPr>
                  <w:r>
                    <w:rPr>
                      <w:rFonts w:hint="eastAsia" w:ascii="Times New Roman" w:hAnsi="Times New Roman" w:eastAsia="宋体" w:cs="Times New Roman"/>
                      <w:color w:val="auto"/>
                      <w:spacing w:val="0"/>
                      <w:kern w:val="2"/>
                      <w:sz w:val="21"/>
                      <w:szCs w:val="22"/>
                      <w:lang w:val="en-US" w:eastAsia="zh-CN" w:bidi="ar-SA"/>
                    </w:rPr>
                    <w:t>3000</w:t>
                  </w:r>
                </w:p>
              </w:tc>
              <w:tc>
                <w:tcPr>
                  <w:tcW w:w="627" w:type="pct"/>
                  <w:shd w:val="clear" w:color="auto" w:fill="FFFFFF"/>
                  <w:vAlign w:val="center"/>
                </w:tcPr>
                <w:p>
                  <w:pPr>
                    <w:jc w:val="center"/>
                    <w:rPr>
                      <w:rFonts w:hint="eastAsia" w:ascii="Times New Roman" w:hAnsi="Times New Roman" w:eastAsia="宋体" w:cs="Times New Roman"/>
                      <w:color w:val="auto"/>
                      <w:spacing w:val="0"/>
                      <w:kern w:val="2"/>
                      <w:sz w:val="21"/>
                      <w:szCs w:val="22"/>
                      <w:lang w:val="en-US" w:eastAsia="zh-CN" w:bidi="ar-SA"/>
                    </w:rPr>
                  </w:pPr>
                  <w:r>
                    <w:rPr>
                      <w:rFonts w:hint="eastAsia" w:ascii="Times New Roman" w:hAnsi="Times New Roman" w:eastAsia="宋体" w:cs="Times New Roman"/>
                      <w:color w:val="auto"/>
                      <w:spacing w:val="0"/>
                      <w:kern w:val="2"/>
                      <w:sz w:val="21"/>
                      <w:szCs w:val="22"/>
                      <w:lang w:val="en-US" w:eastAsia="zh-CN" w:bidi="ar-SA"/>
                    </w:rPr>
                    <w:t>二类区</w:t>
                  </w:r>
                </w:p>
              </w:tc>
              <w:tc>
                <w:tcPr>
                  <w:tcW w:w="500" w:type="pct"/>
                  <w:shd w:val="clear" w:color="auto" w:fill="FFFFFF"/>
                  <w:vAlign w:val="center"/>
                </w:tcPr>
                <w:p>
                  <w:pPr>
                    <w:widowControl w:val="0"/>
                    <w:adjustRightInd w:val="0"/>
                    <w:snapToGrid w:val="0"/>
                    <w:spacing w:before="0" w:line="240" w:lineRule="auto"/>
                    <w:ind w:firstLine="0" w:firstLineChars="0"/>
                    <w:jc w:val="center"/>
                    <w:rPr>
                      <w:rFonts w:hint="eastAsia" w:ascii="Times New Roman" w:hAnsi="Times New Roman" w:eastAsia="宋体" w:cs="Times New Roman"/>
                      <w:color w:val="auto"/>
                      <w:spacing w:val="0"/>
                      <w:kern w:val="2"/>
                      <w:sz w:val="21"/>
                      <w:szCs w:val="22"/>
                      <w:lang w:val="en-US" w:eastAsia="zh-CN" w:bidi="ar-SA"/>
                    </w:rPr>
                  </w:pPr>
                  <w:r>
                    <w:rPr>
                      <w:rFonts w:hint="eastAsia" w:ascii="Times New Roman" w:hAnsi="Times New Roman" w:cs="Times New Roman"/>
                      <w:color w:val="auto"/>
                      <w:spacing w:val="0"/>
                      <w:kern w:val="2"/>
                      <w:sz w:val="21"/>
                      <w:szCs w:val="22"/>
                      <w:lang w:val="en-US" w:eastAsia="zh-CN" w:bidi="ar-SA"/>
                    </w:rPr>
                    <w:t>E</w:t>
                  </w:r>
                </w:p>
              </w:tc>
              <w:tc>
                <w:tcPr>
                  <w:tcW w:w="577" w:type="pct"/>
                  <w:shd w:val="clear" w:color="auto" w:fill="FFFFFF"/>
                  <w:vAlign w:val="center"/>
                </w:tcPr>
                <w:p>
                  <w:pPr>
                    <w:pStyle w:val="50"/>
                    <w:widowControl w:val="0"/>
                    <w:adjustRightInd w:val="0"/>
                    <w:snapToGrid w:val="0"/>
                    <w:spacing w:before="0" w:line="240" w:lineRule="auto"/>
                    <w:ind w:firstLine="0" w:firstLineChars="0"/>
                    <w:jc w:val="center"/>
                    <w:rPr>
                      <w:rFonts w:hint="default" w:ascii="Times New Roman" w:hAnsi="Times New Roman" w:eastAsia="宋体" w:cs="Times New Roman"/>
                      <w:color w:val="auto"/>
                      <w:spacing w:val="0"/>
                      <w:kern w:val="2"/>
                      <w:sz w:val="21"/>
                      <w:szCs w:val="22"/>
                      <w:lang w:val="en-US" w:eastAsia="zh-CN" w:bidi="ar-SA"/>
                    </w:rPr>
                  </w:pPr>
                  <w:r>
                    <w:rPr>
                      <w:rFonts w:hint="eastAsia" w:ascii="Times New Roman" w:hAnsi="Times New Roman" w:cs="Times New Roman"/>
                      <w:color w:val="auto"/>
                      <w:spacing w:val="0"/>
                      <w:kern w:val="2"/>
                      <w:sz w:val="21"/>
                      <w:szCs w:val="22"/>
                      <w:lang w:val="en-US" w:eastAsia="zh-CN" w:bidi="ar-SA"/>
                    </w:rPr>
                    <w:t>100</w:t>
                  </w:r>
                </w:p>
              </w:tc>
            </w:tr>
            <w:tr>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0" w:type="dxa"/>
                  <w:left w:w="108" w:type="dxa"/>
                  <w:bottom w:w="0" w:type="dxa"/>
                  <w:right w:w="108" w:type="dxa"/>
                </w:tblCellMar>
              </w:tblPrEx>
              <w:trPr>
                <w:trHeight w:val="717" w:hRule="atLeast"/>
                <w:jc w:val="center"/>
              </w:trPr>
              <w:tc>
                <w:tcPr>
                  <w:tcW w:w="554" w:type="pct"/>
                  <w:shd w:val="clear" w:color="auto" w:fill="FFFFFF"/>
                  <w:vAlign w:val="center"/>
                </w:tcPr>
                <w:p>
                  <w:pPr>
                    <w:pStyle w:val="50"/>
                    <w:widowControl w:val="0"/>
                    <w:adjustRightInd w:val="0"/>
                    <w:snapToGrid w:val="0"/>
                    <w:spacing w:before="0" w:line="240" w:lineRule="auto"/>
                    <w:ind w:firstLine="0"/>
                    <w:jc w:val="center"/>
                    <w:rPr>
                      <w:rFonts w:hint="eastAsia" w:ascii="Times New Roman" w:hAnsi="Times New Roman" w:eastAsia="宋体"/>
                      <w:color w:val="auto"/>
                      <w:sz w:val="21"/>
                      <w:szCs w:val="21"/>
                      <w:lang w:eastAsia="zh-CN"/>
                    </w:rPr>
                  </w:pPr>
                  <w:r>
                    <w:rPr>
                      <w:rFonts w:hint="eastAsia" w:ascii="Times New Roman" w:hAnsi="Times New Roman"/>
                      <w:color w:val="auto"/>
                      <w:sz w:val="21"/>
                      <w:szCs w:val="21"/>
                      <w:lang w:eastAsia="zh-CN"/>
                    </w:rPr>
                    <w:t>中塘社区</w:t>
                  </w:r>
                </w:p>
              </w:tc>
              <w:tc>
                <w:tcPr>
                  <w:tcW w:w="745" w:type="pct"/>
                  <w:shd w:val="clear" w:color="auto" w:fill="FFFFFF"/>
                  <w:vAlign w:val="center"/>
                </w:tcPr>
                <w:p>
                  <w:pPr>
                    <w:jc w:val="center"/>
                    <w:rPr>
                      <w:rFonts w:hint="eastAsia" w:ascii="Times New Roman" w:hAnsi="Times New Roman" w:eastAsia="宋体" w:cs="Times New Roman"/>
                      <w:color w:val="auto"/>
                      <w:kern w:val="2"/>
                      <w:sz w:val="21"/>
                      <w:szCs w:val="21"/>
                      <w:lang w:val="en-US" w:eastAsia="zh-CN" w:bidi="ar-SA"/>
                    </w:rPr>
                  </w:pPr>
                  <w:r>
                    <w:rPr>
                      <w:rFonts w:hint="eastAsia"/>
                      <w:color w:val="auto"/>
                      <w:szCs w:val="21"/>
                    </w:rPr>
                    <w:t>119.6284</w:t>
                  </w:r>
                </w:p>
              </w:tc>
              <w:tc>
                <w:tcPr>
                  <w:tcW w:w="631" w:type="pct"/>
                  <w:shd w:val="clear" w:color="auto" w:fill="FFFFFF"/>
                  <w:vAlign w:val="center"/>
                </w:tcPr>
                <w:p>
                  <w:pPr>
                    <w:jc w:val="center"/>
                    <w:rPr>
                      <w:rFonts w:hint="eastAsia" w:ascii="Times New Roman" w:hAnsi="Times New Roman" w:eastAsia="宋体" w:cs="Times New Roman"/>
                      <w:color w:val="auto"/>
                      <w:kern w:val="2"/>
                      <w:sz w:val="21"/>
                      <w:szCs w:val="21"/>
                      <w:lang w:val="en-US" w:eastAsia="zh-CN" w:bidi="ar-SA"/>
                    </w:rPr>
                  </w:pPr>
                  <w:r>
                    <w:rPr>
                      <w:rFonts w:hint="eastAsia"/>
                      <w:color w:val="auto"/>
                      <w:szCs w:val="21"/>
                    </w:rPr>
                    <w:t>31.7607</w:t>
                  </w:r>
                </w:p>
              </w:tc>
              <w:tc>
                <w:tcPr>
                  <w:tcW w:w="469" w:type="pct"/>
                  <w:shd w:val="clear" w:color="auto" w:fill="FFFFFF"/>
                  <w:vAlign w:val="center"/>
                </w:tcPr>
                <w:p>
                  <w:pPr>
                    <w:jc w:val="center"/>
                    <w:rPr>
                      <w:color w:val="auto"/>
                      <w:szCs w:val="21"/>
                    </w:rPr>
                  </w:pPr>
                  <w:r>
                    <w:rPr>
                      <w:rFonts w:hint="eastAsia" w:ascii="Times New Roman" w:hAnsi="Times New Roman" w:eastAsia="宋体" w:cs="Times New Roman"/>
                      <w:color w:val="auto"/>
                      <w:spacing w:val="0"/>
                      <w:kern w:val="2"/>
                      <w:sz w:val="21"/>
                      <w:szCs w:val="22"/>
                      <w:lang w:val="en-US" w:eastAsia="zh-CN" w:bidi="ar-SA"/>
                    </w:rPr>
                    <w:t>居住区</w:t>
                  </w:r>
                </w:p>
              </w:tc>
              <w:tc>
                <w:tcPr>
                  <w:tcW w:w="469" w:type="pct"/>
                  <w:shd w:val="clear" w:color="auto" w:fill="FFFFFF"/>
                  <w:vAlign w:val="center"/>
                </w:tcPr>
                <w:p>
                  <w:pPr>
                    <w:pStyle w:val="50"/>
                    <w:widowControl w:val="0"/>
                    <w:adjustRightInd w:val="0"/>
                    <w:snapToGrid w:val="0"/>
                    <w:spacing w:before="0" w:line="240" w:lineRule="auto"/>
                    <w:ind w:firstLine="0" w:firstLineChars="0"/>
                    <w:jc w:val="center"/>
                    <w:rPr>
                      <w:rFonts w:ascii="Times New Roman" w:hAnsi="Times New Roman"/>
                      <w:color w:val="auto"/>
                      <w:sz w:val="21"/>
                      <w:szCs w:val="21"/>
                    </w:rPr>
                  </w:pPr>
                  <w:r>
                    <w:rPr>
                      <w:rFonts w:hint="eastAsia" w:ascii="Times New Roman" w:hAnsi="Times New Roman" w:eastAsia="宋体" w:cs="Times New Roman"/>
                      <w:color w:val="auto"/>
                      <w:spacing w:val="0"/>
                      <w:kern w:val="2"/>
                      <w:sz w:val="21"/>
                      <w:szCs w:val="22"/>
                      <w:lang w:val="en-US" w:eastAsia="zh-CN" w:bidi="ar-SA"/>
                    </w:rPr>
                    <w:t>人群</w:t>
                  </w:r>
                </w:p>
              </w:tc>
              <w:tc>
                <w:tcPr>
                  <w:tcW w:w="424" w:type="pct"/>
                  <w:shd w:val="clear" w:color="auto" w:fill="FFFFFF"/>
                  <w:vAlign w:val="center"/>
                </w:tcPr>
                <w:p>
                  <w:pPr>
                    <w:pStyle w:val="50"/>
                    <w:widowControl w:val="0"/>
                    <w:adjustRightInd w:val="0"/>
                    <w:snapToGrid w:val="0"/>
                    <w:spacing w:before="0" w:line="240" w:lineRule="auto"/>
                    <w:ind w:firstLine="0"/>
                    <w:jc w:val="center"/>
                    <w:rPr>
                      <w:rFonts w:hint="default" w:ascii="Times New Roman" w:hAnsi="Times New Roman" w:eastAsia="宋体"/>
                      <w:color w:val="auto"/>
                      <w:sz w:val="21"/>
                      <w:szCs w:val="21"/>
                      <w:lang w:val="en-US" w:eastAsia="zh-CN"/>
                    </w:rPr>
                  </w:pPr>
                  <w:r>
                    <w:rPr>
                      <w:rFonts w:hint="eastAsia" w:ascii="Times New Roman" w:hAnsi="Times New Roman"/>
                      <w:color w:val="auto"/>
                      <w:sz w:val="21"/>
                      <w:szCs w:val="21"/>
                      <w:lang w:val="en-US" w:eastAsia="zh-CN"/>
                    </w:rPr>
                    <w:t>2000</w:t>
                  </w:r>
                </w:p>
              </w:tc>
              <w:tc>
                <w:tcPr>
                  <w:tcW w:w="627" w:type="pct"/>
                  <w:shd w:val="clear" w:color="auto" w:fill="FFFFFF"/>
                  <w:vAlign w:val="center"/>
                </w:tcPr>
                <w:p>
                  <w:pPr>
                    <w:jc w:val="center"/>
                    <w:rPr>
                      <w:color w:val="auto"/>
                      <w:szCs w:val="21"/>
                    </w:rPr>
                  </w:pPr>
                  <w:r>
                    <w:rPr>
                      <w:rFonts w:hint="eastAsia" w:ascii="Times New Roman" w:hAnsi="Times New Roman" w:eastAsia="宋体" w:cs="Times New Roman"/>
                      <w:color w:val="auto"/>
                      <w:spacing w:val="0"/>
                      <w:kern w:val="2"/>
                      <w:sz w:val="21"/>
                      <w:szCs w:val="22"/>
                      <w:lang w:val="en-US" w:eastAsia="zh-CN" w:bidi="ar-SA"/>
                    </w:rPr>
                    <w:t>二类区</w:t>
                  </w:r>
                </w:p>
              </w:tc>
              <w:tc>
                <w:tcPr>
                  <w:tcW w:w="500" w:type="pct"/>
                  <w:shd w:val="clear" w:color="auto" w:fill="FFFFFF"/>
                  <w:vAlign w:val="center"/>
                </w:tcPr>
                <w:p>
                  <w:pPr>
                    <w:pStyle w:val="50"/>
                    <w:widowControl w:val="0"/>
                    <w:adjustRightInd w:val="0"/>
                    <w:snapToGrid w:val="0"/>
                    <w:spacing w:before="0" w:line="240" w:lineRule="auto"/>
                    <w:ind w:firstLine="0"/>
                    <w:jc w:val="center"/>
                    <w:rPr>
                      <w:rFonts w:hint="default" w:ascii="Times New Roman" w:hAnsi="Times New Roman" w:eastAsia="宋体"/>
                      <w:color w:val="auto"/>
                      <w:sz w:val="21"/>
                      <w:szCs w:val="21"/>
                      <w:lang w:val="en-US" w:eastAsia="zh-CN"/>
                    </w:rPr>
                  </w:pPr>
                  <w:r>
                    <w:rPr>
                      <w:rFonts w:hint="eastAsia" w:ascii="Times New Roman" w:hAnsi="Times New Roman"/>
                      <w:color w:val="auto"/>
                      <w:sz w:val="21"/>
                      <w:szCs w:val="21"/>
                      <w:lang w:val="en-US" w:eastAsia="zh-CN"/>
                    </w:rPr>
                    <w:t>NW</w:t>
                  </w:r>
                </w:p>
              </w:tc>
              <w:tc>
                <w:tcPr>
                  <w:tcW w:w="577" w:type="pct"/>
                  <w:shd w:val="clear" w:color="auto" w:fill="FFFFFF"/>
                  <w:vAlign w:val="center"/>
                </w:tcPr>
                <w:p>
                  <w:pPr>
                    <w:pStyle w:val="50"/>
                    <w:widowControl w:val="0"/>
                    <w:adjustRightInd w:val="0"/>
                    <w:snapToGrid w:val="0"/>
                    <w:spacing w:before="0" w:line="240" w:lineRule="auto"/>
                    <w:ind w:firstLine="0"/>
                    <w:jc w:val="center"/>
                    <w:rPr>
                      <w:rFonts w:hint="default" w:ascii="Times New Roman" w:hAnsi="Times New Roman" w:eastAsia="宋体"/>
                      <w:color w:val="auto"/>
                      <w:sz w:val="21"/>
                      <w:szCs w:val="21"/>
                      <w:lang w:val="en-US" w:eastAsia="zh-CN"/>
                    </w:rPr>
                  </w:pPr>
                  <w:r>
                    <w:rPr>
                      <w:rFonts w:hint="eastAsia" w:ascii="Times New Roman" w:hAnsi="Times New Roman"/>
                      <w:color w:val="auto"/>
                      <w:sz w:val="21"/>
                      <w:szCs w:val="21"/>
                      <w:lang w:val="en-US" w:eastAsia="zh-CN"/>
                    </w:rPr>
                    <w:t>530</w:t>
                  </w:r>
                </w:p>
              </w:tc>
            </w:tr>
            <w:tr>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0" w:type="dxa"/>
                  <w:left w:w="108" w:type="dxa"/>
                  <w:bottom w:w="0" w:type="dxa"/>
                  <w:right w:w="108" w:type="dxa"/>
                </w:tblCellMar>
              </w:tblPrEx>
              <w:trPr>
                <w:trHeight w:val="717" w:hRule="atLeast"/>
                <w:jc w:val="center"/>
              </w:trPr>
              <w:tc>
                <w:tcPr>
                  <w:tcW w:w="554" w:type="pct"/>
                  <w:shd w:val="clear" w:color="auto" w:fill="FFFFFF"/>
                  <w:vAlign w:val="center"/>
                </w:tcPr>
                <w:p>
                  <w:pPr>
                    <w:pStyle w:val="50"/>
                    <w:widowControl w:val="0"/>
                    <w:adjustRightInd w:val="0"/>
                    <w:snapToGrid w:val="0"/>
                    <w:spacing w:before="0" w:line="240" w:lineRule="auto"/>
                    <w:ind w:firstLine="0" w:firstLineChars="0"/>
                    <w:jc w:val="center"/>
                    <w:rPr>
                      <w:rFonts w:hint="eastAsia" w:ascii="Times New Roman" w:hAnsi="Times New Roman" w:eastAsia="宋体" w:cs="Times New Roman"/>
                      <w:color w:val="auto"/>
                      <w:spacing w:val="15"/>
                      <w:kern w:val="0"/>
                      <w:sz w:val="21"/>
                      <w:szCs w:val="21"/>
                      <w:lang w:val="en-US" w:eastAsia="zh-CN" w:bidi="ar-SA"/>
                    </w:rPr>
                  </w:pPr>
                  <w:r>
                    <w:rPr>
                      <w:rFonts w:hint="eastAsia" w:ascii="Times New Roman" w:hAnsi="Times New Roman"/>
                      <w:color w:val="auto"/>
                      <w:sz w:val="21"/>
                      <w:szCs w:val="21"/>
                      <w:lang w:eastAsia="zh-CN"/>
                    </w:rPr>
                    <w:t>蔷薇苑</w:t>
                  </w:r>
                </w:p>
              </w:tc>
              <w:tc>
                <w:tcPr>
                  <w:tcW w:w="745" w:type="pct"/>
                  <w:shd w:val="clear" w:color="auto" w:fill="FFFFFF"/>
                  <w:vAlign w:val="center"/>
                </w:tcPr>
                <w:p>
                  <w:pPr>
                    <w:pStyle w:val="50"/>
                    <w:widowControl w:val="0"/>
                    <w:adjustRightInd w:val="0"/>
                    <w:snapToGrid w:val="0"/>
                    <w:spacing w:before="0" w:line="240" w:lineRule="auto"/>
                    <w:ind w:firstLine="0" w:firstLineChars="0"/>
                    <w:jc w:val="center"/>
                    <w:rPr>
                      <w:rFonts w:hint="eastAsia" w:ascii="Times New Roman" w:hAnsi="Times New Roman" w:eastAsia="宋体" w:cs="Times New Roman"/>
                      <w:color w:val="auto"/>
                      <w:spacing w:val="15"/>
                      <w:kern w:val="0"/>
                      <w:sz w:val="21"/>
                      <w:szCs w:val="21"/>
                      <w:lang w:val="en-US" w:eastAsia="zh-CN" w:bidi="ar-SA"/>
                    </w:rPr>
                  </w:pPr>
                  <w:r>
                    <w:rPr>
                      <w:rFonts w:hint="eastAsia" w:ascii="Times New Roman" w:hAnsi="Times New Roman"/>
                      <w:color w:val="auto"/>
                      <w:sz w:val="21"/>
                      <w:szCs w:val="21"/>
                    </w:rPr>
                    <w:t>119.62</w:t>
                  </w:r>
                  <w:r>
                    <w:rPr>
                      <w:rFonts w:hint="eastAsia" w:ascii="Times New Roman" w:hAnsi="Times New Roman"/>
                      <w:color w:val="auto"/>
                      <w:sz w:val="21"/>
                      <w:szCs w:val="21"/>
                      <w:lang w:val="en-US" w:eastAsia="zh-CN"/>
                    </w:rPr>
                    <w:t>25</w:t>
                  </w:r>
                </w:p>
              </w:tc>
              <w:tc>
                <w:tcPr>
                  <w:tcW w:w="631" w:type="pct"/>
                  <w:shd w:val="clear" w:color="auto" w:fill="FFFFFF"/>
                  <w:vAlign w:val="center"/>
                </w:tcPr>
                <w:p>
                  <w:pPr>
                    <w:pStyle w:val="50"/>
                    <w:widowControl w:val="0"/>
                    <w:adjustRightInd w:val="0"/>
                    <w:snapToGrid w:val="0"/>
                    <w:spacing w:before="0" w:line="240" w:lineRule="auto"/>
                    <w:ind w:firstLine="0" w:firstLineChars="0"/>
                    <w:jc w:val="center"/>
                    <w:rPr>
                      <w:rFonts w:hint="eastAsia" w:ascii="Times New Roman" w:hAnsi="Times New Roman" w:eastAsia="宋体" w:cs="Times New Roman"/>
                      <w:color w:val="auto"/>
                      <w:spacing w:val="15"/>
                      <w:kern w:val="0"/>
                      <w:sz w:val="21"/>
                      <w:szCs w:val="21"/>
                      <w:lang w:val="en-US" w:eastAsia="zh-CN" w:bidi="ar-SA"/>
                    </w:rPr>
                  </w:pPr>
                  <w:r>
                    <w:rPr>
                      <w:rFonts w:hint="eastAsia" w:ascii="Times New Roman" w:hAnsi="Times New Roman"/>
                      <w:color w:val="auto"/>
                      <w:sz w:val="21"/>
                      <w:szCs w:val="21"/>
                    </w:rPr>
                    <w:t>31</w:t>
                  </w:r>
                  <w:r>
                    <w:rPr>
                      <w:rFonts w:hint="eastAsia" w:ascii="Times New Roman" w:hAnsi="Times New Roman"/>
                      <w:color w:val="auto"/>
                      <w:sz w:val="21"/>
                      <w:szCs w:val="21"/>
                      <w:lang w:val="en-US" w:eastAsia="zh-CN"/>
                    </w:rPr>
                    <w:t>.7583</w:t>
                  </w:r>
                </w:p>
              </w:tc>
              <w:tc>
                <w:tcPr>
                  <w:tcW w:w="469" w:type="pct"/>
                  <w:shd w:val="clear" w:color="auto" w:fill="FFFFFF"/>
                  <w:vAlign w:val="center"/>
                </w:tcPr>
                <w:p>
                  <w:pPr>
                    <w:jc w:val="center"/>
                    <w:rPr>
                      <w:rFonts w:ascii="Times New Roman" w:hAnsi="Times New Roman" w:eastAsia="宋体" w:cs="Times New Roman"/>
                      <w:color w:val="auto"/>
                      <w:kern w:val="2"/>
                      <w:sz w:val="21"/>
                      <w:szCs w:val="21"/>
                      <w:lang w:val="en-US" w:eastAsia="zh-CN" w:bidi="ar-SA"/>
                    </w:rPr>
                  </w:pPr>
                  <w:r>
                    <w:rPr>
                      <w:color w:val="auto"/>
                      <w:szCs w:val="21"/>
                    </w:rPr>
                    <w:t>居住区</w:t>
                  </w:r>
                </w:p>
              </w:tc>
              <w:tc>
                <w:tcPr>
                  <w:tcW w:w="469" w:type="pct"/>
                  <w:shd w:val="clear" w:color="auto" w:fill="FFFFFF"/>
                  <w:vAlign w:val="center"/>
                </w:tcPr>
                <w:p>
                  <w:pPr>
                    <w:pStyle w:val="50"/>
                    <w:widowControl w:val="0"/>
                    <w:adjustRightInd w:val="0"/>
                    <w:snapToGrid w:val="0"/>
                    <w:spacing w:before="0" w:line="240" w:lineRule="auto"/>
                    <w:ind w:firstLine="0" w:firstLineChars="0"/>
                    <w:jc w:val="center"/>
                    <w:rPr>
                      <w:rFonts w:ascii="Times New Roman" w:hAnsi="Times New Roman" w:eastAsia="宋体" w:cs="Times New Roman"/>
                      <w:color w:val="auto"/>
                      <w:spacing w:val="15"/>
                      <w:kern w:val="0"/>
                      <w:sz w:val="21"/>
                      <w:szCs w:val="21"/>
                      <w:lang w:val="en-US" w:eastAsia="zh-CN" w:bidi="ar-SA"/>
                    </w:rPr>
                  </w:pPr>
                  <w:r>
                    <w:rPr>
                      <w:rFonts w:ascii="Times New Roman" w:hAnsi="Times New Roman"/>
                      <w:color w:val="auto"/>
                      <w:sz w:val="21"/>
                      <w:szCs w:val="21"/>
                    </w:rPr>
                    <w:t>人群</w:t>
                  </w:r>
                </w:p>
              </w:tc>
              <w:tc>
                <w:tcPr>
                  <w:tcW w:w="424" w:type="pct"/>
                  <w:shd w:val="clear" w:color="auto" w:fill="FFFFFF"/>
                  <w:vAlign w:val="center"/>
                </w:tcPr>
                <w:p>
                  <w:pPr>
                    <w:pStyle w:val="50"/>
                    <w:widowControl w:val="0"/>
                    <w:adjustRightInd w:val="0"/>
                    <w:snapToGrid w:val="0"/>
                    <w:spacing w:before="0" w:line="240" w:lineRule="auto"/>
                    <w:ind w:firstLine="0" w:firstLineChars="0"/>
                    <w:jc w:val="center"/>
                    <w:rPr>
                      <w:rFonts w:hint="eastAsia" w:ascii="Times New Roman" w:hAnsi="Times New Roman" w:eastAsia="宋体" w:cs="Times New Roman"/>
                      <w:color w:val="auto"/>
                      <w:spacing w:val="15"/>
                      <w:kern w:val="0"/>
                      <w:sz w:val="21"/>
                      <w:szCs w:val="21"/>
                      <w:lang w:val="en-US" w:eastAsia="zh-CN" w:bidi="ar-SA"/>
                    </w:rPr>
                  </w:pPr>
                  <w:r>
                    <w:rPr>
                      <w:rFonts w:hint="eastAsia" w:ascii="Times New Roman" w:hAnsi="Times New Roman"/>
                      <w:color w:val="auto"/>
                      <w:sz w:val="21"/>
                      <w:szCs w:val="21"/>
                      <w:lang w:val="en-US" w:eastAsia="zh-CN"/>
                    </w:rPr>
                    <w:t>3000</w:t>
                  </w:r>
                </w:p>
              </w:tc>
              <w:tc>
                <w:tcPr>
                  <w:tcW w:w="627" w:type="pct"/>
                  <w:shd w:val="clear" w:color="auto" w:fill="FFFFFF"/>
                  <w:vAlign w:val="center"/>
                </w:tcPr>
                <w:p>
                  <w:pPr>
                    <w:jc w:val="center"/>
                    <w:rPr>
                      <w:rFonts w:ascii="Times New Roman" w:hAnsi="Times New Roman" w:eastAsia="宋体" w:cs="Times New Roman"/>
                      <w:color w:val="auto"/>
                      <w:kern w:val="2"/>
                      <w:sz w:val="21"/>
                      <w:szCs w:val="21"/>
                      <w:lang w:val="en-US" w:eastAsia="zh-CN" w:bidi="ar-SA"/>
                    </w:rPr>
                  </w:pPr>
                  <w:r>
                    <w:rPr>
                      <w:color w:val="auto"/>
                      <w:szCs w:val="21"/>
                    </w:rPr>
                    <w:t>二类区</w:t>
                  </w:r>
                </w:p>
              </w:tc>
              <w:tc>
                <w:tcPr>
                  <w:tcW w:w="500" w:type="pct"/>
                  <w:shd w:val="clear" w:color="auto" w:fill="FFFFFF"/>
                  <w:vAlign w:val="center"/>
                </w:tcPr>
                <w:p>
                  <w:pPr>
                    <w:pStyle w:val="50"/>
                    <w:widowControl w:val="0"/>
                    <w:adjustRightInd w:val="0"/>
                    <w:snapToGrid w:val="0"/>
                    <w:spacing w:before="0" w:line="240" w:lineRule="auto"/>
                    <w:ind w:firstLine="0" w:firstLineChars="0"/>
                    <w:jc w:val="center"/>
                    <w:rPr>
                      <w:rFonts w:hint="eastAsia" w:ascii="Times New Roman" w:hAnsi="Times New Roman" w:eastAsia="宋体" w:cs="Times New Roman"/>
                      <w:color w:val="auto"/>
                      <w:spacing w:val="15"/>
                      <w:kern w:val="0"/>
                      <w:sz w:val="21"/>
                      <w:szCs w:val="21"/>
                      <w:lang w:val="en-US" w:eastAsia="zh-CN" w:bidi="ar-SA"/>
                    </w:rPr>
                  </w:pPr>
                  <w:r>
                    <w:rPr>
                      <w:rFonts w:hint="eastAsia" w:ascii="Times New Roman" w:hAnsi="Times New Roman"/>
                      <w:color w:val="auto"/>
                      <w:sz w:val="21"/>
                      <w:szCs w:val="21"/>
                      <w:lang w:val="en-US" w:eastAsia="zh-CN"/>
                    </w:rPr>
                    <w:t>NW</w:t>
                  </w:r>
                </w:p>
              </w:tc>
              <w:tc>
                <w:tcPr>
                  <w:tcW w:w="577" w:type="pct"/>
                  <w:shd w:val="clear" w:color="auto" w:fill="FFFFFF"/>
                  <w:vAlign w:val="center"/>
                </w:tcPr>
                <w:p>
                  <w:pPr>
                    <w:pStyle w:val="50"/>
                    <w:widowControl w:val="0"/>
                    <w:adjustRightInd w:val="0"/>
                    <w:snapToGrid w:val="0"/>
                    <w:spacing w:before="0" w:line="240" w:lineRule="auto"/>
                    <w:ind w:firstLine="0"/>
                    <w:jc w:val="center"/>
                    <w:rPr>
                      <w:rFonts w:hint="default" w:ascii="Times New Roman" w:hAnsi="Times New Roman" w:eastAsia="宋体"/>
                      <w:color w:val="auto"/>
                      <w:sz w:val="21"/>
                      <w:szCs w:val="21"/>
                      <w:lang w:val="en-US" w:eastAsia="zh-CN"/>
                    </w:rPr>
                  </w:pPr>
                  <w:r>
                    <w:rPr>
                      <w:rFonts w:hint="eastAsia" w:ascii="Times New Roman" w:hAnsi="Times New Roman"/>
                      <w:color w:val="auto"/>
                      <w:sz w:val="21"/>
                      <w:szCs w:val="21"/>
                      <w:lang w:val="en-US" w:eastAsia="zh-CN"/>
                    </w:rPr>
                    <w:t>1000</w:t>
                  </w:r>
                </w:p>
              </w:tc>
            </w:tr>
            <w:tr>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0" w:type="dxa"/>
                  <w:left w:w="108" w:type="dxa"/>
                  <w:bottom w:w="0" w:type="dxa"/>
                  <w:right w:w="108" w:type="dxa"/>
                </w:tblCellMar>
              </w:tblPrEx>
              <w:trPr>
                <w:trHeight w:val="717" w:hRule="atLeast"/>
                <w:jc w:val="center"/>
              </w:trPr>
              <w:tc>
                <w:tcPr>
                  <w:tcW w:w="554" w:type="pct"/>
                  <w:shd w:val="clear" w:color="auto" w:fill="FFFFFF"/>
                  <w:vAlign w:val="center"/>
                </w:tcPr>
                <w:p>
                  <w:pPr>
                    <w:pStyle w:val="50"/>
                    <w:widowControl w:val="0"/>
                    <w:adjustRightInd w:val="0"/>
                    <w:snapToGrid w:val="0"/>
                    <w:spacing w:before="0" w:line="240" w:lineRule="auto"/>
                    <w:ind w:firstLine="0" w:firstLineChars="0"/>
                    <w:jc w:val="center"/>
                    <w:rPr>
                      <w:rFonts w:hint="eastAsia" w:ascii="Times New Roman" w:hAnsi="Times New Roman" w:eastAsia="宋体" w:cs="Times New Roman"/>
                      <w:color w:val="auto"/>
                      <w:spacing w:val="15"/>
                      <w:kern w:val="0"/>
                      <w:sz w:val="21"/>
                      <w:szCs w:val="21"/>
                      <w:lang w:val="en-US" w:eastAsia="zh-CN" w:bidi="ar-SA"/>
                    </w:rPr>
                  </w:pPr>
                  <w:r>
                    <w:rPr>
                      <w:rFonts w:hint="eastAsia" w:ascii="Times New Roman" w:hAnsi="Times New Roman"/>
                      <w:color w:val="auto"/>
                      <w:sz w:val="21"/>
                      <w:szCs w:val="21"/>
                      <w:lang w:val="en-US" w:eastAsia="zh-CN"/>
                    </w:rPr>
                    <w:t>丁香苑</w:t>
                  </w:r>
                </w:p>
              </w:tc>
              <w:tc>
                <w:tcPr>
                  <w:tcW w:w="745" w:type="pct"/>
                  <w:shd w:val="clear" w:color="auto" w:fill="FFFFFF"/>
                  <w:vAlign w:val="center"/>
                </w:tcPr>
                <w:p>
                  <w:pPr>
                    <w:pStyle w:val="50"/>
                    <w:widowControl w:val="0"/>
                    <w:adjustRightInd w:val="0"/>
                    <w:snapToGrid w:val="0"/>
                    <w:spacing w:before="0" w:line="240" w:lineRule="auto"/>
                    <w:ind w:firstLine="0" w:firstLineChars="0"/>
                    <w:jc w:val="center"/>
                    <w:rPr>
                      <w:rFonts w:hint="eastAsia" w:ascii="Times New Roman" w:hAnsi="Times New Roman" w:eastAsia="宋体" w:cs="Times New Roman"/>
                      <w:color w:val="auto"/>
                      <w:spacing w:val="15"/>
                      <w:kern w:val="0"/>
                      <w:sz w:val="21"/>
                      <w:szCs w:val="21"/>
                      <w:lang w:val="en-US" w:eastAsia="zh-CN" w:bidi="ar-SA"/>
                    </w:rPr>
                  </w:pPr>
                  <w:r>
                    <w:rPr>
                      <w:rFonts w:hint="eastAsia" w:ascii="Times New Roman" w:hAnsi="Times New Roman"/>
                      <w:color w:val="auto"/>
                      <w:sz w:val="21"/>
                      <w:szCs w:val="21"/>
                      <w:lang w:val="en-US" w:eastAsia="zh-CN"/>
                    </w:rPr>
                    <w:t>119.6223</w:t>
                  </w:r>
                </w:p>
              </w:tc>
              <w:tc>
                <w:tcPr>
                  <w:tcW w:w="631" w:type="pct"/>
                  <w:shd w:val="clear" w:color="auto" w:fill="FFFFFF"/>
                  <w:vAlign w:val="center"/>
                </w:tcPr>
                <w:p>
                  <w:pPr>
                    <w:pStyle w:val="50"/>
                    <w:widowControl w:val="0"/>
                    <w:adjustRightInd w:val="0"/>
                    <w:snapToGrid w:val="0"/>
                    <w:spacing w:before="0" w:line="240" w:lineRule="auto"/>
                    <w:ind w:firstLine="0" w:firstLineChars="0"/>
                    <w:jc w:val="center"/>
                    <w:rPr>
                      <w:rFonts w:hint="eastAsia" w:ascii="Times New Roman" w:hAnsi="Times New Roman" w:eastAsia="宋体" w:cs="Times New Roman"/>
                      <w:color w:val="auto"/>
                      <w:spacing w:val="15"/>
                      <w:kern w:val="0"/>
                      <w:sz w:val="21"/>
                      <w:szCs w:val="21"/>
                      <w:lang w:val="en-US" w:eastAsia="zh-CN" w:bidi="ar-SA"/>
                    </w:rPr>
                  </w:pPr>
                  <w:r>
                    <w:rPr>
                      <w:rFonts w:hint="eastAsia" w:ascii="Times New Roman" w:hAnsi="Times New Roman"/>
                      <w:color w:val="auto"/>
                      <w:sz w:val="21"/>
                      <w:szCs w:val="21"/>
                      <w:lang w:val="en-US" w:eastAsia="zh-CN"/>
                    </w:rPr>
                    <w:t>31.7602</w:t>
                  </w:r>
                </w:p>
              </w:tc>
              <w:tc>
                <w:tcPr>
                  <w:tcW w:w="469" w:type="pct"/>
                  <w:shd w:val="clear" w:color="auto" w:fill="FFFFFF"/>
                  <w:vAlign w:val="center"/>
                </w:tcPr>
                <w:p>
                  <w:pPr>
                    <w:jc w:val="center"/>
                    <w:rPr>
                      <w:rFonts w:ascii="Times New Roman" w:hAnsi="Times New Roman" w:eastAsia="宋体" w:cs="Times New Roman"/>
                      <w:color w:val="auto"/>
                      <w:kern w:val="2"/>
                      <w:sz w:val="21"/>
                      <w:szCs w:val="21"/>
                      <w:lang w:val="en-US" w:eastAsia="zh-CN" w:bidi="ar-SA"/>
                    </w:rPr>
                  </w:pPr>
                  <w:r>
                    <w:rPr>
                      <w:color w:val="auto"/>
                      <w:szCs w:val="21"/>
                    </w:rPr>
                    <w:t>居住区</w:t>
                  </w:r>
                </w:p>
              </w:tc>
              <w:tc>
                <w:tcPr>
                  <w:tcW w:w="469" w:type="pct"/>
                  <w:shd w:val="clear" w:color="auto" w:fill="FFFFFF"/>
                  <w:vAlign w:val="center"/>
                </w:tcPr>
                <w:p>
                  <w:pPr>
                    <w:pStyle w:val="50"/>
                    <w:widowControl w:val="0"/>
                    <w:adjustRightInd w:val="0"/>
                    <w:snapToGrid w:val="0"/>
                    <w:spacing w:before="0" w:line="240" w:lineRule="auto"/>
                    <w:ind w:firstLine="0" w:firstLineChars="0"/>
                    <w:jc w:val="center"/>
                    <w:rPr>
                      <w:rFonts w:hint="eastAsia" w:ascii="Times New Roman" w:hAnsi="Times New Roman" w:eastAsia="宋体" w:cs="Times New Roman"/>
                      <w:color w:val="auto"/>
                      <w:spacing w:val="15"/>
                      <w:kern w:val="0"/>
                      <w:sz w:val="21"/>
                      <w:szCs w:val="21"/>
                      <w:lang w:val="en-US" w:eastAsia="zh-CN" w:bidi="ar-SA"/>
                    </w:rPr>
                  </w:pPr>
                  <w:r>
                    <w:rPr>
                      <w:rFonts w:hint="eastAsia" w:ascii="Times New Roman" w:hAnsi="Times New Roman"/>
                      <w:color w:val="auto"/>
                      <w:sz w:val="21"/>
                      <w:szCs w:val="21"/>
                      <w:lang w:eastAsia="zh-CN"/>
                    </w:rPr>
                    <w:t>人群</w:t>
                  </w:r>
                </w:p>
              </w:tc>
              <w:tc>
                <w:tcPr>
                  <w:tcW w:w="424" w:type="pct"/>
                  <w:shd w:val="clear" w:color="auto" w:fill="FFFFFF"/>
                  <w:vAlign w:val="center"/>
                </w:tcPr>
                <w:p>
                  <w:pPr>
                    <w:pStyle w:val="50"/>
                    <w:widowControl w:val="0"/>
                    <w:adjustRightInd w:val="0"/>
                    <w:snapToGrid w:val="0"/>
                    <w:spacing w:before="0" w:line="240" w:lineRule="auto"/>
                    <w:ind w:firstLine="0" w:firstLineChars="0"/>
                    <w:jc w:val="center"/>
                    <w:rPr>
                      <w:rFonts w:hint="eastAsia" w:ascii="Times New Roman" w:hAnsi="Times New Roman" w:eastAsia="宋体" w:cs="Times New Roman"/>
                      <w:color w:val="auto"/>
                      <w:spacing w:val="15"/>
                      <w:kern w:val="0"/>
                      <w:sz w:val="21"/>
                      <w:szCs w:val="21"/>
                      <w:lang w:val="en-US" w:eastAsia="zh-CN" w:bidi="ar-SA"/>
                    </w:rPr>
                  </w:pPr>
                  <w:r>
                    <w:rPr>
                      <w:rFonts w:hint="eastAsia" w:ascii="Times New Roman" w:hAnsi="Times New Roman"/>
                      <w:color w:val="auto"/>
                      <w:sz w:val="21"/>
                      <w:szCs w:val="21"/>
                      <w:lang w:val="en-US" w:eastAsia="zh-CN"/>
                    </w:rPr>
                    <w:t>3000</w:t>
                  </w:r>
                </w:p>
              </w:tc>
              <w:tc>
                <w:tcPr>
                  <w:tcW w:w="627" w:type="pct"/>
                  <w:shd w:val="clear" w:color="auto" w:fill="FFFFFF"/>
                  <w:vAlign w:val="center"/>
                </w:tcPr>
                <w:p>
                  <w:pPr>
                    <w:jc w:val="center"/>
                    <w:rPr>
                      <w:rFonts w:ascii="Times New Roman" w:hAnsi="Times New Roman" w:eastAsia="宋体" w:cs="Times New Roman"/>
                      <w:color w:val="auto"/>
                      <w:kern w:val="2"/>
                      <w:sz w:val="21"/>
                      <w:szCs w:val="21"/>
                      <w:lang w:val="en-US" w:eastAsia="zh-CN" w:bidi="ar-SA"/>
                    </w:rPr>
                  </w:pPr>
                  <w:r>
                    <w:rPr>
                      <w:color w:val="auto"/>
                      <w:szCs w:val="21"/>
                    </w:rPr>
                    <w:t>二类区</w:t>
                  </w:r>
                </w:p>
              </w:tc>
              <w:tc>
                <w:tcPr>
                  <w:tcW w:w="500" w:type="pct"/>
                  <w:shd w:val="clear" w:color="auto" w:fill="FFFFFF"/>
                  <w:vAlign w:val="center"/>
                </w:tcPr>
                <w:p>
                  <w:pPr>
                    <w:pStyle w:val="50"/>
                    <w:widowControl w:val="0"/>
                    <w:adjustRightInd w:val="0"/>
                    <w:snapToGrid w:val="0"/>
                    <w:spacing w:before="0" w:line="240" w:lineRule="auto"/>
                    <w:ind w:firstLine="0" w:firstLineChars="0"/>
                    <w:jc w:val="center"/>
                    <w:rPr>
                      <w:rFonts w:hint="eastAsia" w:ascii="Times New Roman" w:hAnsi="Times New Roman" w:eastAsia="宋体" w:cs="Times New Roman"/>
                      <w:color w:val="auto"/>
                      <w:spacing w:val="15"/>
                      <w:kern w:val="0"/>
                      <w:sz w:val="21"/>
                      <w:szCs w:val="21"/>
                      <w:lang w:val="en-US" w:eastAsia="zh-CN" w:bidi="ar-SA"/>
                    </w:rPr>
                  </w:pPr>
                  <w:r>
                    <w:rPr>
                      <w:rFonts w:hint="eastAsia" w:ascii="Times New Roman" w:hAnsi="Times New Roman"/>
                      <w:color w:val="auto"/>
                      <w:sz w:val="21"/>
                      <w:szCs w:val="21"/>
                      <w:lang w:val="en-US" w:eastAsia="zh-CN"/>
                    </w:rPr>
                    <w:t>NW</w:t>
                  </w:r>
                </w:p>
              </w:tc>
              <w:tc>
                <w:tcPr>
                  <w:tcW w:w="577" w:type="pct"/>
                  <w:shd w:val="clear" w:color="auto" w:fill="FFFFFF"/>
                  <w:vAlign w:val="center"/>
                </w:tcPr>
                <w:p>
                  <w:pPr>
                    <w:pStyle w:val="50"/>
                    <w:widowControl w:val="0"/>
                    <w:adjustRightInd w:val="0"/>
                    <w:snapToGrid w:val="0"/>
                    <w:spacing w:before="0" w:line="240" w:lineRule="auto"/>
                    <w:ind w:firstLine="0"/>
                    <w:jc w:val="center"/>
                    <w:rPr>
                      <w:rFonts w:hint="default" w:ascii="Times New Roman" w:hAnsi="Times New Roman" w:eastAsia="宋体"/>
                      <w:color w:val="auto"/>
                      <w:sz w:val="21"/>
                      <w:szCs w:val="21"/>
                      <w:lang w:val="en-US" w:eastAsia="zh-CN"/>
                    </w:rPr>
                  </w:pPr>
                  <w:r>
                    <w:rPr>
                      <w:rFonts w:hint="eastAsia" w:ascii="Times New Roman" w:hAnsi="Times New Roman"/>
                      <w:color w:val="auto"/>
                      <w:sz w:val="21"/>
                      <w:szCs w:val="21"/>
                      <w:lang w:val="en-US" w:eastAsia="zh-CN"/>
                    </w:rPr>
                    <w:t>1050</w:t>
                  </w:r>
                </w:p>
              </w:tc>
            </w:tr>
            <w:tr>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0" w:type="dxa"/>
                  <w:left w:w="108" w:type="dxa"/>
                  <w:bottom w:w="0" w:type="dxa"/>
                  <w:right w:w="108" w:type="dxa"/>
                </w:tblCellMar>
              </w:tblPrEx>
              <w:trPr>
                <w:trHeight w:val="717" w:hRule="atLeast"/>
                <w:jc w:val="center"/>
              </w:trPr>
              <w:tc>
                <w:tcPr>
                  <w:tcW w:w="554" w:type="pct"/>
                  <w:shd w:val="clear" w:color="auto" w:fill="FFFFFF"/>
                  <w:vAlign w:val="center"/>
                </w:tcPr>
                <w:p>
                  <w:pPr>
                    <w:pStyle w:val="50"/>
                    <w:widowControl w:val="0"/>
                    <w:adjustRightInd w:val="0"/>
                    <w:snapToGrid w:val="0"/>
                    <w:spacing w:before="0" w:line="240" w:lineRule="auto"/>
                    <w:ind w:firstLine="0" w:firstLineChars="0"/>
                    <w:jc w:val="both"/>
                    <w:rPr>
                      <w:rFonts w:hint="eastAsia" w:ascii="Times New Roman" w:hAnsi="Times New Roman" w:eastAsia="宋体" w:cs="Times New Roman"/>
                      <w:color w:val="auto"/>
                      <w:spacing w:val="15"/>
                      <w:kern w:val="0"/>
                      <w:sz w:val="21"/>
                      <w:szCs w:val="21"/>
                      <w:lang w:val="en-US" w:eastAsia="zh-CN" w:bidi="ar-SA"/>
                    </w:rPr>
                  </w:pPr>
                  <w:r>
                    <w:rPr>
                      <w:rFonts w:hint="eastAsia" w:ascii="Times New Roman" w:hAnsi="Times New Roman"/>
                      <w:color w:val="auto"/>
                      <w:sz w:val="21"/>
                      <w:szCs w:val="21"/>
                    </w:rPr>
                    <w:t>紫荆苑</w:t>
                  </w:r>
                </w:p>
              </w:tc>
              <w:tc>
                <w:tcPr>
                  <w:tcW w:w="745" w:type="pct"/>
                  <w:shd w:val="clear" w:color="auto" w:fill="FFFFFF"/>
                  <w:vAlign w:val="center"/>
                </w:tcPr>
                <w:p>
                  <w:pPr>
                    <w:pStyle w:val="50"/>
                    <w:widowControl w:val="0"/>
                    <w:adjustRightInd w:val="0"/>
                    <w:snapToGrid w:val="0"/>
                    <w:spacing w:before="0" w:line="240" w:lineRule="auto"/>
                    <w:ind w:firstLine="0" w:firstLineChars="0"/>
                    <w:jc w:val="center"/>
                    <w:rPr>
                      <w:rFonts w:hint="eastAsia" w:ascii="Times New Roman" w:hAnsi="Times New Roman" w:eastAsia="宋体" w:cs="Times New Roman"/>
                      <w:color w:val="auto"/>
                      <w:spacing w:val="15"/>
                      <w:kern w:val="0"/>
                      <w:sz w:val="21"/>
                      <w:szCs w:val="21"/>
                      <w:lang w:val="en-US" w:eastAsia="zh-CN" w:bidi="ar-SA"/>
                    </w:rPr>
                  </w:pPr>
                  <w:r>
                    <w:rPr>
                      <w:rFonts w:hint="eastAsia" w:ascii="Times New Roman" w:hAnsi="Times New Roman"/>
                      <w:color w:val="auto"/>
                      <w:sz w:val="21"/>
                      <w:szCs w:val="21"/>
                    </w:rPr>
                    <w:t>119.6183</w:t>
                  </w:r>
                </w:p>
              </w:tc>
              <w:tc>
                <w:tcPr>
                  <w:tcW w:w="631" w:type="pct"/>
                  <w:shd w:val="clear" w:color="auto" w:fill="FFFFFF"/>
                  <w:vAlign w:val="center"/>
                </w:tcPr>
                <w:p>
                  <w:pPr>
                    <w:pStyle w:val="50"/>
                    <w:widowControl w:val="0"/>
                    <w:adjustRightInd w:val="0"/>
                    <w:snapToGrid w:val="0"/>
                    <w:spacing w:before="0" w:line="240" w:lineRule="auto"/>
                    <w:ind w:firstLine="0" w:firstLineChars="0"/>
                    <w:jc w:val="center"/>
                    <w:rPr>
                      <w:rFonts w:hint="eastAsia" w:ascii="Times New Roman" w:hAnsi="Times New Roman" w:eastAsia="宋体" w:cs="Times New Roman"/>
                      <w:color w:val="auto"/>
                      <w:spacing w:val="15"/>
                      <w:kern w:val="0"/>
                      <w:sz w:val="21"/>
                      <w:szCs w:val="21"/>
                      <w:lang w:val="en-US" w:eastAsia="zh-CN" w:bidi="ar-SA"/>
                    </w:rPr>
                  </w:pPr>
                  <w:r>
                    <w:rPr>
                      <w:rFonts w:hint="eastAsia" w:ascii="Times New Roman" w:hAnsi="Times New Roman"/>
                      <w:color w:val="auto"/>
                      <w:sz w:val="21"/>
                      <w:szCs w:val="21"/>
                    </w:rPr>
                    <w:t>31.7600</w:t>
                  </w:r>
                </w:p>
              </w:tc>
              <w:tc>
                <w:tcPr>
                  <w:tcW w:w="469" w:type="pct"/>
                  <w:shd w:val="clear" w:color="auto" w:fill="FFFFFF"/>
                  <w:vAlign w:val="center"/>
                </w:tcPr>
                <w:p>
                  <w:pPr>
                    <w:jc w:val="center"/>
                    <w:rPr>
                      <w:rFonts w:ascii="Times New Roman" w:hAnsi="Times New Roman" w:eastAsia="宋体" w:cs="Times New Roman"/>
                      <w:color w:val="auto"/>
                      <w:kern w:val="2"/>
                      <w:sz w:val="21"/>
                      <w:szCs w:val="21"/>
                      <w:lang w:val="en-US" w:eastAsia="zh-CN" w:bidi="ar-SA"/>
                    </w:rPr>
                  </w:pPr>
                  <w:r>
                    <w:rPr>
                      <w:color w:val="auto"/>
                      <w:szCs w:val="21"/>
                    </w:rPr>
                    <w:t>居住区</w:t>
                  </w:r>
                </w:p>
              </w:tc>
              <w:tc>
                <w:tcPr>
                  <w:tcW w:w="469" w:type="pct"/>
                  <w:shd w:val="clear" w:color="auto" w:fill="FFFFFF"/>
                  <w:vAlign w:val="center"/>
                </w:tcPr>
                <w:p>
                  <w:pPr>
                    <w:pStyle w:val="50"/>
                    <w:widowControl w:val="0"/>
                    <w:adjustRightInd w:val="0"/>
                    <w:snapToGrid w:val="0"/>
                    <w:spacing w:before="0" w:line="240" w:lineRule="auto"/>
                    <w:ind w:firstLine="0" w:firstLineChars="0"/>
                    <w:jc w:val="center"/>
                    <w:rPr>
                      <w:rFonts w:ascii="Times New Roman" w:hAnsi="Times New Roman" w:eastAsia="宋体" w:cs="Times New Roman"/>
                      <w:color w:val="auto"/>
                      <w:spacing w:val="15"/>
                      <w:kern w:val="0"/>
                      <w:sz w:val="21"/>
                      <w:szCs w:val="21"/>
                      <w:lang w:val="en-US" w:eastAsia="zh-CN" w:bidi="ar-SA"/>
                    </w:rPr>
                  </w:pPr>
                  <w:r>
                    <w:rPr>
                      <w:rFonts w:ascii="Times New Roman" w:hAnsi="Times New Roman"/>
                      <w:color w:val="auto"/>
                      <w:sz w:val="21"/>
                      <w:szCs w:val="21"/>
                    </w:rPr>
                    <w:t>人群</w:t>
                  </w:r>
                </w:p>
              </w:tc>
              <w:tc>
                <w:tcPr>
                  <w:tcW w:w="424" w:type="pct"/>
                  <w:shd w:val="clear" w:color="auto" w:fill="FFFFFF"/>
                  <w:vAlign w:val="center"/>
                </w:tcPr>
                <w:p>
                  <w:pPr>
                    <w:pStyle w:val="50"/>
                    <w:widowControl w:val="0"/>
                    <w:adjustRightInd w:val="0"/>
                    <w:snapToGrid w:val="0"/>
                    <w:spacing w:before="0" w:line="240" w:lineRule="auto"/>
                    <w:ind w:firstLine="0" w:firstLineChars="0"/>
                    <w:jc w:val="center"/>
                    <w:rPr>
                      <w:rFonts w:hint="eastAsia" w:ascii="Times New Roman" w:hAnsi="Times New Roman" w:eastAsia="宋体" w:cs="Times New Roman"/>
                      <w:color w:val="auto"/>
                      <w:spacing w:val="15"/>
                      <w:kern w:val="0"/>
                      <w:sz w:val="21"/>
                      <w:szCs w:val="21"/>
                      <w:lang w:val="en-US" w:eastAsia="zh-CN" w:bidi="ar-SA"/>
                    </w:rPr>
                  </w:pPr>
                  <w:r>
                    <w:rPr>
                      <w:rFonts w:hint="eastAsia" w:ascii="Times New Roman" w:hAnsi="Times New Roman" w:cs="Times New Roman"/>
                      <w:color w:val="auto"/>
                      <w:spacing w:val="15"/>
                      <w:kern w:val="0"/>
                      <w:sz w:val="21"/>
                      <w:szCs w:val="21"/>
                      <w:lang w:val="en-US" w:eastAsia="zh-CN" w:bidi="ar-SA"/>
                    </w:rPr>
                    <w:t>6000</w:t>
                  </w:r>
                </w:p>
              </w:tc>
              <w:tc>
                <w:tcPr>
                  <w:tcW w:w="627" w:type="pct"/>
                  <w:shd w:val="clear" w:color="auto" w:fill="FFFFFF"/>
                  <w:vAlign w:val="center"/>
                </w:tcPr>
                <w:p>
                  <w:pPr>
                    <w:jc w:val="center"/>
                    <w:rPr>
                      <w:rFonts w:ascii="Times New Roman" w:hAnsi="Times New Roman" w:eastAsia="宋体" w:cs="Times New Roman"/>
                      <w:color w:val="auto"/>
                      <w:kern w:val="2"/>
                      <w:sz w:val="21"/>
                      <w:szCs w:val="21"/>
                      <w:lang w:val="en-US" w:eastAsia="zh-CN" w:bidi="ar-SA"/>
                    </w:rPr>
                  </w:pPr>
                  <w:r>
                    <w:rPr>
                      <w:color w:val="auto"/>
                      <w:szCs w:val="21"/>
                    </w:rPr>
                    <w:t>二类区</w:t>
                  </w:r>
                </w:p>
              </w:tc>
              <w:tc>
                <w:tcPr>
                  <w:tcW w:w="500" w:type="pct"/>
                  <w:shd w:val="clear" w:color="auto" w:fill="FFFFFF"/>
                  <w:vAlign w:val="center"/>
                </w:tcPr>
                <w:p>
                  <w:pPr>
                    <w:pStyle w:val="50"/>
                    <w:widowControl w:val="0"/>
                    <w:adjustRightInd w:val="0"/>
                    <w:snapToGrid w:val="0"/>
                    <w:spacing w:before="0" w:line="240" w:lineRule="auto"/>
                    <w:ind w:firstLine="0" w:firstLineChars="0"/>
                    <w:jc w:val="center"/>
                    <w:rPr>
                      <w:rFonts w:hint="eastAsia" w:ascii="Times New Roman" w:hAnsi="Times New Roman" w:eastAsia="宋体" w:cs="Times New Roman"/>
                      <w:color w:val="auto"/>
                      <w:spacing w:val="15"/>
                      <w:kern w:val="0"/>
                      <w:sz w:val="21"/>
                      <w:szCs w:val="21"/>
                      <w:lang w:val="en-US" w:eastAsia="zh-CN" w:bidi="ar-SA"/>
                    </w:rPr>
                  </w:pPr>
                  <w:r>
                    <w:rPr>
                      <w:rFonts w:hint="eastAsia" w:ascii="Times New Roman" w:hAnsi="Times New Roman"/>
                      <w:color w:val="auto"/>
                      <w:sz w:val="21"/>
                      <w:szCs w:val="21"/>
                      <w:lang w:val="en-US" w:eastAsia="zh-CN"/>
                    </w:rPr>
                    <w:t>N</w:t>
                  </w:r>
                  <w:r>
                    <w:rPr>
                      <w:rFonts w:hint="eastAsia" w:ascii="Times New Roman" w:hAnsi="Times New Roman"/>
                      <w:color w:val="auto"/>
                      <w:sz w:val="21"/>
                      <w:szCs w:val="21"/>
                    </w:rPr>
                    <w:t>W</w:t>
                  </w:r>
                </w:p>
              </w:tc>
              <w:tc>
                <w:tcPr>
                  <w:tcW w:w="577" w:type="pct"/>
                  <w:shd w:val="clear" w:color="auto" w:fill="FFFFFF"/>
                  <w:vAlign w:val="center"/>
                </w:tcPr>
                <w:p>
                  <w:pPr>
                    <w:pStyle w:val="50"/>
                    <w:widowControl w:val="0"/>
                    <w:adjustRightInd w:val="0"/>
                    <w:snapToGrid w:val="0"/>
                    <w:spacing w:before="0" w:line="240" w:lineRule="auto"/>
                    <w:ind w:firstLine="0"/>
                    <w:jc w:val="center"/>
                    <w:rPr>
                      <w:rFonts w:hint="default" w:ascii="Times New Roman" w:hAnsi="Times New Roman" w:eastAsia="宋体"/>
                      <w:color w:val="auto"/>
                      <w:sz w:val="21"/>
                      <w:szCs w:val="21"/>
                      <w:lang w:val="en-US" w:eastAsia="zh-CN"/>
                    </w:rPr>
                  </w:pPr>
                  <w:r>
                    <w:rPr>
                      <w:rFonts w:hint="eastAsia" w:ascii="Times New Roman" w:hAnsi="Times New Roman"/>
                      <w:color w:val="auto"/>
                      <w:sz w:val="21"/>
                      <w:szCs w:val="21"/>
                      <w:lang w:val="en-US" w:eastAsia="zh-CN"/>
                    </w:rPr>
                    <w:t>1450</w:t>
                  </w:r>
                </w:p>
              </w:tc>
            </w:tr>
            <w:tr>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0" w:type="dxa"/>
                  <w:left w:w="108" w:type="dxa"/>
                  <w:bottom w:w="0" w:type="dxa"/>
                  <w:right w:w="108" w:type="dxa"/>
                </w:tblCellMar>
              </w:tblPrEx>
              <w:trPr>
                <w:trHeight w:val="717" w:hRule="atLeast"/>
                <w:jc w:val="center"/>
              </w:trPr>
              <w:tc>
                <w:tcPr>
                  <w:tcW w:w="554" w:type="pct"/>
                  <w:shd w:val="clear" w:color="auto" w:fill="FFFFFF"/>
                  <w:vAlign w:val="center"/>
                </w:tcPr>
                <w:p>
                  <w:pPr>
                    <w:pStyle w:val="50"/>
                    <w:widowControl w:val="0"/>
                    <w:adjustRightInd w:val="0"/>
                    <w:snapToGrid w:val="0"/>
                    <w:spacing w:before="0" w:line="240" w:lineRule="auto"/>
                    <w:ind w:firstLine="0" w:firstLineChars="0"/>
                    <w:jc w:val="both"/>
                    <w:rPr>
                      <w:rFonts w:hint="default" w:ascii="Times New Roman" w:hAnsi="Times New Roman" w:eastAsia="宋体"/>
                      <w:color w:val="auto"/>
                      <w:sz w:val="21"/>
                      <w:szCs w:val="21"/>
                      <w:lang w:val="en-US" w:eastAsia="zh-CN"/>
                    </w:rPr>
                  </w:pPr>
                  <w:r>
                    <w:rPr>
                      <w:rFonts w:hint="eastAsia" w:ascii="Times New Roman" w:hAnsi="Times New Roman"/>
                      <w:color w:val="auto"/>
                      <w:sz w:val="21"/>
                      <w:szCs w:val="21"/>
                      <w:lang w:val="en-US" w:eastAsia="zh-CN"/>
                    </w:rPr>
                    <w:t>前中塘</w:t>
                  </w:r>
                </w:p>
              </w:tc>
              <w:tc>
                <w:tcPr>
                  <w:tcW w:w="745" w:type="pct"/>
                  <w:shd w:val="clear" w:color="auto" w:fill="FFFFFF"/>
                  <w:vAlign w:val="center"/>
                </w:tcPr>
                <w:p>
                  <w:pPr>
                    <w:pStyle w:val="50"/>
                    <w:widowControl w:val="0"/>
                    <w:adjustRightInd w:val="0"/>
                    <w:snapToGrid w:val="0"/>
                    <w:spacing w:before="0" w:line="240" w:lineRule="auto"/>
                    <w:ind w:firstLine="0" w:firstLineChars="0"/>
                    <w:jc w:val="center"/>
                    <w:rPr>
                      <w:rFonts w:hint="default" w:ascii="Times New Roman" w:hAnsi="Times New Roman" w:eastAsia="宋体"/>
                      <w:color w:val="auto"/>
                      <w:sz w:val="21"/>
                      <w:szCs w:val="21"/>
                      <w:lang w:val="en-US" w:eastAsia="zh-CN"/>
                    </w:rPr>
                  </w:pPr>
                  <w:r>
                    <w:rPr>
                      <w:rFonts w:hint="eastAsia" w:ascii="Times New Roman" w:hAnsi="Times New Roman"/>
                      <w:color w:val="auto"/>
                      <w:sz w:val="21"/>
                      <w:szCs w:val="21"/>
                      <w:lang w:val="en-US" w:eastAsia="zh-CN"/>
                    </w:rPr>
                    <w:t>119.6275</w:t>
                  </w:r>
                </w:p>
              </w:tc>
              <w:tc>
                <w:tcPr>
                  <w:tcW w:w="631" w:type="pct"/>
                  <w:shd w:val="clear" w:color="auto" w:fill="FFFFFF"/>
                  <w:vAlign w:val="center"/>
                </w:tcPr>
                <w:p>
                  <w:pPr>
                    <w:pStyle w:val="50"/>
                    <w:widowControl w:val="0"/>
                    <w:adjustRightInd w:val="0"/>
                    <w:snapToGrid w:val="0"/>
                    <w:spacing w:before="0" w:line="240" w:lineRule="auto"/>
                    <w:ind w:firstLine="0" w:firstLineChars="0"/>
                    <w:jc w:val="center"/>
                    <w:rPr>
                      <w:rFonts w:hint="default" w:ascii="Times New Roman" w:hAnsi="Times New Roman" w:eastAsia="宋体"/>
                      <w:color w:val="auto"/>
                      <w:sz w:val="21"/>
                      <w:szCs w:val="21"/>
                      <w:lang w:val="en-US" w:eastAsia="zh-CN"/>
                    </w:rPr>
                  </w:pPr>
                  <w:r>
                    <w:rPr>
                      <w:rFonts w:hint="eastAsia" w:ascii="Times New Roman" w:hAnsi="Times New Roman"/>
                      <w:color w:val="auto"/>
                      <w:sz w:val="21"/>
                      <w:szCs w:val="21"/>
                      <w:lang w:val="en-US" w:eastAsia="zh-CN"/>
                    </w:rPr>
                    <w:t>31.7657</w:t>
                  </w:r>
                </w:p>
              </w:tc>
              <w:tc>
                <w:tcPr>
                  <w:tcW w:w="469" w:type="pct"/>
                  <w:shd w:val="clear" w:color="auto" w:fill="FFFFFF"/>
                  <w:vAlign w:val="center"/>
                </w:tcPr>
                <w:p>
                  <w:pPr>
                    <w:jc w:val="center"/>
                    <w:rPr>
                      <w:color w:val="auto"/>
                      <w:szCs w:val="21"/>
                    </w:rPr>
                  </w:pPr>
                  <w:r>
                    <w:rPr>
                      <w:color w:val="auto"/>
                      <w:szCs w:val="21"/>
                    </w:rPr>
                    <w:t>居住区</w:t>
                  </w:r>
                </w:p>
              </w:tc>
              <w:tc>
                <w:tcPr>
                  <w:tcW w:w="469" w:type="pct"/>
                  <w:shd w:val="clear" w:color="auto" w:fill="FFFFFF"/>
                  <w:vAlign w:val="center"/>
                </w:tcPr>
                <w:p>
                  <w:pPr>
                    <w:pStyle w:val="50"/>
                    <w:widowControl w:val="0"/>
                    <w:adjustRightInd w:val="0"/>
                    <w:snapToGrid w:val="0"/>
                    <w:spacing w:before="0" w:line="240" w:lineRule="auto"/>
                    <w:ind w:firstLine="0" w:firstLineChars="0"/>
                    <w:jc w:val="center"/>
                    <w:rPr>
                      <w:rFonts w:ascii="Times New Roman" w:hAnsi="Times New Roman"/>
                      <w:color w:val="auto"/>
                      <w:sz w:val="21"/>
                      <w:szCs w:val="21"/>
                    </w:rPr>
                  </w:pPr>
                  <w:r>
                    <w:rPr>
                      <w:rFonts w:ascii="Times New Roman" w:hAnsi="Times New Roman"/>
                      <w:color w:val="auto"/>
                      <w:sz w:val="21"/>
                      <w:szCs w:val="21"/>
                    </w:rPr>
                    <w:t>人群</w:t>
                  </w:r>
                </w:p>
              </w:tc>
              <w:tc>
                <w:tcPr>
                  <w:tcW w:w="424" w:type="pct"/>
                  <w:shd w:val="clear" w:color="auto" w:fill="FFFFFF"/>
                  <w:vAlign w:val="center"/>
                </w:tcPr>
                <w:p>
                  <w:pPr>
                    <w:pStyle w:val="50"/>
                    <w:widowControl w:val="0"/>
                    <w:adjustRightInd w:val="0"/>
                    <w:snapToGrid w:val="0"/>
                    <w:spacing w:before="0" w:line="240" w:lineRule="auto"/>
                    <w:ind w:firstLine="0" w:firstLineChars="0"/>
                    <w:jc w:val="center"/>
                    <w:rPr>
                      <w:rFonts w:hint="default" w:ascii="Times New Roman" w:hAnsi="Times New Roman" w:cs="Times New Roman"/>
                      <w:color w:val="auto"/>
                      <w:spacing w:val="15"/>
                      <w:kern w:val="0"/>
                      <w:sz w:val="21"/>
                      <w:szCs w:val="21"/>
                      <w:lang w:val="en-US" w:eastAsia="zh-CN" w:bidi="ar-SA"/>
                    </w:rPr>
                  </w:pPr>
                  <w:r>
                    <w:rPr>
                      <w:rFonts w:hint="eastAsia" w:ascii="Times New Roman" w:hAnsi="Times New Roman" w:cs="Times New Roman"/>
                      <w:color w:val="auto"/>
                      <w:spacing w:val="15"/>
                      <w:kern w:val="0"/>
                      <w:sz w:val="21"/>
                      <w:szCs w:val="21"/>
                      <w:lang w:val="en-US" w:eastAsia="zh-CN" w:bidi="ar-SA"/>
                    </w:rPr>
                    <w:t>200</w:t>
                  </w:r>
                </w:p>
              </w:tc>
              <w:tc>
                <w:tcPr>
                  <w:tcW w:w="627" w:type="pct"/>
                  <w:shd w:val="clear" w:color="auto" w:fill="FFFFFF"/>
                  <w:vAlign w:val="center"/>
                </w:tcPr>
                <w:p>
                  <w:pPr>
                    <w:jc w:val="center"/>
                    <w:rPr>
                      <w:color w:val="auto"/>
                      <w:szCs w:val="21"/>
                    </w:rPr>
                  </w:pPr>
                  <w:r>
                    <w:rPr>
                      <w:color w:val="auto"/>
                      <w:szCs w:val="21"/>
                    </w:rPr>
                    <w:t>二类区</w:t>
                  </w:r>
                </w:p>
              </w:tc>
              <w:tc>
                <w:tcPr>
                  <w:tcW w:w="500" w:type="pct"/>
                  <w:shd w:val="clear" w:color="auto" w:fill="FFFFFF"/>
                  <w:vAlign w:val="center"/>
                </w:tcPr>
                <w:p>
                  <w:pPr>
                    <w:pStyle w:val="50"/>
                    <w:widowControl w:val="0"/>
                    <w:adjustRightInd w:val="0"/>
                    <w:snapToGrid w:val="0"/>
                    <w:spacing w:before="0" w:line="240" w:lineRule="auto"/>
                    <w:ind w:firstLine="0" w:firstLineChars="0"/>
                    <w:jc w:val="center"/>
                    <w:rPr>
                      <w:rFonts w:hint="default" w:ascii="Times New Roman" w:hAnsi="Times New Roman"/>
                      <w:color w:val="auto"/>
                      <w:sz w:val="21"/>
                      <w:szCs w:val="21"/>
                      <w:lang w:val="en-US" w:eastAsia="zh-CN"/>
                    </w:rPr>
                  </w:pPr>
                  <w:r>
                    <w:rPr>
                      <w:rFonts w:hint="eastAsia" w:ascii="Times New Roman" w:hAnsi="Times New Roman"/>
                      <w:color w:val="auto"/>
                      <w:sz w:val="21"/>
                      <w:szCs w:val="21"/>
                      <w:lang w:val="en-US" w:eastAsia="zh-CN"/>
                    </w:rPr>
                    <w:t>N</w:t>
                  </w:r>
                </w:p>
              </w:tc>
              <w:tc>
                <w:tcPr>
                  <w:tcW w:w="577" w:type="pct"/>
                  <w:shd w:val="clear" w:color="auto" w:fill="FFFFFF"/>
                  <w:vAlign w:val="center"/>
                </w:tcPr>
                <w:p>
                  <w:pPr>
                    <w:pStyle w:val="50"/>
                    <w:widowControl w:val="0"/>
                    <w:adjustRightInd w:val="0"/>
                    <w:snapToGrid w:val="0"/>
                    <w:spacing w:before="0" w:line="240" w:lineRule="auto"/>
                    <w:ind w:firstLine="0"/>
                    <w:jc w:val="center"/>
                    <w:rPr>
                      <w:rFonts w:hint="default" w:ascii="Times New Roman" w:hAnsi="Times New Roman" w:eastAsia="宋体"/>
                      <w:color w:val="auto"/>
                      <w:sz w:val="21"/>
                      <w:szCs w:val="21"/>
                      <w:lang w:val="en-US" w:eastAsia="zh-CN"/>
                    </w:rPr>
                  </w:pPr>
                  <w:r>
                    <w:rPr>
                      <w:rFonts w:hint="eastAsia" w:ascii="Times New Roman" w:hAnsi="Times New Roman"/>
                      <w:color w:val="auto"/>
                      <w:sz w:val="21"/>
                      <w:szCs w:val="21"/>
                      <w:lang w:val="en-US" w:eastAsia="zh-CN"/>
                    </w:rPr>
                    <w:t>1200</w:t>
                  </w:r>
                </w:p>
              </w:tc>
            </w:tr>
            <w:tr>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0" w:type="dxa"/>
                  <w:left w:w="108" w:type="dxa"/>
                  <w:bottom w:w="0" w:type="dxa"/>
                  <w:right w:w="108" w:type="dxa"/>
                </w:tblCellMar>
              </w:tblPrEx>
              <w:trPr>
                <w:trHeight w:val="717" w:hRule="atLeast"/>
                <w:jc w:val="center"/>
              </w:trPr>
              <w:tc>
                <w:tcPr>
                  <w:tcW w:w="554" w:type="pct"/>
                  <w:shd w:val="clear" w:color="auto" w:fill="FFFFFF"/>
                  <w:vAlign w:val="center"/>
                </w:tcPr>
                <w:p>
                  <w:pPr>
                    <w:pStyle w:val="50"/>
                    <w:widowControl w:val="0"/>
                    <w:adjustRightInd w:val="0"/>
                    <w:snapToGrid w:val="0"/>
                    <w:spacing w:before="0" w:line="240" w:lineRule="auto"/>
                    <w:ind w:firstLine="0" w:firstLineChars="0"/>
                    <w:jc w:val="both"/>
                    <w:rPr>
                      <w:rFonts w:hint="eastAsia" w:ascii="Times New Roman" w:hAnsi="Times New Roman" w:eastAsia="宋体"/>
                      <w:color w:val="auto"/>
                      <w:sz w:val="21"/>
                      <w:szCs w:val="21"/>
                      <w:lang w:eastAsia="zh-CN"/>
                    </w:rPr>
                  </w:pPr>
                  <w:r>
                    <w:rPr>
                      <w:rFonts w:hint="eastAsia" w:ascii="Times New Roman" w:hAnsi="Times New Roman"/>
                      <w:color w:val="auto"/>
                      <w:sz w:val="21"/>
                      <w:szCs w:val="21"/>
                      <w:lang w:eastAsia="zh-CN"/>
                    </w:rPr>
                    <w:t>许城村</w:t>
                  </w:r>
                </w:p>
              </w:tc>
              <w:tc>
                <w:tcPr>
                  <w:tcW w:w="745" w:type="pct"/>
                  <w:shd w:val="clear" w:color="auto" w:fill="FFFFFF"/>
                  <w:vAlign w:val="center"/>
                </w:tcPr>
                <w:p>
                  <w:pPr>
                    <w:pStyle w:val="50"/>
                    <w:widowControl w:val="0"/>
                    <w:adjustRightInd w:val="0"/>
                    <w:snapToGrid w:val="0"/>
                    <w:spacing w:before="0" w:line="240" w:lineRule="auto"/>
                    <w:ind w:firstLine="0" w:firstLineChars="0"/>
                    <w:jc w:val="center"/>
                    <w:rPr>
                      <w:rFonts w:hint="eastAsia" w:ascii="Times New Roman" w:hAnsi="Times New Roman" w:eastAsia="宋体" w:cs="Times New Roman"/>
                      <w:color w:val="auto"/>
                      <w:spacing w:val="15"/>
                      <w:kern w:val="0"/>
                      <w:sz w:val="21"/>
                      <w:szCs w:val="21"/>
                      <w:lang w:val="en-US" w:eastAsia="zh-CN" w:bidi="ar-SA"/>
                    </w:rPr>
                  </w:pPr>
                  <w:r>
                    <w:rPr>
                      <w:rFonts w:hint="eastAsia" w:ascii="Times New Roman" w:hAnsi="Times New Roman"/>
                      <w:color w:val="auto"/>
                      <w:sz w:val="21"/>
                      <w:szCs w:val="21"/>
                      <w:lang w:val="en-US" w:eastAsia="zh-CN"/>
                    </w:rPr>
                    <w:t>119.6320</w:t>
                  </w:r>
                </w:p>
              </w:tc>
              <w:tc>
                <w:tcPr>
                  <w:tcW w:w="631" w:type="pct"/>
                  <w:shd w:val="clear" w:color="auto" w:fill="FFFFFF"/>
                  <w:vAlign w:val="center"/>
                </w:tcPr>
                <w:p>
                  <w:pPr>
                    <w:pStyle w:val="50"/>
                    <w:widowControl w:val="0"/>
                    <w:adjustRightInd w:val="0"/>
                    <w:snapToGrid w:val="0"/>
                    <w:spacing w:before="0" w:line="240" w:lineRule="auto"/>
                    <w:ind w:firstLine="0" w:firstLineChars="0"/>
                    <w:jc w:val="center"/>
                    <w:rPr>
                      <w:rFonts w:hint="eastAsia" w:ascii="Times New Roman" w:hAnsi="Times New Roman" w:eastAsia="宋体" w:cs="Times New Roman"/>
                      <w:color w:val="auto"/>
                      <w:spacing w:val="15"/>
                      <w:kern w:val="0"/>
                      <w:sz w:val="21"/>
                      <w:szCs w:val="21"/>
                      <w:lang w:val="en-US" w:eastAsia="zh-CN" w:bidi="ar-SA"/>
                    </w:rPr>
                  </w:pPr>
                  <w:r>
                    <w:rPr>
                      <w:rFonts w:hint="eastAsia" w:ascii="Times New Roman" w:hAnsi="Times New Roman"/>
                      <w:color w:val="auto"/>
                      <w:sz w:val="21"/>
                      <w:szCs w:val="21"/>
                      <w:lang w:val="en-US" w:eastAsia="zh-CN"/>
                    </w:rPr>
                    <w:t>31.7660</w:t>
                  </w:r>
                </w:p>
              </w:tc>
              <w:tc>
                <w:tcPr>
                  <w:tcW w:w="469" w:type="pct"/>
                  <w:shd w:val="clear" w:color="auto" w:fill="FFFFFF"/>
                  <w:vAlign w:val="center"/>
                </w:tcPr>
                <w:p>
                  <w:pPr>
                    <w:jc w:val="center"/>
                    <w:rPr>
                      <w:color w:val="auto"/>
                      <w:szCs w:val="21"/>
                    </w:rPr>
                  </w:pPr>
                  <w:r>
                    <w:rPr>
                      <w:color w:val="auto"/>
                      <w:szCs w:val="21"/>
                    </w:rPr>
                    <w:t>居住区</w:t>
                  </w:r>
                </w:p>
              </w:tc>
              <w:tc>
                <w:tcPr>
                  <w:tcW w:w="469" w:type="pct"/>
                  <w:shd w:val="clear" w:color="auto" w:fill="FFFFFF"/>
                  <w:vAlign w:val="center"/>
                </w:tcPr>
                <w:p>
                  <w:pPr>
                    <w:pStyle w:val="50"/>
                    <w:widowControl w:val="0"/>
                    <w:adjustRightInd w:val="0"/>
                    <w:snapToGrid w:val="0"/>
                    <w:spacing w:before="0" w:line="240" w:lineRule="auto"/>
                    <w:ind w:firstLine="0" w:firstLineChars="0"/>
                    <w:jc w:val="center"/>
                    <w:rPr>
                      <w:rFonts w:ascii="Times New Roman" w:hAnsi="Times New Roman"/>
                      <w:color w:val="auto"/>
                      <w:sz w:val="21"/>
                      <w:szCs w:val="21"/>
                    </w:rPr>
                  </w:pPr>
                  <w:r>
                    <w:rPr>
                      <w:rFonts w:ascii="Times New Roman" w:hAnsi="Times New Roman"/>
                      <w:color w:val="auto"/>
                      <w:sz w:val="21"/>
                      <w:szCs w:val="21"/>
                    </w:rPr>
                    <w:t>人群</w:t>
                  </w:r>
                </w:p>
              </w:tc>
              <w:tc>
                <w:tcPr>
                  <w:tcW w:w="424" w:type="pct"/>
                  <w:shd w:val="clear" w:color="auto" w:fill="FFFFFF"/>
                  <w:vAlign w:val="center"/>
                </w:tcPr>
                <w:p>
                  <w:pPr>
                    <w:pStyle w:val="50"/>
                    <w:widowControl w:val="0"/>
                    <w:adjustRightInd w:val="0"/>
                    <w:snapToGrid w:val="0"/>
                    <w:spacing w:before="0" w:line="240" w:lineRule="auto"/>
                    <w:ind w:firstLine="0" w:firstLineChars="0"/>
                    <w:jc w:val="center"/>
                    <w:rPr>
                      <w:rFonts w:hint="default" w:ascii="Times New Roman" w:hAnsi="Times New Roman" w:cs="Times New Roman"/>
                      <w:color w:val="auto"/>
                      <w:spacing w:val="15"/>
                      <w:kern w:val="0"/>
                      <w:sz w:val="21"/>
                      <w:szCs w:val="21"/>
                      <w:lang w:val="en-US" w:eastAsia="zh-CN" w:bidi="ar-SA"/>
                    </w:rPr>
                  </w:pPr>
                  <w:r>
                    <w:rPr>
                      <w:rFonts w:hint="eastAsia" w:ascii="Times New Roman" w:hAnsi="Times New Roman" w:cs="Times New Roman"/>
                      <w:color w:val="auto"/>
                      <w:spacing w:val="15"/>
                      <w:kern w:val="0"/>
                      <w:sz w:val="21"/>
                      <w:szCs w:val="21"/>
                      <w:lang w:val="en-US" w:eastAsia="zh-CN" w:bidi="ar-SA"/>
                    </w:rPr>
                    <w:t>300</w:t>
                  </w:r>
                </w:p>
              </w:tc>
              <w:tc>
                <w:tcPr>
                  <w:tcW w:w="627" w:type="pct"/>
                  <w:shd w:val="clear" w:color="auto" w:fill="FFFFFF"/>
                  <w:vAlign w:val="center"/>
                </w:tcPr>
                <w:p>
                  <w:pPr>
                    <w:jc w:val="center"/>
                    <w:rPr>
                      <w:color w:val="auto"/>
                      <w:szCs w:val="21"/>
                    </w:rPr>
                  </w:pPr>
                  <w:r>
                    <w:rPr>
                      <w:color w:val="auto"/>
                      <w:szCs w:val="21"/>
                    </w:rPr>
                    <w:t>二类区</w:t>
                  </w:r>
                </w:p>
              </w:tc>
              <w:tc>
                <w:tcPr>
                  <w:tcW w:w="500" w:type="pct"/>
                  <w:shd w:val="clear" w:color="auto" w:fill="FFFFFF"/>
                  <w:vAlign w:val="center"/>
                </w:tcPr>
                <w:p>
                  <w:pPr>
                    <w:pStyle w:val="50"/>
                    <w:widowControl w:val="0"/>
                    <w:adjustRightInd w:val="0"/>
                    <w:snapToGrid w:val="0"/>
                    <w:spacing w:before="0" w:line="240" w:lineRule="auto"/>
                    <w:ind w:firstLine="0" w:firstLineChars="0"/>
                    <w:jc w:val="center"/>
                    <w:rPr>
                      <w:rFonts w:hint="default" w:ascii="Times New Roman" w:hAnsi="Times New Roman"/>
                      <w:color w:val="auto"/>
                      <w:sz w:val="21"/>
                      <w:szCs w:val="21"/>
                      <w:lang w:val="en-US" w:eastAsia="zh-CN"/>
                    </w:rPr>
                  </w:pPr>
                  <w:r>
                    <w:rPr>
                      <w:rFonts w:hint="eastAsia" w:ascii="Times New Roman" w:hAnsi="Times New Roman"/>
                      <w:color w:val="auto"/>
                      <w:sz w:val="21"/>
                      <w:szCs w:val="21"/>
                      <w:lang w:val="en-US" w:eastAsia="zh-CN"/>
                    </w:rPr>
                    <w:t>N</w:t>
                  </w:r>
                </w:p>
              </w:tc>
              <w:tc>
                <w:tcPr>
                  <w:tcW w:w="577" w:type="pct"/>
                  <w:shd w:val="clear" w:color="auto" w:fill="FFFFFF"/>
                  <w:vAlign w:val="center"/>
                </w:tcPr>
                <w:p>
                  <w:pPr>
                    <w:pStyle w:val="50"/>
                    <w:widowControl w:val="0"/>
                    <w:adjustRightInd w:val="0"/>
                    <w:snapToGrid w:val="0"/>
                    <w:spacing w:before="0" w:line="240" w:lineRule="auto"/>
                    <w:ind w:firstLine="0"/>
                    <w:jc w:val="center"/>
                    <w:rPr>
                      <w:rFonts w:hint="default" w:ascii="Times New Roman" w:hAnsi="Times New Roman" w:eastAsia="宋体"/>
                      <w:color w:val="auto"/>
                      <w:sz w:val="21"/>
                      <w:szCs w:val="21"/>
                      <w:lang w:val="en-US" w:eastAsia="zh-CN"/>
                    </w:rPr>
                  </w:pPr>
                  <w:r>
                    <w:rPr>
                      <w:rFonts w:hint="eastAsia" w:ascii="Times New Roman" w:hAnsi="Times New Roman"/>
                      <w:color w:val="auto"/>
                      <w:sz w:val="21"/>
                      <w:szCs w:val="21"/>
                      <w:lang w:val="en-US" w:eastAsia="zh-CN"/>
                    </w:rPr>
                    <w:t>1100</w:t>
                  </w:r>
                </w:p>
              </w:tc>
            </w:tr>
            <w:tr>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0" w:type="dxa"/>
                  <w:left w:w="108" w:type="dxa"/>
                  <w:bottom w:w="0" w:type="dxa"/>
                  <w:right w:w="108" w:type="dxa"/>
                </w:tblCellMar>
              </w:tblPrEx>
              <w:trPr>
                <w:trHeight w:val="717" w:hRule="atLeast"/>
                <w:jc w:val="center"/>
              </w:trPr>
              <w:tc>
                <w:tcPr>
                  <w:tcW w:w="554" w:type="pct"/>
                  <w:shd w:val="clear" w:color="auto" w:fill="FFFFFF"/>
                  <w:vAlign w:val="center"/>
                </w:tcPr>
                <w:p>
                  <w:pPr>
                    <w:pStyle w:val="50"/>
                    <w:widowControl w:val="0"/>
                    <w:adjustRightInd w:val="0"/>
                    <w:snapToGrid w:val="0"/>
                    <w:spacing w:before="0" w:line="240" w:lineRule="auto"/>
                    <w:ind w:firstLine="0" w:firstLineChars="0"/>
                    <w:jc w:val="center"/>
                    <w:rPr>
                      <w:rFonts w:hint="eastAsia" w:ascii="Times New Roman" w:hAnsi="Times New Roman" w:eastAsia="宋体" w:cs="Times New Roman"/>
                      <w:color w:val="auto"/>
                      <w:spacing w:val="15"/>
                      <w:kern w:val="0"/>
                      <w:sz w:val="21"/>
                      <w:szCs w:val="21"/>
                      <w:lang w:val="en-US" w:eastAsia="zh-CN" w:bidi="ar-SA"/>
                    </w:rPr>
                  </w:pPr>
                  <w:r>
                    <w:rPr>
                      <w:rFonts w:hint="eastAsia" w:ascii="Times New Roman" w:hAnsi="Times New Roman"/>
                      <w:color w:val="auto"/>
                      <w:sz w:val="21"/>
                      <w:szCs w:val="21"/>
                    </w:rPr>
                    <w:t>东城实验小学</w:t>
                  </w:r>
                </w:p>
              </w:tc>
              <w:tc>
                <w:tcPr>
                  <w:tcW w:w="745" w:type="pct"/>
                  <w:shd w:val="clear" w:color="auto" w:fill="FFFFFF"/>
                  <w:vAlign w:val="center"/>
                </w:tcPr>
                <w:p>
                  <w:pPr>
                    <w:pStyle w:val="50"/>
                    <w:widowControl w:val="0"/>
                    <w:adjustRightInd w:val="0"/>
                    <w:snapToGrid w:val="0"/>
                    <w:spacing w:before="0" w:line="240" w:lineRule="auto"/>
                    <w:ind w:firstLine="0" w:firstLineChars="0"/>
                    <w:jc w:val="center"/>
                    <w:rPr>
                      <w:rFonts w:hint="eastAsia" w:ascii="Times New Roman" w:hAnsi="Times New Roman" w:eastAsia="宋体" w:cs="Times New Roman"/>
                      <w:color w:val="auto"/>
                      <w:spacing w:val="15"/>
                      <w:kern w:val="0"/>
                      <w:sz w:val="21"/>
                      <w:szCs w:val="21"/>
                      <w:lang w:val="en-US" w:eastAsia="zh-CN" w:bidi="ar-SA"/>
                    </w:rPr>
                  </w:pPr>
                  <w:r>
                    <w:rPr>
                      <w:rFonts w:hint="eastAsia" w:ascii="Times New Roman" w:hAnsi="Times New Roman"/>
                      <w:color w:val="auto"/>
                      <w:sz w:val="21"/>
                      <w:szCs w:val="21"/>
                    </w:rPr>
                    <w:t>119.634815</w:t>
                  </w:r>
                </w:p>
              </w:tc>
              <w:tc>
                <w:tcPr>
                  <w:tcW w:w="631" w:type="pct"/>
                  <w:shd w:val="clear" w:color="auto" w:fill="FFFFFF"/>
                  <w:vAlign w:val="center"/>
                </w:tcPr>
                <w:p>
                  <w:pPr>
                    <w:pStyle w:val="50"/>
                    <w:widowControl w:val="0"/>
                    <w:adjustRightInd w:val="0"/>
                    <w:snapToGrid w:val="0"/>
                    <w:spacing w:before="0" w:line="240" w:lineRule="auto"/>
                    <w:ind w:firstLine="0" w:firstLineChars="0"/>
                    <w:jc w:val="center"/>
                    <w:rPr>
                      <w:rFonts w:hint="eastAsia" w:ascii="Times New Roman" w:hAnsi="Times New Roman" w:eastAsia="宋体" w:cs="Times New Roman"/>
                      <w:color w:val="auto"/>
                      <w:spacing w:val="15"/>
                      <w:kern w:val="0"/>
                      <w:sz w:val="21"/>
                      <w:szCs w:val="21"/>
                      <w:lang w:val="en-US" w:eastAsia="zh-CN" w:bidi="ar-SA"/>
                    </w:rPr>
                  </w:pPr>
                  <w:r>
                    <w:rPr>
                      <w:rFonts w:hint="eastAsia" w:ascii="Times New Roman" w:hAnsi="Times New Roman"/>
                      <w:color w:val="auto"/>
                      <w:sz w:val="21"/>
                      <w:szCs w:val="21"/>
                    </w:rPr>
                    <w:t>31.744563</w:t>
                  </w:r>
                </w:p>
              </w:tc>
              <w:tc>
                <w:tcPr>
                  <w:tcW w:w="469" w:type="pct"/>
                  <w:shd w:val="clear" w:color="auto" w:fill="FFFFFF"/>
                  <w:vAlign w:val="center"/>
                </w:tcPr>
                <w:p>
                  <w:pPr>
                    <w:jc w:val="center"/>
                    <w:rPr>
                      <w:rFonts w:ascii="Times New Roman" w:hAnsi="Times New Roman" w:eastAsia="宋体" w:cs="Times New Roman"/>
                      <w:color w:val="auto"/>
                      <w:kern w:val="2"/>
                      <w:sz w:val="21"/>
                      <w:szCs w:val="21"/>
                      <w:lang w:val="en-US" w:eastAsia="zh-CN" w:bidi="ar-SA"/>
                    </w:rPr>
                  </w:pPr>
                  <w:r>
                    <w:rPr>
                      <w:color w:val="auto"/>
                      <w:szCs w:val="21"/>
                    </w:rPr>
                    <w:t>居住区</w:t>
                  </w:r>
                </w:p>
              </w:tc>
              <w:tc>
                <w:tcPr>
                  <w:tcW w:w="469" w:type="pct"/>
                  <w:shd w:val="clear" w:color="auto" w:fill="FFFFFF"/>
                  <w:vAlign w:val="center"/>
                </w:tcPr>
                <w:p>
                  <w:pPr>
                    <w:pStyle w:val="50"/>
                    <w:widowControl w:val="0"/>
                    <w:adjustRightInd w:val="0"/>
                    <w:snapToGrid w:val="0"/>
                    <w:spacing w:before="0" w:line="240" w:lineRule="auto"/>
                    <w:ind w:firstLine="0" w:firstLineChars="0"/>
                    <w:jc w:val="center"/>
                    <w:rPr>
                      <w:rFonts w:ascii="Times New Roman" w:hAnsi="Times New Roman" w:eastAsia="宋体" w:cs="Times New Roman"/>
                      <w:color w:val="auto"/>
                      <w:spacing w:val="15"/>
                      <w:kern w:val="0"/>
                      <w:sz w:val="21"/>
                      <w:szCs w:val="21"/>
                      <w:lang w:val="en-US" w:eastAsia="zh-CN" w:bidi="ar-SA"/>
                    </w:rPr>
                  </w:pPr>
                  <w:r>
                    <w:rPr>
                      <w:rFonts w:ascii="Times New Roman" w:hAnsi="Times New Roman"/>
                      <w:color w:val="auto"/>
                      <w:sz w:val="21"/>
                      <w:szCs w:val="21"/>
                    </w:rPr>
                    <w:t>人群</w:t>
                  </w:r>
                </w:p>
              </w:tc>
              <w:tc>
                <w:tcPr>
                  <w:tcW w:w="424" w:type="pct"/>
                  <w:shd w:val="clear" w:color="auto" w:fill="FFFFFF"/>
                  <w:vAlign w:val="center"/>
                </w:tcPr>
                <w:p>
                  <w:pPr>
                    <w:pStyle w:val="50"/>
                    <w:widowControl w:val="0"/>
                    <w:adjustRightInd w:val="0"/>
                    <w:snapToGrid w:val="0"/>
                    <w:spacing w:before="0" w:line="240" w:lineRule="auto"/>
                    <w:ind w:firstLine="0" w:firstLineChars="0"/>
                    <w:jc w:val="center"/>
                    <w:rPr>
                      <w:rFonts w:hint="eastAsia" w:ascii="Times New Roman" w:hAnsi="Times New Roman" w:eastAsia="宋体" w:cs="Times New Roman"/>
                      <w:color w:val="auto"/>
                      <w:spacing w:val="15"/>
                      <w:kern w:val="0"/>
                      <w:sz w:val="21"/>
                      <w:szCs w:val="21"/>
                      <w:lang w:val="en-US" w:eastAsia="zh-CN" w:bidi="ar-SA"/>
                    </w:rPr>
                  </w:pPr>
                  <w:r>
                    <w:rPr>
                      <w:rFonts w:hint="eastAsia" w:ascii="Times New Roman" w:hAnsi="Times New Roman" w:cs="Times New Roman"/>
                      <w:color w:val="auto"/>
                      <w:spacing w:val="15"/>
                      <w:kern w:val="0"/>
                      <w:sz w:val="21"/>
                      <w:szCs w:val="21"/>
                      <w:lang w:val="en-US" w:eastAsia="zh-CN" w:bidi="ar-SA"/>
                    </w:rPr>
                    <w:t>1000</w:t>
                  </w:r>
                </w:p>
              </w:tc>
              <w:tc>
                <w:tcPr>
                  <w:tcW w:w="627" w:type="pct"/>
                  <w:shd w:val="clear" w:color="auto" w:fill="FFFFFF"/>
                  <w:vAlign w:val="center"/>
                </w:tcPr>
                <w:p>
                  <w:pPr>
                    <w:jc w:val="center"/>
                    <w:rPr>
                      <w:rFonts w:ascii="Times New Roman" w:hAnsi="Times New Roman" w:eastAsia="宋体" w:cs="Times New Roman"/>
                      <w:color w:val="auto"/>
                      <w:kern w:val="2"/>
                      <w:sz w:val="21"/>
                      <w:szCs w:val="21"/>
                      <w:lang w:val="en-US" w:eastAsia="zh-CN" w:bidi="ar-SA"/>
                    </w:rPr>
                  </w:pPr>
                  <w:r>
                    <w:rPr>
                      <w:color w:val="auto"/>
                      <w:szCs w:val="21"/>
                    </w:rPr>
                    <w:t>二类区</w:t>
                  </w:r>
                </w:p>
              </w:tc>
              <w:tc>
                <w:tcPr>
                  <w:tcW w:w="500" w:type="pct"/>
                  <w:shd w:val="clear" w:color="auto" w:fill="FFFFFF"/>
                  <w:vAlign w:val="center"/>
                </w:tcPr>
                <w:p>
                  <w:pPr>
                    <w:pStyle w:val="50"/>
                    <w:widowControl w:val="0"/>
                    <w:adjustRightInd w:val="0"/>
                    <w:snapToGrid w:val="0"/>
                    <w:spacing w:before="0" w:line="240" w:lineRule="auto"/>
                    <w:ind w:firstLine="0" w:firstLineChars="0"/>
                    <w:jc w:val="center"/>
                    <w:rPr>
                      <w:rFonts w:hint="eastAsia" w:ascii="Times New Roman" w:hAnsi="Times New Roman" w:eastAsia="宋体" w:cs="Times New Roman"/>
                      <w:color w:val="auto"/>
                      <w:spacing w:val="15"/>
                      <w:kern w:val="0"/>
                      <w:sz w:val="21"/>
                      <w:szCs w:val="21"/>
                      <w:lang w:val="en-US" w:eastAsia="zh-CN" w:bidi="ar-SA"/>
                    </w:rPr>
                  </w:pPr>
                  <w:r>
                    <w:rPr>
                      <w:rFonts w:hint="eastAsia" w:ascii="Times New Roman" w:hAnsi="Times New Roman"/>
                      <w:color w:val="auto"/>
                      <w:sz w:val="21"/>
                      <w:szCs w:val="21"/>
                    </w:rPr>
                    <w:t>SE</w:t>
                  </w:r>
                </w:p>
              </w:tc>
              <w:tc>
                <w:tcPr>
                  <w:tcW w:w="577" w:type="pct"/>
                  <w:shd w:val="clear" w:color="auto" w:fill="FFFFFF"/>
                  <w:vAlign w:val="center"/>
                </w:tcPr>
                <w:p>
                  <w:pPr>
                    <w:pStyle w:val="50"/>
                    <w:widowControl w:val="0"/>
                    <w:adjustRightInd w:val="0"/>
                    <w:snapToGrid w:val="0"/>
                    <w:spacing w:before="0" w:line="240" w:lineRule="auto"/>
                    <w:ind w:firstLine="0" w:firstLineChars="0"/>
                    <w:jc w:val="center"/>
                    <w:rPr>
                      <w:rFonts w:hint="default" w:ascii="Times New Roman" w:hAnsi="Times New Roman" w:eastAsia="宋体" w:cs="Times New Roman"/>
                      <w:color w:val="auto"/>
                      <w:spacing w:val="15"/>
                      <w:kern w:val="0"/>
                      <w:sz w:val="21"/>
                      <w:szCs w:val="21"/>
                      <w:lang w:val="en-US" w:eastAsia="zh-CN" w:bidi="ar-SA"/>
                    </w:rPr>
                  </w:pPr>
                  <w:r>
                    <w:rPr>
                      <w:rFonts w:hint="eastAsia" w:ascii="Times New Roman" w:hAnsi="Times New Roman" w:cs="Times New Roman"/>
                      <w:color w:val="auto"/>
                      <w:spacing w:val="15"/>
                      <w:kern w:val="0"/>
                      <w:sz w:val="21"/>
                      <w:szCs w:val="21"/>
                      <w:lang w:val="en-US" w:eastAsia="zh-CN" w:bidi="ar-SA"/>
                    </w:rPr>
                    <w:t>1270</w:t>
                  </w:r>
                </w:p>
              </w:tc>
            </w:tr>
            <w:tr>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0" w:type="dxa"/>
                  <w:left w:w="108" w:type="dxa"/>
                  <w:bottom w:w="0" w:type="dxa"/>
                  <w:right w:w="108" w:type="dxa"/>
                </w:tblCellMar>
              </w:tblPrEx>
              <w:trPr>
                <w:trHeight w:val="717" w:hRule="atLeast"/>
                <w:jc w:val="center"/>
              </w:trPr>
              <w:tc>
                <w:tcPr>
                  <w:tcW w:w="554" w:type="pct"/>
                  <w:shd w:val="clear" w:color="auto" w:fill="FFFFFF"/>
                  <w:vAlign w:val="center"/>
                </w:tcPr>
                <w:p>
                  <w:pPr>
                    <w:pStyle w:val="50"/>
                    <w:widowControl w:val="0"/>
                    <w:adjustRightInd w:val="0"/>
                    <w:snapToGrid w:val="0"/>
                    <w:spacing w:before="0" w:line="240" w:lineRule="auto"/>
                    <w:ind w:firstLine="0" w:firstLineChars="0"/>
                    <w:jc w:val="center"/>
                    <w:rPr>
                      <w:rFonts w:hint="eastAsia" w:ascii="Times New Roman" w:hAnsi="Times New Roman" w:eastAsia="宋体" w:cs="Times New Roman"/>
                      <w:color w:val="auto"/>
                      <w:spacing w:val="15"/>
                      <w:kern w:val="0"/>
                      <w:sz w:val="21"/>
                      <w:szCs w:val="21"/>
                      <w:lang w:val="en-US" w:eastAsia="zh-CN" w:bidi="ar-SA"/>
                    </w:rPr>
                  </w:pPr>
                  <w:r>
                    <w:rPr>
                      <w:rFonts w:hint="eastAsia" w:ascii="Times New Roman" w:hAnsi="Times New Roman"/>
                      <w:color w:val="auto"/>
                      <w:sz w:val="21"/>
                      <w:szCs w:val="21"/>
                    </w:rPr>
                    <w:t>金田花园</w:t>
                  </w:r>
                </w:p>
              </w:tc>
              <w:tc>
                <w:tcPr>
                  <w:tcW w:w="745" w:type="pct"/>
                  <w:shd w:val="clear" w:color="auto" w:fill="FFFFFF"/>
                  <w:vAlign w:val="center"/>
                </w:tcPr>
                <w:p>
                  <w:pPr>
                    <w:pStyle w:val="50"/>
                    <w:widowControl w:val="0"/>
                    <w:adjustRightInd w:val="0"/>
                    <w:snapToGrid w:val="0"/>
                    <w:spacing w:before="0" w:line="240" w:lineRule="auto"/>
                    <w:ind w:firstLine="0" w:firstLineChars="0"/>
                    <w:jc w:val="center"/>
                    <w:rPr>
                      <w:rFonts w:hint="eastAsia" w:ascii="Times New Roman" w:hAnsi="Times New Roman" w:eastAsia="宋体" w:cs="Times New Roman"/>
                      <w:color w:val="auto"/>
                      <w:spacing w:val="15"/>
                      <w:kern w:val="0"/>
                      <w:sz w:val="21"/>
                      <w:szCs w:val="21"/>
                      <w:lang w:val="en-US" w:eastAsia="zh-CN" w:bidi="ar-SA"/>
                    </w:rPr>
                  </w:pPr>
                  <w:r>
                    <w:rPr>
                      <w:rFonts w:hint="eastAsia" w:ascii="Times New Roman" w:hAnsi="Times New Roman"/>
                      <w:color w:val="auto"/>
                      <w:sz w:val="21"/>
                      <w:szCs w:val="21"/>
                    </w:rPr>
                    <w:t>119.632600</w:t>
                  </w:r>
                </w:p>
              </w:tc>
              <w:tc>
                <w:tcPr>
                  <w:tcW w:w="631" w:type="pct"/>
                  <w:shd w:val="clear" w:color="auto" w:fill="FFFFFF"/>
                  <w:vAlign w:val="center"/>
                </w:tcPr>
                <w:p>
                  <w:pPr>
                    <w:pStyle w:val="50"/>
                    <w:widowControl w:val="0"/>
                    <w:adjustRightInd w:val="0"/>
                    <w:snapToGrid w:val="0"/>
                    <w:spacing w:before="0" w:line="240" w:lineRule="auto"/>
                    <w:ind w:firstLine="0" w:firstLineChars="0"/>
                    <w:jc w:val="center"/>
                    <w:rPr>
                      <w:rFonts w:hint="eastAsia" w:ascii="Times New Roman" w:hAnsi="Times New Roman" w:eastAsia="宋体" w:cs="Times New Roman"/>
                      <w:color w:val="auto"/>
                      <w:spacing w:val="15"/>
                      <w:kern w:val="0"/>
                      <w:sz w:val="21"/>
                      <w:szCs w:val="21"/>
                      <w:lang w:val="en-US" w:eastAsia="zh-CN" w:bidi="ar-SA"/>
                    </w:rPr>
                  </w:pPr>
                  <w:r>
                    <w:rPr>
                      <w:rFonts w:hint="eastAsia" w:ascii="Times New Roman" w:hAnsi="Times New Roman"/>
                      <w:color w:val="auto"/>
                      <w:sz w:val="21"/>
                      <w:szCs w:val="21"/>
                    </w:rPr>
                    <w:t>31.743004</w:t>
                  </w:r>
                </w:p>
              </w:tc>
              <w:tc>
                <w:tcPr>
                  <w:tcW w:w="469" w:type="pct"/>
                  <w:shd w:val="clear" w:color="auto" w:fill="FFFFFF"/>
                  <w:vAlign w:val="center"/>
                </w:tcPr>
                <w:p>
                  <w:pPr>
                    <w:jc w:val="center"/>
                    <w:rPr>
                      <w:rFonts w:ascii="Times New Roman" w:hAnsi="Times New Roman" w:eastAsia="宋体" w:cs="Times New Roman"/>
                      <w:color w:val="auto"/>
                      <w:kern w:val="2"/>
                      <w:sz w:val="21"/>
                      <w:szCs w:val="21"/>
                      <w:lang w:val="en-US" w:eastAsia="zh-CN" w:bidi="ar-SA"/>
                    </w:rPr>
                  </w:pPr>
                  <w:r>
                    <w:rPr>
                      <w:color w:val="auto"/>
                      <w:szCs w:val="21"/>
                    </w:rPr>
                    <w:t>居住区</w:t>
                  </w:r>
                </w:p>
              </w:tc>
              <w:tc>
                <w:tcPr>
                  <w:tcW w:w="469" w:type="pct"/>
                  <w:shd w:val="clear" w:color="auto" w:fill="FFFFFF"/>
                  <w:vAlign w:val="center"/>
                </w:tcPr>
                <w:p>
                  <w:pPr>
                    <w:pStyle w:val="50"/>
                    <w:widowControl w:val="0"/>
                    <w:adjustRightInd w:val="0"/>
                    <w:snapToGrid w:val="0"/>
                    <w:spacing w:before="0" w:line="240" w:lineRule="auto"/>
                    <w:ind w:firstLine="0" w:firstLineChars="0"/>
                    <w:jc w:val="center"/>
                    <w:rPr>
                      <w:rFonts w:ascii="Times New Roman" w:hAnsi="Times New Roman" w:eastAsia="宋体" w:cs="Times New Roman"/>
                      <w:color w:val="auto"/>
                      <w:spacing w:val="15"/>
                      <w:kern w:val="0"/>
                      <w:sz w:val="21"/>
                      <w:szCs w:val="21"/>
                      <w:lang w:val="en-US" w:eastAsia="zh-CN" w:bidi="ar-SA"/>
                    </w:rPr>
                  </w:pPr>
                  <w:r>
                    <w:rPr>
                      <w:rFonts w:ascii="Times New Roman" w:hAnsi="Times New Roman"/>
                      <w:color w:val="auto"/>
                      <w:sz w:val="21"/>
                      <w:szCs w:val="21"/>
                    </w:rPr>
                    <w:t>人群</w:t>
                  </w:r>
                </w:p>
              </w:tc>
              <w:tc>
                <w:tcPr>
                  <w:tcW w:w="424" w:type="pct"/>
                  <w:shd w:val="clear" w:color="auto" w:fill="FFFFFF"/>
                  <w:vAlign w:val="center"/>
                </w:tcPr>
                <w:p>
                  <w:pPr>
                    <w:pStyle w:val="50"/>
                    <w:widowControl w:val="0"/>
                    <w:adjustRightInd w:val="0"/>
                    <w:snapToGrid w:val="0"/>
                    <w:spacing w:before="0" w:line="240" w:lineRule="auto"/>
                    <w:ind w:firstLine="0" w:firstLineChars="0"/>
                    <w:jc w:val="center"/>
                    <w:rPr>
                      <w:rFonts w:hint="eastAsia" w:ascii="Times New Roman" w:hAnsi="Times New Roman" w:eastAsia="宋体" w:cs="Times New Roman"/>
                      <w:color w:val="auto"/>
                      <w:spacing w:val="15"/>
                      <w:kern w:val="0"/>
                      <w:sz w:val="21"/>
                      <w:szCs w:val="21"/>
                      <w:lang w:val="en-US" w:eastAsia="zh-CN" w:bidi="ar-SA"/>
                    </w:rPr>
                  </w:pPr>
                  <w:r>
                    <w:rPr>
                      <w:rFonts w:hint="eastAsia" w:ascii="Times New Roman" w:hAnsi="Times New Roman" w:cs="Times New Roman"/>
                      <w:color w:val="auto"/>
                      <w:spacing w:val="15"/>
                      <w:kern w:val="0"/>
                      <w:sz w:val="21"/>
                      <w:szCs w:val="21"/>
                      <w:lang w:val="en-US" w:eastAsia="zh-CN" w:bidi="ar-SA"/>
                    </w:rPr>
                    <w:t>1500</w:t>
                  </w:r>
                </w:p>
              </w:tc>
              <w:tc>
                <w:tcPr>
                  <w:tcW w:w="627" w:type="pct"/>
                  <w:shd w:val="clear" w:color="auto" w:fill="FFFFFF"/>
                  <w:vAlign w:val="center"/>
                </w:tcPr>
                <w:p>
                  <w:pPr>
                    <w:jc w:val="center"/>
                    <w:rPr>
                      <w:rFonts w:ascii="Times New Roman" w:hAnsi="Times New Roman" w:eastAsia="宋体" w:cs="Times New Roman"/>
                      <w:color w:val="auto"/>
                      <w:kern w:val="2"/>
                      <w:sz w:val="21"/>
                      <w:szCs w:val="21"/>
                      <w:lang w:val="en-US" w:eastAsia="zh-CN" w:bidi="ar-SA"/>
                    </w:rPr>
                  </w:pPr>
                  <w:r>
                    <w:rPr>
                      <w:color w:val="auto"/>
                      <w:szCs w:val="21"/>
                    </w:rPr>
                    <w:t>二类区</w:t>
                  </w:r>
                </w:p>
              </w:tc>
              <w:tc>
                <w:tcPr>
                  <w:tcW w:w="500" w:type="pct"/>
                  <w:shd w:val="clear" w:color="auto" w:fill="FFFFFF"/>
                  <w:vAlign w:val="center"/>
                </w:tcPr>
                <w:p>
                  <w:pPr>
                    <w:pStyle w:val="50"/>
                    <w:widowControl w:val="0"/>
                    <w:adjustRightInd w:val="0"/>
                    <w:snapToGrid w:val="0"/>
                    <w:spacing w:before="0" w:line="240" w:lineRule="auto"/>
                    <w:ind w:firstLine="0" w:firstLineChars="0"/>
                    <w:jc w:val="center"/>
                    <w:rPr>
                      <w:rFonts w:hint="eastAsia" w:ascii="Times New Roman" w:hAnsi="Times New Roman" w:eastAsia="宋体" w:cs="Times New Roman"/>
                      <w:color w:val="auto"/>
                      <w:spacing w:val="15"/>
                      <w:kern w:val="0"/>
                      <w:sz w:val="21"/>
                      <w:szCs w:val="21"/>
                      <w:lang w:val="en-US" w:eastAsia="zh-CN" w:bidi="ar-SA"/>
                    </w:rPr>
                  </w:pPr>
                  <w:r>
                    <w:rPr>
                      <w:rFonts w:hint="eastAsia" w:ascii="Times New Roman" w:hAnsi="Times New Roman"/>
                      <w:color w:val="auto"/>
                      <w:sz w:val="21"/>
                      <w:szCs w:val="21"/>
                    </w:rPr>
                    <w:t>S</w:t>
                  </w:r>
                </w:p>
              </w:tc>
              <w:tc>
                <w:tcPr>
                  <w:tcW w:w="577" w:type="pct"/>
                  <w:shd w:val="clear" w:color="auto" w:fill="FFFFFF"/>
                  <w:vAlign w:val="center"/>
                </w:tcPr>
                <w:p>
                  <w:pPr>
                    <w:pStyle w:val="50"/>
                    <w:widowControl w:val="0"/>
                    <w:adjustRightInd w:val="0"/>
                    <w:snapToGrid w:val="0"/>
                    <w:spacing w:before="0" w:line="240" w:lineRule="auto"/>
                    <w:ind w:firstLine="0" w:firstLineChars="0"/>
                    <w:jc w:val="center"/>
                    <w:rPr>
                      <w:rFonts w:hint="default" w:ascii="Times New Roman" w:hAnsi="Times New Roman" w:eastAsia="宋体" w:cs="Times New Roman"/>
                      <w:color w:val="auto"/>
                      <w:spacing w:val="15"/>
                      <w:kern w:val="0"/>
                      <w:sz w:val="21"/>
                      <w:szCs w:val="21"/>
                      <w:lang w:val="en-US" w:eastAsia="zh-CN" w:bidi="ar-SA"/>
                    </w:rPr>
                  </w:pPr>
                  <w:r>
                    <w:rPr>
                      <w:rFonts w:hint="eastAsia" w:ascii="Times New Roman" w:hAnsi="Times New Roman" w:cs="Times New Roman"/>
                      <w:color w:val="auto"/>
                      <w:spacing w:val="15"/>
                      <w:kern w:val="0"/>
                      <w:sz w:val="21"/>
                      <w:szCs w:val="21"/>
                      <w:lang w:val="en-US" w:eastAsia="zh-CN" w:bidi="ar-SA"/>
                    </w:rPr>
                    <w:t>1200</w:t>
                  </w:r>
                </w:p>
              </w:tc>
            </w:tr>
            <w:tr>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0" w:type="dxa"/>
                  <w:left w:w="108" w:type="dxa"/>
                  <w:bottom w:w="0" w:type="dxa"/>
                  <w:right w:w="108" w:type="dxa"/>
                </w:tblCellMar>
              </w:tblPrEx>
              <w:trPr>
                <w:trHeight w:val="717" w:hRule="atLeast"/>
                <w:jc w:val="center"/>
              </w:trPr>
              <w:tc>
                <w:tcPr>
                  <w:tcW w:w="554" w:type="pct"/>
                  <w:shd w:val="clear" w:color="auto" w:fill="FFFFFF"/>
                  <w:vAlign w:val="center"/>
                </w:tcPr>
                <w:p>
                  <w:pPr>
                    <w:pStyle w:val="50"/>
                    <w:widowControl w:val="0"/>
                    <w:adjustRightInd w:val="0"/>
                    <w:snapToGrid w:val="0"/>
                    <w:spacing w:before="0" w:line="240" w:lineRule="auto"/>
                    <w:ind w:firstLine="0" w:firstLineChars="0"/>
                    <w:jc w:val="center"/>
                    <w:rPr>
                      <w:rFonts w:hint="eastAsia" w:ascii="Times New Roman" w:hAnsi="Times New Roman" w:eastAsia="宋体" w:cs="Times New Roman"/>
                      <w:color w:val="auto"/>
                      <w:spacing w:val="15"/>
                      <w:kern w:val="0"/>
                      <w:sz w:val="21"/>
                      <w:szCs w:val="21"/>
                      <w:lang w:val="en-US" w:eastAsia="zh-CN" w:bidi="ar-SA"/>
                    </w:rPr>
                  </w:pPr>
                  <w:r>
                    <w:rPr>
                      <w:rFonts w:hint="eastAsia" w:ascii="Times New Roman" w:hAnsi="Times New Roman"/>
                      <w:color w:val="auto"/>
                      <w:sz w:val="21"/>
                      <w:szCs w:val="21"/>
                    </w:rPr>
                    <w:t>金江</w:t>
                  </w:r>
                  <w:r>
                    <w:rPr>
                      <w:rFonts w:hint="eastAsia" w:ascii="Times New Roman" w:hAnsi="Times New Roman"/>
                      <w:color w:val="auto"/>
                      <w:sz w:val="21"/>
                      <w:szCs w:val="21"/>
                      <w:lang w:eastAsia="zh-CN"/>
                    </w:rPr>
                    <w:t>东</w:t>
                  </w:r>
                  <w:r>
                    <w:rPr>
                      <w:rFonts w:hint="eastAsia" w:ascii="Times New Roman" w:hAnsi="Times New Roman"/>
                      <w:color w:val="auto"/>
                      <w:sz w:val="21"/>
                      <w:szCs w:val="21"/>
                    </w:rPr>
                    <w:t>苑</w:t>
                  </w:r>
                </w:p>
              </w:tc>
              <w:tc>
                <w:tcPr>
                  <w:tcW w:w="745" w:type="pct"/>
                  <w:shd w:val="clear" w:color="auto" w:fill="FFFFFF"/>
                  <w:vAlign w:val="center"/>
                </w:tcPr>
                <w:p>
                  <w:pPr>
                    <w:pStyle w:val="50"/>
                    <w:widowControl w:val="0"/>
                    <w:adjustRightInd w:val="0"/>
                    <w:snapToGrid w:val="0"/>
                    <w:spacing w:before="0" w:line="240" w:lineRule="auto"/>
                    <w:ind w:firstLine="0" w:firstLineChars="0"/>
                    <w:jc w:val="center"/>
                    <w:rPr>
                      <w:rFonts w:hint="eastAsia" w:ascii="Times New Roman" w:hAnsi="Times New Roman" w:eastAsia="宋体" w:cs="Times New Roman"/>
                      <w:color w:val="auto"/>
                      <w:spacing w:val="15"/>
                      <w:kern w:val="0"/>
                      <w:sz w:val="21"/>
                      <w:szCs w:val="21"/>
                      <w:lang w:val="en-US" w:eastAsia="zh-CN" w:bidi="ar-SA"/>
                    </w:rPr>
                  </w:pPr>
                  <w:r>
                    <w:rPr>
                      <w:rFonts w:hint="eastAsia" w:ascii="Times New Roman" w:hAnsi="Times New Roman"/>
                      <w:color w:val="auto"/>
                      <w:sz w:val="21"/>
                      <w:szCs w:val="21"/>
                    </w:rPr>
                    <w:t>119.620420</w:t>
                  </w:r>
                </w:p>
              </w:tc>
              <w:tc>
                <w:tcPr>
                  <w:tcW w:w="631" w:type="pct"/>
                  <w:shd w:val="clear" w:color="auto" w:fill="FFFFFF"/>
                  <w:vAlign w:val="center"/>
                </w:tcPr>
                <w:p>
                  <w:pPr>
                    <w:pStyle w:val="50"/>
                    <w:widowControl w:val="0"/>
                    <w:adjustRightInd w:val="0"/>
                    <w:snapToGrid w:val="0"/>
                    <w:spacing w:before="0" w:line="240" w:lineRule="auto"/>
                    <w:ind w:firstLine="0" w:firstLineChars="0"/>
                    <w:jc w:val="center"/>
                    <w:rPr>
                      <w:rFonts w:hint="eastAsia" w:ascii="Times New Roman" w:hAnsi="Times New Roman" w:eastAsia="宋体" w:cs="Times New Roman"/>
                      <w:color w:val="auto"/>
                      <w:spacing w:val="15"/>
                      <w:kern w:val="0"/>
                      <w:sz w:val="21"/>
                      <w:szCs w:val="21"/>
                      <w:lang w:val="en-US" w:eastAsia="zh-CN" w:bidi="ar-SA"/>
                    </w:rPr>
                  </w:pPr>
                  <w:r>
                    <w:rPr>
                      <w:rFonts w:hint="eastAsia" w:ascii="Times New Roman" w:hAnsi="Times New Roman"/>
                      <w:color w:val="auto"/>
                      <w:sz w:val="21"/>
                      <w:szCs w:val="21"/>
                    </w:rPr>
                    <w:t>31.742784</w:t>
                  </w:r>
                </w:p>
              </w:tc>
              <w:tc>
                <w:tcPr>
                  <w:tcW w:w="469" w:type="pct"/>
                  <w:shd w:val="clear" w:color="auto" w:fill="FFFFFF"/>
                  <w:vAlign w:val="center"/>
                </w:tcPr>
                <w:p>
                  <w:pPr>
                    <w:jc w:val="center"/>
                    <w:rPr>
                      <w:rFonts w:ascii="Times New Roman" w:hAnsi="Times New Roman" w:eastAsia="宋体" w:cs="Times New Roman"/>
                      <w:color w:val="auto"/>
                      <w:kern w:val="2"/>
                      <w:sz w:val="21"/>
                      <w:szCs w:val="21"/>
                      <w:lang w:val="en-US" w:eastAsia="zh-CN" w:bidi="ar-SA"/>
                    </w:rPr>
                  </w:pPr>
                  <w:r>
                    <w:rPr>
                      <w:color w:val="auto"/>
                      <w:szCs w:val="21"/>
                    </w:rPr>
                    <w:t>居住区</w:t>
                  </w:r>
                </w:p>
              </w:tc>
              <w:tc>
                <w:tcPr>
                  <w:tcW w:w="469" w:type="pct"/>
                  <w:shd w:val="clear" w:color="auto" w:fill="FFFFFF"/>
                  <w:vAlign w:val="center"/>
                </w:tcPr>
                <w:p>
                  <w:pPr>
                    <w:pStyle w:val="50"/>
                    <w:widowControl w:val="0"/>
                    <w:adjustRightInd w:val="0"/>
                    <w:snapToGrid w:val="0"/>
                    <w:spacing w:before="0" w:line="240" w:lineRule="auto"/>
                    <w:ind w:firstLine="0" w:firstLineChars="0"/>
                    <w:jc w:val="center"/>
                    <w:rPr>
                      <w:rFonts w:ascii="Times New Roman" w:hAnsi="Times New Roman" w:eastAsia="宋体" w:cs="Times New Roman"/>
                      <w:color w:val="auto"/>
                      <w:spacing w:val="15"/>
                      <w:kern w:val="0"/>
                      <w:sz w:val="21"/>
                      <w:szCs w:val="21"/>
                      <w:lang w:val="en-US" w:eastAsia="zh-CN" w:bidi="ar-SA"/>
                    </w:rPr>
                  </w:pPr>
                  <w:r>
                    <w:rPr>
                      <w:rFonts w:ascii="Times New Roman" w:hAnsi="Times New Roman"/>
                      <w:color w:val="auto"/>
                      <w:sz w:val="21"/>
                      <w:szCs w:val="21"/>
                    </w:rPr>
                    <w:t>人群</w:t>
                  </w:r>
                </w:p>
              </w:tc>
              <w:tc>
                <w:tcPr>
                  <w:tcW w:w="424" w:type="pct"/>
                  <w:shd w:val="clear" w:color="auto" w:fill="FFFFFF"/>
                  <w:vAlign w:val="center"/>
                </w:tcPr>
                <w:p>
                  <w:pPr>
                    <w:pStyle w:val="50"/>
                    <w:widowControl w:val="0"/>
                    <w:adjustRightInd w:val="0"/>
                    <w:snapToGrid w:val="0"/>
                    <w:spacing w:before="0" w:line="240" w:lineRule="auto"/>
                    <w:ind w:firstLine="0" w:firstLineChars="0"/>
                    <w:jc w:val="center"/>
                    <w:rPr>
                      <w:rFonts w:hint="eastAsia" w:ascii="Times New Roman" w:hAnsi="Times New Roman" w:eastAsia="宋体" w:cs="Times New Roman"/>
                      <w:color w:val="auto"/>
                      <w:spacing w:val="15"/>
                      <w:kern w:val="0"/>
                      <w:sz w:val="21"/>
                      <w:szCs w:val="21"/>
                      <w:lang w:val="en-US" w:eastAsia="zh-CN" w:bidi="ar-SA"/>
                    </w:rPr>
                  </w:pPr>
                  <w:r>
                    <w:rPr>
                      <w:rFonts w:hint="eastAsia" w:ascii="Times New Roman" w:hAnsi="Times New Roman" w:cs="Times New Roman"/>
                      <w:color w:val="auto"/>
                      <w:spacing w:val="15"/>
                      <w:kern w:val="0"/>
                      <w:sz w:val="21"/>
                      <w:szCs w:val="21"/>
                      <w:lang w:val="en-US" w:eastAsia="zh-CN" w:bidi="ar-SA"/>
                    </w:rPr>
                    <w:t>1500</w:t>
                  </w:r>
                </w:p>
              </w:tc>
              <w:tc>
                <w:tcPr>
                  <w:tcW w:w="627" w:type="pct"/>
                  <w:shd w:val="clear" w:color="auto" w:fill="FFFFFF"/>
                  <w:vAlign w:val="center"/>
                </w:tcPr>
                <w:p>
                  <w:pPr>
                    <w:jc w:val="center"/>
                    <w:rPr>
                      <w:rFonts w:ascii="Times New Roman" w:hAnsi="Times New Roman" w:eastAsia="宋体" w:cs="Times New Roman"/>
                      <w:color w:val="auto"/>
                      <w:kern w:val="2"/>
                      <w:sz w:val="21"/>
                      <w:szCs w:val="21"/>
                      <w:lang w:val="en-US" w:eastAsia="zh-CN" w:bidi="ar-SA"/>
                    </w:rPr>
                  </w:pPr>
                  <w:r>
                    <w:rPr>
                      <w:color w:val="auto"/>
                      <w:szCs w:val="21"/>
                    </w:rPr>
                    <w:t>二类区</w:t>
                  </w:r>
                </w:p>
              </w:tc>
              <w:tc>
                <w:tcPr>
                  <w:tcW w:w="500" w:type="pct"/>
                  <w:shd w:val="clear" w:color="auto" w:fill="FFFFFF"/>
                  <w:vAlign w:val="center"/>
                </w:tcPr>
                <w:p>
                  <w:pPr>
                    <w:pStyle w:val="50"/>
                    <w:widowControl w:val="0"/>
                    <w:adjustRightInd w:val="0"/>
                    <w:snapToGrid w:val="0"/>
                    <w:spacing w:before="0" w:line="240" w:lineRule="auto"/>
                    <w:ind w:firstLine="0" w:firstLineChars="0"/>
                    <w:jc w:val="center"/>
                    <w:rPr>
                      <w:rFonts w:hint="eastAsia" w:ascii="Times New Roman" w:hAnsi="Times New Roman" w:eastAsia="宋体" w:cs="Times New Roman"/>
                      <w:color w:val="auto"/>
                      <w:spacing w:val="15"/>
                      <w:kern w:val="0"/>
                      <w:sz w:val="21"/>
                      <w:szCs w:val="21"/>
                      <w:lang w:val="en-US" w:eastAsia="zh-CN" w:bidi="ar-SA"/>
                    </w:rPr>
                  </w:pPr>
                  <w:r>
                    <w:rPr>
                      <w:rFonts w:hint="eastAsia" w:ascii="Times New Roman" w:hAnsi="Times New Roman"/>
                      <w:color w:val="auto"/>
                      <w:sz w:val="21"/>
                      <w:szCs w:val="21"/>
                    </w:rPr>
                    <w:t>SW</w:t>
                  </w:r>
                </w:p>
              </w:tc>
              <w:tc>
                <w:tcPr>
                  <w:tcW w:w="577" w:type="pct"/>
                  <w:shd w:val="clear" w:color="auto" w:fill="FFFFFF"/>
                  <w:vAlign w:val="center"/>
                </w:tcPr>
                <w:p>
                  <w:pPr>
                    <w:pStyle w:val="50"/>
                    <w:widowControl w:val="0"/>
                    <w:adjustRightInd w:val="0"/>
                    <w:snapToGrid w:val="0"/>
                    <w:spacing w:before="0" w:line="240" w:lineRule="auto"/>
                    <w:ind w:firstLine="0" w:firstLineChars="0"/>
                    <w:jc w:val="center"/>
                    <w:rPr>
                      <w:rFonts w:hint="default" w:ascii="Times New Roman" w:hAnsi="Times New Roman" w:eastAsia="宋体" w:cs="Times New Roman"/>
                      <w:color w:val="auto"/>
                      <w:spacing w:val="15"/>
                      <w:kern w:val="0"/>
                      <w:sz w:val="21"/>
                      <w:szCs w:val="21"/>
                      <w:lang w:val="en-US" w:eastAsia="zh-CN" w:bidi="ar-SA"/>
                    </w:rPr>
                  </w:pPr>
                  <w:r>
                    <w:rPr>
                      <w:rFonts w:hint="eastAsia" w:ascii="Times New Roman" w:hAnsi="Times New Roman" w:cs="Times New Roman"/>
                      <w:color w:val="auto"/>
                      <w:spacing w:val="15"/>
                      <w:kern w:val="0"/>
                      <w:sz w:val="21"/>
                      <w:szCs w:val="21"/>
                      <w:lang w:val="en-US" w:eastAsia="zh-CN" w:bidi="ar-SA"/>
                    </w:rPr>
                    <w:t>1280</w:t>
                  </w:r>
                </w:p>
              </w:tc>
            </w:tr>
            <w:tr>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0" w:type="dxa"/>
                  <w:left w:w="108" w:type="dxa"/>
                  <w:bottom w:w="0" w:type="dxa"/>
                  <w:right w:w="108" w:type="dxa"/>
                </w:tblCellMar>
              </w:tblPrEx>
              <w:trPr>
                <w:trHeight w:val="717" w:hRule="atLeast"/>
                <w:jc w:val="center"/>
              </w:trPr>
              <w:tc>
                <w:tcPr>
                  <w:tcW w:w="554" w:type="pct"/>
                  <w:shd w:val="clear" w:color="auto" w:fill="FFFFFF"/>
                  <w:vAlign w:val="center"/>
                </w:tcPr>
                <w:p>
                  <w:pPr>
                    <w:pStyle w:val="50"/>
                    <w:widowControl w:val="0"/>
                    <w:adjustRightInd w:val="0"/>
                    <w:snapToGrid w:val="0"/>
                    <w:spacing w:before="0" w:line="240" w:lineRule="auto"/>
                    <w:ind w:firstLine="0" w:firstLineChars="0"/>
                    <w:jc w:val="center"/>
                    <w:rPr>
                      <w:rFonts w:hint="eastAsia" w:ascii="Times New Roman" w:hAnsi="Times New Roman" w:eastAsia="宋体" w:cs="Times New Roman"/>
                      <w:color w:val="auto"/>
                      <w:spacing w:val="15"/>
                      <w:kern w:val="0"/>
                      <w:sz w:val="21"/>
                      <w:szCs w:val="21"/>
                      <w:lang w:val="en-US" w:eastAsia="zh-CN" w:bidi="ar-SA"/>
                    </w:rPr>
                  </w:pPr>
                  <w:r>
                    <w:rPr>
                      <w:rFonts w:hint="eastAsia" w:ascii="Times New Roman" w:hAnsi="Times New Roman"/>
                      <w:color w:val="auto"/>
                      <w:sz w:val="21"/>
                      <w:szCs w:val="21"/>
                      <w:lang w:val="en-US" w:eastAsia="zh-CN"/>
                    </w:rPr>
                    <w:t>金池花园</w:t>
                  </w:r>
                </w:p>
              </w:tc>
              <w:tc>
                <w:tcPr>
                  <w:tcW w:w="745" w:type="pct"/>
                  <w:shd w:val="clear" w:color="auto" w:fill="FFFFFF"/>
                  <w:vAlign w:val="center"/>
                </w:tcPr>
                <w:p>
                  <w:pPr>
                    <w:pStyle w:val="50"/>
                    <w:widowControl w:val="0"/>
                    <w:adjustRightInd w:val="0"/>
                    <w:snapToGrid w:val="0"/>
                    <w:spacing w:before="0" w:line="240" w:lineRule="auto"/>
                    <w:ind w:firstLine="0" w:firstLineChars="0"/>
                    <w:jc w:val="center"/>
                    <w:rPr>
                      <w:rFonts w:hint="eastAsia" w:ascii="Times New Roman" w:hAnsi="Times New Roman" w:eastAsia="宋体" w:cs="Times New Roman"/>
                      <w:color w:val="auto"/>
                      <w:spacing w:val="15"/>
                      <w:kern w:val="0"/>
                      <w:sz w:val="21"/>
                      <w:szCs w:val="21"/>
                      <w:lang w:val="en-US" w:eastAsia="zh-CN" w:bidi="ar-SA"/>
                    </w:rPr>
                  </w:pPr>
                  <w:r>
                    <w:rPr>
                      <w:rFonts w:hint="eastAsia" w:ascii="Times New Roman" w:hAnsi="Times New Roman"/>
                      <w:color w:val="auto"/>
                      <w:sz w:val="21"/>
                      <w:szCs w:val="21"/>
                      <w:lang w:val="en-US" w:eastAsia="zh-CN"/>
                    </w:rPr>
                    <w:t>119.62372873</w:t>
                  </w:r>
                </w:p>
              </w:tc>
              <w:tc>
                <w:tcPr>
                  <w:tcW w:w="631" w:type="pct"/>
                  <w:shd w:val="clear" w:color="auto" w:fill="FFFFFF"/>
                  <w:vAlign w:val="center"/>
                </w:tcPr>
                <w:p>
                  <w:pPr>
                    <w:pStyle w:val="50"/>
                    <w:widowControl w:val="0"/>
                    <w:adjustRightInd w:val="0"/>
                    <w:snapToGrid w:val="0"/>
                    <w:spacing w:before="0" w:line="240" w:lineRule="auto"/>
                    <w:ind w:firstLine="0" w:firstLineChars="0"/>
                    <w:jc w:val="center"/>
                    <w:rPr>
                      <w:rFonts w:hint="eastAsia" w:ascii="Times New Roman" w:hAnsi="Times New Roman" w:eastAsia="宋体" w:cs="Times New Roman"/>
                      <w:color w:val="auto"/>
                      <w:spacing w:val="15"/>
                      <w:kern w:val="0"/>
                      <w:sz w:val="21"/>
                      <w:szCs w:val="21"/>
                      <w:lang w:val="en-US" w:eastAsia="zh-CN" w:bidi="ar-SA"/>
                    </w:rPr>
                  </w:pPr>
                  <w:r>
                    <w:rPr>
                      <w:rFonts w:hint="eastAsia" w:ascii="Times New Roman" w:hAnsi="Times New Roman"/>
                      <w:color w:val="auto"/>
                      <w:sz w:val="21"/>
                      <w:szCs w:val="21"/>
                      <w:lang w:val="en-US" w:eastAsia="zh-CN"/>
                    </w:rPr>
                    <w:t>31.74274926</w:t>
                  </w:r>
                </w:p>
              </w:tc>
              <w:tc>
                <w:tcPr>
                  <w:tcW w:w="469" w:type="pct"/>
                  <w:shd w:val="clear" w:color="auto" w:fill="FFFFFF"/>
                  <w:vAlign w:val="center"/>
                </w:tcPr>
                <w:p>
                  <w:pPr>
                    <w:jc w:val="center"/>
                    <w:rPr>
                      <w:rFonts w:ascii="Times New Roman" w:hAnsi="Times New Roman" w:eastAsia="宋体" w:cs="Times New Roman"/>
                      <w:color w:val="auto"/>
                      <w:kern w:val="2"/>
                      <w:sz w:val="21"/>
                      <w:szCs w:val="21"/>
                      <w:lang w:val="en-US" w:eastAsia="zh-CN" w:bidi="ar-SA"/>
                    </w:rPr>
                  </w:pPr>
                  <w:r>
                    <w:rPr>
                      <w:color w:val="auto"/>
                      <w:szCs w:val="21"/>
                    </w:rPr>
                    <w:t>居住区</w:t>
                  </w:r>
                </w:p>
              </w:tc>
              <w:tc>
                <w:tcPr>
                  <w:tcW w:w="469" w:type="pct"/>
                  <w:shd w:val="clear" w:color="auto" w:fill="FFFFFF"/>
                  <w:vAlign w:val="center"/>
                </w:tcPr>
                <w:p>
                  <w:pPr>
                    <w:widowControl w:val="0"/>
                    <w:adjustRightInd w:val="0"/>
                    <w:snapToGrid w:val="0"/>
                    <w:spacing w:before="0" w:line="240" w:lineRule="auto"/>
                    <w:ind w:firstLine="0" w:firstLineChars="0"/>
                    <w:jc w:val="center"/>
                    <w:rPr>
                      <w:rFonts w:ascii="Times New Roman" w:hAnsi="Times New Roman" w:eastAsia="宋体" w:cs="Times New Roman"/>
                      <w:color w:val="auto"/>
                      <w:kern w:val="2"/>
                      <w:sz w:val="21"/>
                      <w:szCs w:val="21"/>
                      <w:lang w:val="en-US" w:eastAsia="zh-CN" w:bidi="ar-SA"/>
                    </w:rPr>
                  </w:pPr>
                  <w:r>
                    <w:rPr>
                      <w:rFonts w:ascii="Times New Roman" w:hAnsi="Times New Roman"/>
                      <w:color w:val="auto"/>
                      <w:sz w:val="21"/>
                      <w:szCs w:val="21"/>
                    </w:rPr>
                    <w:t>人群</w:t>
                  </w:r>
                </w:p>
              </w:tc>
              <w:tc>
                <w:tcPr>
                  <w:tcW w:w="424" w:type="pct"/>
                  <w:shd w:val="clear" w:color="auto" w:fill="FFFFFF"/>
                  <w:vAlign w:val="center"/>
                </w:tcPr>
                <w:p>
                  <w:pPr>
                    <w:pStyle w:val="50"/>
                    <w:widowControl w:val="0"/>
                    <w:adjustRightInd w:val="0"/>
                    <w:snapToGrid w:val="0"/>
                    <w:spacing w:before="0" w:line="240" w:lineRule="auto"/>
                    <w:ind w:firstLine="0" w:firstLineChars="0"/>
                    <w:jc w:val="center"/>
                    <w:rPr>
                      <w:rFonts w:hint="eastAsia" w:ascii="Times New Roman" w:hAnsi="Times New Roman" w:eastAsia="宋体" w:cs="Times New Roman"/>
                      <w:color w:val="auto"/>
                      <w:spacing w:val="15"/>
                      <w:kern w:val="0"/>
                      <w:sz w:val="21"/>
                      <w:szCs w:val="21"/>
                      <w:lang w:val="en-US" w:eastAsia="zh-CN" w:bidi="ar-SA"/>
                    </w:rPr>
                  </w:pPr>
                  <w:r>
                    <w:rPr>
                      <w:rFonts w:hint="eastAsia" w:ascii="Times New Roman" w:hAnsi="Times New Roman"/>
                      <w:color w:val="auto"/>
                      <w:sz w:val="21"/>
                      <w:szCs w:val="21"/>
                      <w:lang w:val="en-US" w:eastAsia="zh-CN"/>
                    </w:rPr>
                    <w:t>1500</w:t>
                  </w:r>
                </w:p>
              </w:tc>
              <w:tc>
                <w:tcPr>
                  <w:tcW w:w="627" w:type="pct"/>
                  <w:shd w:val="clear" w:color="auto" w:fill="FFFFFF"/>
                  <w:vAlign w:val="center"/>
                </w:tcPr>
                <w:p>
                  <w:pPr>
                    <w:jc w:val="center"/>
                    <w:rPr>
                      <w:rFonts w:ascii="Times New Roman" w:hAnsi="Times New Roman" w:eastAsia="宋体" w:cs="Times New Roman"/>
                      <w:color w:val="auto"/>
                      <w:kern w:val="2"/>
                      <w:sz w:val="21"/>
                      <w:szCs w:val="21"/>
                      <w:lang w:val="en-US" w:eastAsia="zh-CN" w:bidi="ar-SA"/>
                    </w:rPr>
                  </w:pPr>
                  <w:r>
                    <w:rPr>
                      <w:rFonts w:ascii="Times New Roman" w:hAnsi="Times New Roman"/>
                      <w:color w:val="auto"/>
                      <w:sz w:val="21"/>
                      <w:szCs w:val="21"/>
                    </w:rPr>
                    <w:t>人群</w:t>
                  </w:r>
                </w:p>
              </w:tc>
              <w:tc>
                <w:tcPr>
                  <w:tcW w:w="500" w:type="pct"/>
                  <w:shd w:val="clear" w:color="auto" w:fill="FFFFFF"/>
                  <w:vAlign w:val="center"/>
                </w:tcPr>
                <w:p>
                  <w:pPr>
                    <w:pStyle w:val="50"/>
                    <w:widowControl w:val="0"/>
                    <w:adjustRightInd w:val="0"/>
                    <w:snapToGrid w:val="0"/>
                    <w:spacing w:before="0" w:line="240" w:lineRule="auto"/>
                    <w:ind w:firstLine="0" w:firstLineChars="0"/>
                    <w:jc w:val="center"/>
                    <w:rPr>
                      <w:rFonts w:hint="eastAsia" w:ascii="Times New Roman" w:hAnsi="Times New Roman" w:eastAsia="宋体" w:cs="Times New Roman"/>
                      <w:color w:val="auto"/>
                      <w:spacing w:val="15"/>
                      <w:kern w:val="0"/>
                      <w:sz w:val="21"/>
                      <w:szCs w:val="21"/>
                      <w:lang w:val="en-US" w:eastAsia="zh-CN" w:bidi="ar-SA"/>
                    </w:rPr>
                  </w:pPr>
                  <w:r>
                    <w:rPr>
                      <w:rFonts w:hint="eastAsia" w:ascii="Times New Roman" w:hAnsi="Times New Roman"/>
                      <w:color w:val="auto"/>
                      <w:sz w:val="21"/>
                      <w:szCs w:val="21"/>
                      <w:lang w:val="en-US" w:eastAsia="zh-CN"/>
                    </w:rPr>
                    <w:t>S</w:t>
                  </w:r>
                </w:p>
              </w:tc>
              <w:tc>
                <w:tcPr>
                  <w:tcW w:w="577" w:type="pct"/>
                  <w:shd w:val="clear" w:color="auto" w:fill="FFFFFF"/>
                  <w:vAlign w:val="center"/>
                </w:tcPr>
                <w:p>
                  <w:pPr>
                    <w:pStyle w:val="50"/>
                    <w:widowControl w:val="0"/>
                    <w:adjustRightInd w:val="0"/>
                    <w:snapToGrid w:val="0"/>
                    <w:spacing w:before="0" w:line="240" w:lineRule="auto"/>
                    <w:ind w:firstLine="0" w:firstLineChars="0"/>
                    <w:jc w:val="center"/>
                    <w:rPr>
                      <w:rFonts w:hint="default" w:ascii="Times New Roman" w:hAnsi="Times New Roman" w:eastAsia="宋体" w:cs="Times New Roman"/>
                      <w:color w:val="auto"/>
                      <w:spacing w:val="15"/>
                      <w:kern w:val="0"/>
                      <w:sz w:val="21"/>
                      <w:szCs w:val="21"/>
                      <w:lang w:val="en-US" w:eastAsia="zh-CN" w:bidi="ar-SA"/>
                    </w:rPr>
                  </w:pPr>
                  <w:r>
                    <w:rPr>
                      <w:rFonts w:hint="eastAsia" w:ascii="Times New Roman" w:hAnsi="Times New Roman" w:cs="Times New Roman"/>
                      <w:color w:val="auto"/>
                      <w:spacing w:val="15"/>
                      <w:kern w:val="0"/>
                      <w:sz w:val="21"/>
                      <w:szCs w:val="21"/>
                      <w:lang w:val="en-US" w:eastAsia="zh-CN" w:bidi="ar-SA"/>
                    </w:rPr>
                    <w:t>1580</w:t>
                  </w:r>
                </w:p>
              </w:tc>
            </w:tr>
            <w:tr>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0" w:type="dxa"/>
                  <w:left w:w="108" w:type="dxa"/>
                  <w:bottom w:w="0" w:type="dxa"/>
                  <w:right w:w="108" w:type="dxa"/>
                </w:tblCellMar>
              </w:tblPrEx>
              <w:trPr>
                <w:trHeight w:val="717" w:hRule="atLeast"/>
                <w:jc w:val="center"/>
              </w:trPr>
              <w:tc>
                <w:tcPr>
                  <w:tcW w:w="554" w:type="pct"/>
                  <w:shd w:val="clear" w:color="auto" w:fill="FFFFFF"/>
                  <w:vAlign w:val="center"/>
                </w:tcPr>
                <w:p>
                  <w:pPr>
                    <w:pStyle w:val="50"/>
                    <w:widowControl w:val="0"/>
                    <w:adjustRightInd w:val="0"/>
                    <w:snapToGrid w:val="0"/>
                    <w:spacing w:before="0" w:line="240" w:lineRule="auto"/>
                    <w:ind w:firstLine="0" w:firstLineChars="0"/>
                    <w:jc w:val="center"/>
                    <w:rPr>
                      <w:rFonts w:hint="eastAsia" w:ascii="Times New Roman" w:hAnsi="Times New Roman" w:eastAsia="宋体" w:cs="Times New Roman"/>
                      <w:color w:val="auto"/>
                      <w:spacing w:val="15"/>
                      <w:kern w:val="0"/>
                      <w:sz w:val="21"/>
                      <w:szCs w:val="21"/>
                      <w:lang w:val="en-US" w:eastAsia="zh-CN" w:bidi="ar-SA"/>
                    </w:rPr>
                  </w:pPr>
                  <w:r>
                    <w:rPr>
                      <w:rFonts w:hint="eastAsia" w:ascii="Times New Roman" w:hAnsi="Times New Roman"/>
                      <w:color w:val="auto"/>
                      <w:sz w:val="21"/>
                      <w:szCs w:val="21"/>
                      <w:lang w:eastAsia="zh-CN"/>
                    </w:rPr>
                    <w:t>金海花苑</w:t>
                  </w:r>
                </w:p>
              </w:tc>
              <w:tc>
                <w:tcPr>
                  <w:tcW w:w="745" w:type="pct"/>
                  <w:shd w:val="clear" w:color="auto" w:fill="FFFFFF"/>
                  <w:vAlign w:val="center"/>
                </w:tcPr>
                <w:p>
                  <w:pPr>
                    <w:pStyle w:val="50"/>
                    <w:widowControl w:val="0"/>
                    <w:adjustRightInd w:val="0"/>
                    <w:snapToGrid w:val="0"/>
                    <w:spacing w:before="0" w:line="240" w:lineRule="auto"/>
                    <w:ind w:firstLine="0" w:firstLineChars="0"/>
                    <w:jc w:val="center"/>
                    <w:rPr>
                      <w:rFonts w:hint="eastAsia" w:ascii="Times New Roman" w:hAnsi="Times New Roman" w:eastAsia="宋体" w:cs="Times New Roman"/>
                      <w:color w:val="auto"/>
                      <w:spacing w:val="15"/>
                      <w:kern w:val="0"/>
                      <w:sz w:val="21"/>
                      <w:szCs w:val="21"/>
                      <w:lang w:val="en-US" w:eastAsia="zh-CN" w:bidi="ar-SA"/>
                    </w:rPr>
                  </w:pPr>
                  <w:r>
                    <w:rPr>
                      <w:rFonts w:hint="eastAsia" w:ascii="Times New Roman" w:hAnsi="Times New Roman"/>
                      <w:color w:val="auto"/>
                      <w:sz w:val="21"/>
                      <w:szCs w:val="21"/>
                      <w:lang w:val="en-US" w:eastAsia="zh-CN"/>
                    </w:rPr>
                    <w:t>119.626978</w:t>
                  </w:r>
                </w:p>
              </w:tc>
              <w:tc>
                <w:tcPr>
                  <w:tcW w:w="631" w:type="pct"/>
                  <w:shd w:val="clear" w:color="auto" w:fill="FFFFFF"/>
                  <w:vAlign w:val="center"/>
                </w:tcPr>
                <w:p>
                  <w:pPr>
                    <w:pStyle w:val="50"/>
                    <w:widowControl w:val="0"/>
                    <w:adjustRightInd w:val="0"/>
                    <w:snapToGrid w:val="0"/>
                    <w:spacing w:before="0" w:line="240" w:lineRule="auto"/>
                    <w:ind w:firstLine="0" w:firstLineChars="0"/>
                    <w:jc w:val="center"/>
                    <w:rPr>
                      <w:rFonts w:hint="eastAsia" w:ascii="Times New Roman" w:hAnsi="Times New Roman" w:eastAsia="宋体" w:cs="Times New Roman"/>
                      <w:color w:val="auto"/>
                      <w:spacing w:val="15"/>
                      <w:kern w:val="0"/>
                      <w:sz w:val="21"/>
                      <w:szCs w:val="21"/>
                      <w:lang w:val="en-US" w:eastAsia="zh-CN" w:bidi="ar-SA"/>
                    </w:rPr>
                  </w:pPr>
                  <w:r>
                    <w:rPr>
                      <w:rFonts w:hint="eastAsia" w:ascii="Times New Roman" w:hAnsi="Times New Roman"/>
                      <w:color w:val="auto"/>
                      <w:sz w:val="21"/>
                      <w:szCs w:val="21"/>
                      <w:lang w:val="en-US" w:eastAsia="zh-CN"/>
                    </w:rPr>
                    <w:t>31.744283</w:t>
                  </w:r>
                </w:p>
              </w:tc>
              <w:tc>
                <w:tcPr>
                  <w:tcW w:w="469" w:type="pct"/>
                  <w:shd w:val="clear" w:color="auto" w:fill="FFFFFF"/>
                  <w:vAlign w:val="center"/>
                </w:tcPr>
                <w:p>
                  <w:pPr>
                    <w:jc w:val="center"/>
                    <w:rPr>
                      <w:rFonts w:ascii="Times New Roman" w:hAnsi="Times New Roman" w:eastAsia="宋体" w:cs="Times New Roman"/>
                      <w:color w:val="auto"/>
                      <w:kern w:val="2"/>
                      <w:sz w:val="21"/>
                      <w:szCs w:val="21"/>
                      <w:lang w:val="en-US" w:eastAsia="zh-CN" w:bidi="ar-SA"/>
                    </w:rPr>
                  </w:pPr>
                  <w:r>
                    <w:rPr>
                      <w:color w:val="auto"/>
                      <w:szCs w:val="21"/>
                    </w:rPr>
                    <w:t>居住区</w:t>
                  </w:r>
                </w:p>
              </w:tc>
              <w:tc>
                <w:tcPr>
                  <w:tcW w:w="469" w:type="pct"/>
                  <w:shd w:val="clear" w:color="auto" w:fill="FFFFFF"/>
                  <w:vAlign w:val="center"/>
                </w:tcPr>
                <w:p>
                  <w:pPr>
                    <w:widowControl w:val="0"/>
                    <w:adjustRightInd w:val="0"/>
                    <w:snapToGrid w:val="0"/>
                    <w:spacing w:before="0" w:line="240" w:lineRule="auto"/>
                    <w:ind w:firstLine="0" w:firstLineChars="0"/>
                    <w:jc w:val="center"/>
                    <w:rPr>
                      <w:rFonts w:ascii="Times New Roman" w:hAnsi="Times New Roman" w:eastAsia="宋体" w:cs="Times New Roman"/>
                      <w:color w:val="auto"/>
                      <w:kern w:val="2"/>
                      <w:sz w:val="21"/>
                      <w:szCs w:val="21"/>
                      <w:lang w:val="en-US" w:eastAsia="zh-CN" w:bidi="ar-SA"/>
                    </w:rPr>
                  </w:pPr>
                  <w:r>
                    <w:rPr>
                      <w:rFonts w:ascii="Times New Roman" w:hAnsi="Times New Roman"/>
                      <w:color w:val="auto"/>
                      <w:sz w:val="21"/>
                      <w:szCs w:val="21"/>
                    </w:rPr>
                    <w:t>人群</w:t>
                  </w:r>
                </w:p>
              </w:tc>
              <w:tc>
                <w:tcPr>
                  <w:tcW w:w="424" w:type="pct"/>
                  <w:shd w:val="clear" w:color="auto" w:fill="FFFFFF"/>
                  <w:vAlign w:val="center"/>
                </w:tcPr>
                <w:p>
                  <w:pPr>
                    <w:pStyle w:val="50"/>
                    <w:widowControl w:val="0"/>
                    <w:adjustRightInd w:val="0"/>
                    <w:snapToGrid w:val="0"/>
                    <w:spacing w:before="0" w:line="240" w:lineRule="auto"/>
                    <w:ind w:firstLine="0" w:firstLineChars="0"/>
                    <w:jc w:val="center"/>
                    <w:rPr>
                      <w:rFonts w:hint="eastAsia" w:ascii="Times New Roman" w:hAnsi="Times New Roman" w:eastAsia="宋体" w:cs="Times New Roman"/>
                      <w:color w:val="auto"/>
                      <w:spacing w:val="15"/>
                      <w:kern w:val="0"/>
                      <w:sz w:val="21"/>
                      <w:szCs w:val="21"/>
                      <w:lang w:val="en-US" w:eastAsia="zh-CN" w:bidi="ar-SA"/>
                    </w:rPr>
                  </w:pPr>
                  <w:r>
                    <w:rPr>
                      <w:rFonts w:hint="eastAsia" w:ascii="Times New Roman" w:hAnsi="Times New Roman"/>
                      <w:color w:val="auto"/>
                      <w:sz w:val="21"/>
                      <w:szCs w:val="21"/>
                      <w:lang w:val="en-US" w:eastAsia="zh-CN"/>
                    </w:rPr>
                    <w:t>1500</w:t>
                  </w:r>
                </w:p>
              </w:tc>
              <w:tc>
                <w:tcPr>
                  <w:tcW w:w="627" w:type="pct"/>
                  <w:shd w:val="clear" w:color="auto" w:fill="FFFFFF"/>
                  <w:vAlign w:val="center"/>
                </w:tcPr>
                <w:p>
                  <w:pPr>
                    <w:jc w:val="center"/>
                    <w:rPr>
                      <w:rFonts w:ascii="Times New Roman" w:hAnsi="Times New Roman" w:eastAsia="宋体" w:cs="Times New Roman"/>
                      <w:color w:val="auto"/>
                      <w:kern w:val="2"/>
                      <w:sz w:val="21"/>
                      <w:szCs w:val="21"/>
                      <w:lang w:val="en-US" w:eastAsia="zh-CN" w:bidi="ar-SA"/>
                    </w:rPr>
                  </w:pPr>
                  <w:r>
                    <w:rPr>
                      <w:rFonts w:ascii="Times New Roman" w:hAnsi="Times New Roman"/>
                      <w:color w:val="auto"/>
                      <w:sz w:val="21"/>
                      <w:szCs w:val="21"/>
                    </w:rPr>
                    <w:t>人群</w:t>
                  </w:r>
                </w:p>
              </w:tc>
              <w:tc>
                <w:tcPr>
                  <w:tcW w:w="500" w:type="pct"/>
                  <w:shd w:val="clear" w:color="auto" w:fill="FFFFFF"/>
                  <w:vAlign w:val="center"/>
                </w:tcPr>
                <w:p>
                  <w:pPr>
                    <w:pStyle w:val="50"/>
                    <w:widowControl w:val="0"/>
                    <w:adjustRightInd w:val="0"/>
                    <w:snapToGrid w:val="0"/>
                    <w:spacing w:before="0" w:line="240" w:lineRule="auto"/>
                    <w:ind w:firstLine="0" w:firstLineChars="0"/>
                    <w:jc w:val="center"/>
                    <w:rPr>
                      <w:rFonts w:hint="eastAsia" w:ascii="Times New Roman" w:hAnsi="Times New Roman" w:eastAsia="宋体" w:cs="Times New Roman"/>
                      <w:color w:val="auto"/>
                      <w:spacing w:val="15"/>
                      <w:kern w:val="0"/>
                      <w:sz w:val="21"/>
                      <w:szCs w:val="21"/>
                      <w:lang w:val="en-US" w:eastAsia="zh-CN" w:bidi="ar-SA"/>
                    </w:rPr>
                  </w:pPr>
                  <w:r>
                    <w:rPr>
                      <w:rFonts w:hint="eastAsia" w:ascii="Times New Roman" w:hAnsi="Times New Roman"/>
                      <w:color w:val="auto"/>
                      <w:sz w:val="21"/>
                      <w:szCs w:val="21"/>
                      <w:lang w:val="en-US" w:eastAsia="zh-CN"/>
                    </w:rPr>
                    <w:t>S</w:t>
                  </w:r>
                </w:p>
              </w:tc>
              <w:tc>
                <w:tcPr>
                  <w:tcW w:w="577" w:type="pct"/>
                  <w:shd w:val="clear" w:color="auto" w:fill="FFFFFF"/>
                  <w:vAlign w:val="center"/>
                </w:tcPr>
                <w:p>
                  <w:pPr>
                    <w:pStyle w:val="50"/>
                    <w:widowControl w:val="0"/>
                    <w:adjustRightInd w:val="0"/>
                    <w:snapToGrid w:val="0"/>
                    <w:spacing w:before="0" w:line="240" w:lineRule="auto"/>
                    <w:ind w:firstLine="0" w:firstLineChars="0"/>
                    <w:jc w:val="center"/>
                    <w:rPr>
                      <w:rFonts w:hint="default" w:ascii="Times New Roman" w:hAnsi="Times New Roman" w:eastAsia="宋体" w:cs="Times New Roman"/>
                      <w:color w:val="auto"/>
                      <w:spacing w:val="15"/>
                      <w:kern w:val="0"/>
                      <w:sz w:val="21"/>
                      <w:szCs w:val="21"/>
                      <w:lang w:val="en-US" w:eastAsia="zh-CN" w:bidi="ar-SA"/>
                    </w:rPr>
                  </w:pPr>
                  <w:r>
                    <w:rPr>
                      <w:rFonts w:hint="eastAsia" w:ascii="Times New Roman" w:hAnsi="Times New Roman" w:cs="Times New Roman"/>
                      <w:color w:val="auto"/>
                      <w:spacing w:val="15"/>
                      <w:kern w:val="0"/>
                      <w:sz w:val="21"/>
                      <w:szCs w:val="21"/>
                      <w:lang w:val="en-US" w:eastAsia="zh-CN" w:bidi="ar-SA"/>
                    </w:rPr>
                    <w:t>1320</w:t>
                  </w:r>
                </w:p>
              </w:tc>
            </w:tr>
            <w:tr>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0" w:type="dxa"/>
                  <w:left w:w="108" w:type="dxa"/>
                  <w:bottom w:w="0" w:type="dxa"/>
                  <w:right w:w="108" w:type="dxa"/>
                </w:tblCellMar>
              </w:tblPrEx>
              <w:trPr>
                <w:trHeight w:val="717" w:hRule="atLeast"/>
                <w:jc w:val="center"/>
              </w:trPr>
              <w:tc>
                <w:tcPr>
                  <w:tcW w:w="554" w:type="pct"/>
                  <w:shd w:val="clear" w:color="auto" w:fill="FFFFFF"/>
                  <w:vAlign w:val="center"/>
                </w:tcPr>
                <w:p>
                  <w:pPr>
                    <w:pStyle w:val="50"/>
                    <w:widowControl w:val="0"/>
                    <w:adjustRightInd w:val="0"/>
                    <w:snapToGrid w:val="0"/>
                    <w:spacing w:before="0" w:line="240" w:lineRule="auto"/>
                    <w:ind w:firstLine="0" w:firstLineChars="0"/>
                    <w:jc w:val="center"/>
                    <w:rPr>
                      <w:rFonts w:hint="eastAsia" w:ascii="Times New Roman" w:hAnsi="Times New Roman" w:eastAsia="宋体" w:cs="Times New Roman"/>
                      <w:color w:val="auto"/>
                      <w:spacing w:val="15"/>
                      <w:kern w:val="0"/>
                      <w:sz w:val="21"/>
                      <w:szCs w:val="21"/>
                      <w:lang w:val="en-US" w:eastAsia="zh-CN" w:bidi="ar-SA"/>
                    </w:rPr>
                  </w:pPr>
                  <w:r>
                    <w:rPr>
                      <w:rFonts w:hint="eastAsia" w:ascii="Times New Roman" w:hAnsi="Times New Roman"/>
                      <w:color w:val="auto"/>
                      <w:sz w:val="21"/>
                      <w:szCs w:val="21"/>
                      <w:lang w:eastAsia="zh-CN"/>
                    </w:rPr>
                    <w:t>金江苑三村一区</w:t>
                  </w:r>
                </w:p>
              </w:tc>
              <w:tc>
                <w:tcPr>
                  <w:tcW w:w="745" w:type="pct"/>
                  <w:shd w:val="clear" w:color="auto" w:fill="FFFFFF"/>
                  <w:vAlign w:val="center"/>
                </w:tcPr>
                <w:p>
                  <w:pPr>
                    <w:pStyle w:val="50"/>
                    <w:widowControl w:val="0"/>
                    <w:adjustRightInd w:val="0"/>
                    <w:snapToGrid w:val="0"/>
                    <w:spacing w:before="0" w:line="240" w:lineRule="auto"/>
                    <w:ind w:firstLine="0" w:firstLineChars="0"/>
                    <w:jc w:val="center"/>
                    <w:rPr>
                      <w:rFonts w:hint="eastAsia" w:ascii="Times New Roman" w:hAnsi="Times New Roman" w:eastAsia="宋体" w:cs="Times New Roman"/>
                      <w:color w:val="auto"/>
                      <w:spacing w:val="15"/>
                      <w:kern w:val="0"/>
                      <w:sz w:val="21"/>
                      <w:szCs w:val="21"/>
                      <w:lang w:val="en-US" w:eastAsia="zh-CN" w:bidi="ar-SA"/>
                    </w:rPr>
                  </w:pPr>
                  <w:r>
                    <w:rPr>
                      <w:rFonts w:hint="eastAsia" w:ascii="Times New Roman" w:hAnsi="Times New Roman"/>
                      <w:color w:val="auto"/>
                      <w:sz w:val="21"/>
                      <w:szCs w:val="21"/>
                      <w:lang w:val="en-US" w:eastAsia="zh-CN"/>
                    </w:rPr>
                    <w:t>119.625052</w:t>
                  </w:r>
                </w:p>
              </w:tc>
              <w:tc>
                <w:tcPr>
                  <w:tcW w:w="631" w:type="pct"/>
                  <w:shd w:val="clear" w:color="auto" w:fill="FFFFFF"/>
                  <w:vAlign w:val="center"/>
                </w:tcPr>
                <w:p>
                  <w:pPr>
                    <w:pStyle w:val="50"/>
                    <w:widowControl w:val="0"/>
                    <w:adjustRightInd w:val="0"/>
                    <w:snapToGrid w:val="0"/>
                    <w:spacing w:before="0" w:line="240" w:lineRule="auto"/>
                    <w:ind w:firstLine="0" w:firstLineChars="0"/>
                    <w:jc w:val="center"/>
                    <w:rPr>
                      <w:rFonts w:hint="eastAsia" w:ascii="Times New Roman" w:hAnsi="Times New Roman" w:eastAsia="宋体" w:cs="Times New Roman"/>
                      <w:color w:val="auto"/>
                      <w:spacing w:val="15"/>
                      <w:kern w:val="0"/>
                      <w:sz w:val="21"/>
                      <w:szCs w:val="21"/>
                      <w:lang w:val="en-US" w:eastAsia="zh-CN" w:bidi="ar-SA"/>
                    </w:rPr>
                  </w:pPr>
                  <w:r>
                    <w:rPr>
                      <w:rFonts w:hint="eastAsia" w:ascii="Times New Roman" w:hAnsi="Times New Roman"/>
                      <w:color w:val="auto"/>
                      <w:sz w:val="21"/>
                      <w:szCs w:val="21"/>
                      <w:lang w:val="en-US" w:eastAsia="zh-CN"/>
                    </w:rPr>
                    <w:t>31.744031</w:t>
                  </w:r>
                </w:p>
              </w:tc>
              <w:tc>
                <w:tcPr>
                  <w:tcW w:w="469" w:type="pct"/>
                  <w:shd w:val="clear" w:color="auto" w:fill="FFFFFF"/>
                  <w:vAlign w:val="center"/>
                </w:tcPr>
                <w:p>
                  <w:pPr>
                    <w:jc w:val="center"/>
                    <w:rPr>
                      <w:rFonts w:ascii="Times New Roman" w:hAnsi="Times New Roman" w:eastAsia="宋体" w:cs="Times New Roman"/>
                      <w:color w:val="auto"/>
                      <w:kern w:val="2"/>
                      <w:sz w:val="21"/>
                      <w:szCs w:val="21"/>
                      <w:lang w:val="en-US" w:eastAsia="zh-CN" w:bidi="ar-SA"/>
                    </w:rPr>
                  </w:pPr>
                  <w:r>
                    <w:rPr>
                      <w:color w:val="auto"/>
                      <w:szCs w:val="21"/>
                    </w:rPr>
                    <w:t>居住区</w:t>
                  </w:r>
                </w:p>
              </w:tc>
              <w:tc>
                <w:tcPr>
                  <w:tcW w:w="469" w:type="pct"/>
                  <w:shd w:val="clear" w:color="auto" w:fill="FFFFFF"/>
                  <w:vAlign w:val="center"/>
                </w:tcPr>
                <w:p>
                  <w:pPr>
                    <w:widowControl w:val="0"/>
                    <w:adjustRightInd w:val="0"/>
                    <w:snapToGrid w:val="0"/>
                    <w:spacing w:before="0" w:line="240" w:lineRule="auto"/>
                    <w:ind w:firstLine="0" w:firstLineChars="0"/>
                    <w:jc w:val="center"/>
                    <w:rPr>
                      <w:rFonts w:ascii="Times New Roman" w:hAnsi="Times New Roman" w:eastAsia="宋体" w:cs="Times New Roman"/>
                      <w:color w:val="auto"/>
                      <w:kern w:val="2"/>
                      <w:sz w:val="21"/>
                      <w:szCs w:val="21"/>
                      <w:lang w:val="en-US" w:eastAsia="zh-CN" w:bidi="ar-SA"/>
                    </w:rPr>
                  </w:pPr>
                  <w:r>
                    <w:rPr>
                      <w:rFonts w:ascii="Times New Roman" w:hAnsi="Times New Roman"/>
                      <w:color w:val="auto"/>
                      <w:sz w:val="21"/>
                      <w:szCs w:val="21"/>
                    </w:rPr>
                    <w:t>人群</w:t>
                  </w:r>
                </w:p>
              </w:tc>
              <w:tc>
                <w:tcPr>
                  <w:tcW w:w="424" w:type="pct"/>
                  <w:shd w:val="clear" w:color="auto" w:fill="FFFFFF"/>
                  <w:vAlign w:val="center"/>
                </w:tcPr>
                <w:p>
                  <w:pPr>
                    <w:pStyle w:val="50"/>
                    <w:widowControl w:val="0"/>
                    <w:adjustRightInd w:val="0"/>
                    <w:snapToGrid w:val="0"/>
                    <w:spacing w:before="0" w:line="240" w:lineRule="auto"/>
                    <w:ind w:firstLine="0" w:firstLineChars="0"/>
                    <w:jc w:val="center"/>
                    <w:rPr>
                      <w:rFonts w:hint="eastAsia" w:ascii="Times New Roman" w:hAnsi="Times New Roman" w:eastAsia="宋体" w:cs="Times New Roman"/>
                      <w:color w:val="auto"/>
                      <w:spacing w:val="15"/>
                      <w:kern w:val="0"/>
                      <w:sz w:val="21"/>
                      <w:szCs w:val="21"/>
                      <w:lang w:val="en-US" w:eastAsia="zh-CN" w:bidi="ar-SA"/>
                    </w:rPr>
                  </w:pPr>
                  <w:r>
                    <w:rPr>
                      <w:rFonts w:hint="eastAsia" w:ascii="Times New Roman" w:hAnsi="Times New Roman"/>
                      <w:color w:val="auto"/>
                      <w:sz w:val="21"/>
                      <w:szCs w:val="21"/>
                      <w:lang w:val="en-US" w:eastAsia="zh-CN"/>
                    </w:rPr>
                    <w:t>1500</w:t>
                  </w:r>
                </w:p>
              </w:tc>
              <w:tc>
                <w:tcPr>
                  <w:tcW w:w="627" w:type="pct"/>
                  <w:shd w:val="clear" w:color="auto" w:fill="FFFFFF"/>
                  <w:vAlign w:val="center"/>
                </w:tcPr>
                <w:p>
                  <w:pPr>
                    <w:jc w:val="center"/>
                    <w:rPr>
                      <w:rFonts w:ascii="Times New Roman" w:hAnsi="Times New Roman" w:eastAsia="宋体" w:cs="Times New Roman"/>
                      <w:color w:val="auto"/>
                      <w:kern w:val="2"/>
                      <w:sz w:val="21"/>
                      <w:szCs w:val="21"/>
                      <w:lang w:val="en-US" w:eastAsia="zh-CN" w:bidi="ar-SA"/>
                    </w:rPr>
                  </w:pPr>
                  <w:r>
                    <w:rPr>
                      <w:rFonts w:ascii="Times New Roman" w:hAnsi="Times New Roman"/>
                      <w:color w:val="auto"/>
                      <w:sz w:val="21"/>
                      <w:szCs w:val="21"/>
                    </w:rPr>
                    <w:t>人群</w:t>
                  </w:r>
                </w:p>
              </w:tc>
              <w:tc>
                <w:tcPr>
                  <w:tcW w:w="500" w:type="pct"/>
                  <w:shd w:val="clear" w:color="auto" w:fill="FFFFFF"/>
                  <w:vAlign w:val="center"/>
                </w:tcPr>
                <w:p>
                  <w:pPr>
                    <w:pStyle w:val="50"/>
                    <w:widowControl w:val="0"/>
                    <w:adjustRightInd w:val="0"/>
                    <w:snapToGrid w:val="0"/>
                    <w:spacing w:before="0" w:line="240" w:lineRule="auto"/>
                    <w:ind w:firstLine="0" w:firstLineChars="0"/>
                    <w:jc w:val="center"/>
                    <w:rPr>
                      <w:rFonts w:hint="eastAsia" w:ascii="Times New Roman" w:hAnsi="Times New Roman" w:eastAsia="宋体" w:cs="Times New Roman"/>
                      <w:color w:val="auto"/>
                      <w:spacing w:val="15"/>
                      <w:kern w:val="0"/>
                      <w:sz w:val="21"/>
                      <w:szCs w:val="21"/>
                      <w:lang w:val="en-US" w:eastAsia="zh-CN" w:bidi="ar-SA"/>
                    </w:rPr>
                  </w:pPr>
                  <w:r>
                    <w:rPr>
                      <w:rFonts w:hint="eastAsia" w:ascii="Times New Roman" w:hAnsi="Times New Roman"/>
                      <w:color w:val="auto"/>
                      <w:sz w:val="21"/>
                      <w:szCs w:val="21"/>
                      <w:lang w:val="en-US" w:eastAsia="zh-CN"/>
                    </w:rPr>
                    <w:t>S</w:t>
                  </w:r>
                </w:p>
              </w:tc>
              <w:tc>
                <w:tcPr>
                  <w:tcW w:w="577" w:type="pct"/>
                  <w:shd w:val="clear" w:color="auto" w:fill="FFFFFF"/>
                  <w:vAlign w:val="center"/>
                </w:tcPr>
                <w:p>
                  <w:pPr>
                    <w:pStyle w:val="50"/>
                    <w:widowControl w:val="0"/>
                    <w:adjustRightInd w:val="0"/>
                    <w:snapToGrid w:val="0"/>
                    <w:spacing w:before="0" w:line="240" w:lineRule="auto"/>
                    <w:ind w:firstLine="0" w:firstLineChars="0"/>
                    <w:jc w:val="center"/>
                    <w:rPr>
                      <w:rFonts w:hint="default" w:ascii="Times New Roman" w:hAnsi="Times New Roman" w:eastAsia="宋体" w:cs="Times New Roman"/>
                      <w:color w:val="auto"/>
                      <w:spacing w:val="15"/>
                      <w:kern w:val="0"/>
                      <w:sz w:val="21"/>
                      <w:szCs w:val="21"/>
                      <w:lang w:val="en-US" w:eastAsia="zh-CN" w:bidi="ar-SA"/>
                    </w:rPr>
                  </w:pPr>
                  <w:r>
                    <w:rPr>
                      <w:rFonts w:hint="eastAsia" w:ascii="Times New Roman" w:hAnsi="Times New Roman" w:cs="Times New Roman"/>
                      <w:color w:val="auto"/>
                      <w:spacing w:val="15"/>
                      <w:kern w:val="0"/>
                      <w:sz w:val="21"/>
                      <w:szCs w:val="21"/>
                      <w:lang w:val="en-US" w:eastAsia="zh-CN" w:bidi="ar-SA"/>
                    </w:rPr>
                    <w:t>1420</w:t>
                  </w:r>
                </w:p>
              </w:tc>
            </w:tr>
            <w:tr>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0" w:type="dxa"/>
                  <w:left w:w="108" w:type="dxa"/>
                  <w:bottom w:w="0" w:type="dxa"/>
                  <w:right w:w="108" w:type="dxa"/>
                </w:tblCellMar>
              </w:tblPrEx>
              <w:trPr>
                <w:trHeight w:val="717" w:hRule="atLeast"/>
                <w:jc w:val="center"/>
              </w:trPr>
              <w:tc>
                <w:tcPr>
                  <w:tcW w:w="554" w:type="pct"/>
                  <w:shd w:val="clear" w:color="auto" w:fill="FFFFFF"/>
                  <w:vAlign w:val="center"/>
                </w:tcPr>
                <w:p>
                  <w:pPr>
                    <w:pStyle w:val="50"/>
                    <w:widowControl w:val="0"/>
                    <w:adjustRightInd w:val="0"/>
                    <w:snapToGrid w:val="0"/>
                    <w:spacing w:before="0" w:line="240" w:lineRule="auto"/>
                    <w:ind w:firstLine="0" w:firstLineChars="0"/>
                    <w:jc w:val="center"/>
                    <w:rPr>
                      <w:rFonts w:hint="eastAsia" w:ascii="Times New Roman" w:hAnsi="Times New Roman" w:eastAsia="宋体" w:cs="Times New Roman"/>
                      <w:color w:val="auto"/>
                      <w:spacing w:val="15"/>
                      <w:kern w:val="0"/>
                      <w:sz w:val="21"/>
                      <w:szCs w:val="21"/>
                      <w:lang w:val="en-US" w:eastAsia="zh-CN" w:bidi="ar-SA"/>
                    </w:rPr>
                  </w:pPr>
                  <w:r>
                    <w:rPr>
                      <w:rFonts w:hint="eastAsia" w:ascii="Times New Roman" w:hAnsi="Times New Roman"/>
                      <w:color w:val="auto"/>
                      <w:sz w:val="21"/>
                      <w:szCs w:val="21"/>
                      <w:lang w:eastAsia="zh-CN"/>
                    </w:rPr>
                    <w:t>金江苑三村二区</w:t>
                  </w:r>
                </w:p>
              </w:tc>
              <w:tc>
                <w:tcPr>
                  <w:tcW w:w="745" w:type="pct"/>
                  <w:shd w:val="clear" w:color="auto" w:fill="FFFFFF"/>
                  <w:vAlign w:val="center"/>
                </w:tcPr>
                <w:p>
                  <w:pPr>
                    <w:pStyle w:val="50"/>
                    <w:widowControl w:val="0"/>
                    <w:adjustRightInd w:val="0"/>
                    <w:snapToGrid w:val="0"/>
                    <w:spacing w:before="0" w:line="240" w:lineRule="auto"/>
                    <w:ind w:firstLine="0" w:firstLineChars="0"/>
                    <w:jc w:val="center"/>
                    <w:rPr>
                      <w:rFonts w:hint="eastAsia" w:ascii="Times New Roman" w:hAnsi="Times New Roman" w:eastAsia="宋体" w:cs="Times New Roman"/>
                      <w:color w:val="auto"/>
                      <w:spacing w:val="15"/>
                      <w:kern w:val="0"/>
                      <w:sz w:val="21"/>
                      <w:szCs w:val="21"/>
                      <w:lang w:val="en-US" w:eastAsia="zh-CN" w:bidi="ar-SA"/>
                    </w:rPr>
                  </w:pPr>
                  <w:r>
                    <w:rPr>
                      <w:rFonts w:hint="eastAsia" w:ascii="Times New Roman" w:hAnsi="Times New Roman"/>
                      <w:color w:val="auto"/>
                      <w:sz w:val="21"/>
                      <w:szCs w:val="21"/>
                      <w:lang w:val="en-US" w:eastAsia="zh-CN"/>
                    </w:rPr>
                    <w:t>119.625223</w:t>
                  </w:r>
                </w:p>
              </w:tc>
              <w:tc>
                <w:tcPr>
                  <w:tcW w:w="631" w:type="pct"/>
                  <w:shd w:val="clear" w:color="auto" w:fill="FFFFFF"/>
                  <w:vAlign w:val="center"/>
                </w:tcPr>
                <w:p>
                  <w:pPr>
                    <w:pStyle w:val="50"/>
                    <w:widowControl w:val="0"/>
                    <w:adjustRightInd w:val="0"/>
                    <w:snapToGrid w:val="0"/>
                    <w:spacing w:before="0" w:line="240" w:lineRule="auto"/>
                    <w:ind w:firstLine="0" w:firstLineChars="0"/>
                    <w:jc w:val="center"/>
                    <w:rPr>
                      <w:rFonts w:hint="eastAsia" w:ascii="Times New Roman" w:hAnsi="Times New Roman" w:eastAsia="宋体" w:cs="Times New Roman"/>
                      <w:color w:val="auto"/>
                      <w:spacing w:val="15"/>
                      <w:kern w:val="0"/>
                      <w:sz w:val="21"/>
                      <w:szCs w:val="21"/>
                      <w:lang w:val="en-US" w:eastAsia="zh-CN" w:bidi="ar-SA"/>
                    </w:rPr>
                  </w:pPr>
                  <w:r>
                    <w:rPr>
                      <w:rFonts w:hint="eastAsia" w:ascii="Times New Roman" w:hAnsi="Times New Roman"/>
                      <w:color w:val="auto"/>
                      <w:sz w:val="21"/>
                      <w:szCs w:val="21"/>
                      <w:lang w:val="en-US" w:eastAsia="zh-CN"/>
                    </w:rPr>
                    <w:t>31.741134</w:t>
                  </w:r>
                </w:p>
              </w:tc>
              <w:tc>
                <w:tcPr>
                  <w:tcW w:w="469" w:type="pct"/>
                  <w:shd w:val="clear" w:color="auto" w:fill="FFFFFF"/>
                  <w:vAlign w:val="center"/>
                </w:tcPr>
                <w:p>
                  <w:pPr>
                    <w:jc w:val="center"/>
                    <w:rPr>
                      <w:rFonts w:ascii="Times New Roman" w:hAnsi="Times New Roman" w:eastAsia="宋体" w:cs="Times New Roman"/>
                      <w:color w:val="auto"/>
                      <w:kern w:val="2"/>
                      <w:sz w:val="21"/>
                      <w:szCs w:val="21"/>
                      <w:lang w:val="en-US" w:eastAsia="zh-CN" w:bidi="ar-SA"/>
                    </w:rPr>
                  </w:pPr>
                  <w:r>
                    <w:rPr>
                      <w:color w:val="auto"/>
                      <w:szCs w:val="21"/>
                    </w:rPr>
                    <w:t>居住区</w:t>
                  </w:r>
                </w:p>
              </w:tc>
              <w:tc>
                <w:tcPr>
                  <w:tcW w:w="469" w:type="pct"/>
                  <w:shd w:val="clear" w:color="auto" w:fill="FFFFFF"/>
                  <w:vAlign w:val="center"/>
                </w:tcPr>
                <w:p>
                  <w:pPr>
                    <w:widowControl w:val="0"/>
                    <w:adjustRightInd w:val="0"/>
                    <w:snapToGrid w:val="0"/>
                    <w:spacing w:before="0" w:line="240" w:lineRule="auto"/>
                    <w:ind w:firstLine="0" w:firstLineChars="0"/>
                    <w:jc w:val="center"/>
                    <w:rPr>
                      <w:rFonts w:ascii="Times New Roman" w:hAnsi="Times New Roman" w:eastAsia="宋体" w:cs="Times New Roman"/>
                      <w:color w:val="auto"/>
                      <w:kern w:val="2"/>
                      <w:sz w:val="21"/>
                      <w:szCs w:val="21"/>
                      <w:lang w:val="en-US" w:eastAsia="zh-CN" w:bidi="ar-SA"/>
                    </w:rPr>
                  </w:pPr>
                  <w:r>
                    <w:rPr>
                      <w:rFonts w:ascii="Times New Roman" w:hAnsi="Times New Roman"/>
                      <w:color w:val="auto"/>
                      <w:sz w:val="21"/>
                      <w:szCs w:val="21"/>
                    </w:rPr>
                    <w:t>人群</w:t>
                  </w:r>
                </w:p>
              </w:tc>
              <w:tc>
                <w:tcPr>
                  <w:tcW w:w="424" w:type="pct"/>
                  <w:shd w:val="clear" w:color="auto" w:fill="FFFFFF"/>
                  <w:vAlign w:val="center"/>
                </w:tcPr>
                <w:p>
                  <w:pPr>
                    <w:pStyle w:val="50"/>
                    <w:widowControl w:val="0"/>
                    <w:adjustRightInd w:val="0"/>
                    <w:snapToGrid w:val="0"/>
                    <w:spacing w:before="0" w:line="240" w:lineRule="auto"/>
                    <w:ind w:firstLine="0" w:firstLineChars="0"/>
                    <w:jc w:val="center"/>
                    <w:rPr>
                      <w:rFonts w:hint="eastAsia" w:ascii="Times New Roman" w:hAnsi="Times New Roman" w:eastAsia="宋体" w:cs="Times New Roman"/>
                      <w:color w:val="auto"/>
                      <w:spacing w:val="15"/>
                      <w:kern w:val="0"/>
                      <w:sz w:val="21"/>
                      <w:szCs w:val="21"/>
                      <w:lang w:val="en-US" w:eastAsia="zh-CN" w:bidi="ar-SA"/>
                    </w:rPr>
                  </w:pPr>
                  <w:r>
                    <w:rPr>
                      <w:rFonts w:hint="eastAsia" w:ascii="Times New Roman" w:hAnsi="Times New Roman"/>
                      <w:color w:val="auto"/>
                      <w:sz w:val="21"/>
                      <w:szCs w:val="21"/>
                      <w:lang w:val="en-US" w:eastAsia="zh-CN"/>
                    </w:rPr>
                    <w:t>1500</w:t>
                  </w:r>
                </w:p>
              </w:tc>
              <w:tc>
                <w:tcPr>
                  <w:tcW w:w="627" w:type="pct"/>
                  <w:shd w:val="clear" w:color="auto" w:fill="FFFFFF"/>
                  <w:vAlign w:val="center"/>
                </w:tcPr>
                <w:p>
                  <w:pPr>
                    <w:jc w:val="center"/>
                    <w:rPr>
                      <w:rFonts w:ascii="Times New Roman" w:hAnsi="Times New Roman" w:eastAsia="宋体" w:cs="Times New Roman"/>
                      <w:color w:val="auto"/>
                      <w:kern w:val="2"/>
                      <w:sz w:val="21"/>
                      <w:szCs w:val="21"/>
                      <w:lang w:val="en-US" w:eastAsia="zh-CN" w:bidi="ar-SA"/>
                    </w:rPr>
                  </w:pPr>
                  <w:r>
                    <w:rPr>
                      <w:rFonts w:ascii="Times New Roman" w:hAnsi="Times New Roman"/>
                      <w:color w:val="auto"/>
                      <w:sz w:val="21"/>
                      <w:szCs w:val="21"/>
                    </w:rPr>
                    <w:t>人群</w:t>
                  </w:r>
                </w:p>
              </w:tc>
              <w:tc>
                <w:tcPr>
                  <w:tcW w:w="500" w:type="pct"/>
                  <w:shd w:val="clear" w:color="auto" w:fill="FFFFFF"/>
                  <w:vAlign w:val="center"/>
                </w:tcPr>
                <w:p>
                  <w:pPr>
                    <w:widowControl w:val="0"/>
                    <w:adjustRightInd w:val="0"/>
                    <w:snapToGrid w:val="0"/>
                    <w:spacing w:before="0" w:line="240" w:lineRule="auto"/>
                    <w:ind w:firstLine="0" w:firstLineChars="0"/>
                    <w:jc w:val="center"/>
                    <w:rPr>
                      <w:rFonts w:hint="eastAsia" w:ascii="Times New Roman" w:hAnsi="Times New Roman" w:eastAsia="宋体" w:cs="Times New Roman"/>
                      <w:color w:val="auto"/>
                      <w:kern w:val="2"/>
                      <w:sz w:val="21"/>
                      <w:szCs w:val="21"/>
                      <w:lang w:val="en-US" w:eastAsia="zh-CN" w:bidi="ar-SA"/>
                    </w:rPr>
                  </w:pPr>
                  <w:r>
                    <w:rPr>
                      <w:rFonts w:hint="eastAsia" w:ascii="Times New Roman" w:hAnsi="Times New Roman"/>
                      <w:color w:val="auto"/>
                      <w:sz w:val="21"/>
                      <w:szCs w:val="21"/>
                      <w:lang w:val="en-US" w:eastAsia="zh-CN"/>
                    </w:rPr>
                    <w:t>S</w:t>
                  </w:r>
                </w:p>
              </w:tc>
              <w:tc>
                <w:tcPr>
                  <w:tcW w:w="577" w:type="pct"/>
                  <w:shd w:val="clear" w:color="auto" w:fill="FFFFFF"/>
                  <w:vAlign w:val="center"/>
                </w:tcPr>
                <w:p>
                  <w:pPr>
                    <w:pStyle w:val="50"/>
                    <w:widowControl w:val="0"/>
                    <w:adjustRightInd w:val="0"/>
                    <w:snapToGrid w:val="0"/>
                    <w:spacing w:before="0" w:line="240" w:lineRule="auto"/>
                    <w:ind w:firstLine="0" w:firstLineChars="0"/>
                    <w:jc w:val="center"/>
                    <w:rPr>
                      <w:rFonts w:hint="default" w:ascii="Times New Roman" w:hAnsi="Times New Roman" w:eastAsia="宋体" w:cs="Times New Roman"/>
                      <w:color w:val="auto"/>
                      <w:spacing w:val="15"/>
                      <w:kern w:val="0"/>
                      <w:sz w:val="21"/>
                      <w:szCs w:val="21"/>
                      <w:lang w:val="en-US" w:eastAsia="zh-CN" w:bidi="ar-SA"/>
                    </w:rPr>
                  </w:pPr>
                  <w:r>
                    <w:rPr>
                      <w:rFonts w:hint="eastAsia" w:ascii="Times New Roman" w:hAnsi="Times New Roman" w:cs="Times New Roman"/>
                      <w:color w:val="auto"/>
                      <w:spacing w:val="15"/>
                      <w:kern w:val="0"/>
                      <w:sz w:val="21"/>
                      <w:szCs w:val="21"/>
                      <w:lang w:val="en-US" w:eastAsia="zh-CN" w:bidi="ar-SA"/>
                    </w:rPr>
                    <w:t>1700</w:t>
                  </w:r>
                </w:p>
              </w:tc>
            </w:tr>
          </w:tbl>
          <w:p>
            <w:pPr>
              <w:jc w:val="center"/>
              <w:rPr>
                <w:b/>
                <w:bCs/>
                <w:szCs w:val="21"/>
              </w:rPr>
            </w:pPr>
            <w:r>
              <w:rPr>
                <w:b/>
                <w:bCs/>
                <w:szCs w:val="21"/>
              </w:rPr>
              <w:t>表3-</w:t>
            </w:r>
            <w:r>
              <w:rPr>
                <w:rFonts w:hint="eastAsia"/>
                <w:b/>
                <w:bCs/>
                <w:szCs w:val="21"/>
              </w:rPr>
              <w:t>7</w:t>
            </w:r>
            <w:r>
              <w:rPr>
                <w:b/>
                <w:bCs/>
                <w:szCs w:val="21"/>
              </w:rPr>
              <w:t xml:space="preserve"> 主要环境保护目标</w:t>
            </w:r>
          </w:p>
          <w:tbl>
            <w:tblPr>
              <w:tblStyle w:val="56"/>
              <w:tblW w:w="8312" w:type="dxa"/>
              <w:jc w:val="center"/>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1069"/>
              <w:gridCol w:w="1951"/>
              <w:gridCol w:w="695"/>
              <w:gridCol w:w="799"/>
              <w:gridCol w:w="1229"/>
              <w:gridCol w:w="2569"/>
            </w:tblGrid>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1069" w:type="dxa"/>
                  <w:vAlign w:val="center"/>
                </w:tcPr>
                <w:p>
                  <w:pPr>
                    <w:jc w:val="center"/>
                    <w:rPr>
                      <w:b/>
                      <w:bCs/>
                      <w:szCs w:val="21"/>
                    </w:rPr>
                  </w:pPr>
                  <w:r>
                    <w:rPr>
                      <w:b/>
                      <w:bCs/>
                      <w:szCs w:val="21"/>
                    </w:rPr>
                    <w:t>环境要素</w:t>
                  </w:r>
                </w:p>
              </w:tc>
              <w:tc>
                <w:tcPr>
                  <w:tcW w:w="1951" w:type="dxa"/>
                  <w:vAlign w:val="center"/>
                </w:tcPr>
                <w:p>
                  <w:pPr>
                    <w:jc w:val="center"/>
                    <w:rPr>
                      <w:b/>
                      <w:bCs/>
                      <w:szCs w:val="21"/>
                    </w:rPr>
                  </w:pPr>
                  <w:r>
                    <w:rPr>
                      <w:b/>
                      <w:bCs/>
                      <w:szCs w:val="21"/>
                    </w:rPr>
                    <w:t>环境保护对象名称</w:t>
                  </w:r>
                </w:p>
              </w:tc>
              <w:tc>
                <w:tcPr>
                  <w:tcW w:w="695" w:type="dxa"/>
                  <w:vAlign w:val="center"/>
                </w:tcPr>
                <w:p>
                  <w:pPr>
                    <w:jc w:val="center"/>
                    <w:rPr>
                      <w:b/>
                      <w:bCs/>
                      <w:szCs w:val="21"/>
                    </w:rPr>
                  </w:pPr>
                  <w:r>
                    <w:rPr>
                      <w:b/>
                      <w:bCs/>
                      <w:szCs w:val="21"/>
                    </w:rPr>
                    <w:t>方位</w:t>
                  </w:r>
                </w:p>
              </w:tc>
              <w:tc>
                <w:tcPr>
                  <w:tcW w:w="799" w:type="dxa"/>
                  <w:vAlign w:val="center"/>
                </w:tcPr>
                <w:p>
                  <w:pPr>
                    <w:jc w:val="center"/>
                    <w:rPr>
                      <w:b/>
                      <w:bCs/>
                      <w:szCs w:val="21"/>
                    </w:rPr>
                  </w:pPr>
                  <w:r>
                    <w:rPr>
                      <w:b/>
                      <w:bCs/>
                      <w:szCs w:val="21"/>
                    </w:rPr>
                    <w:t>距离（m）</w:t>
                  </w:r>
                </w:p>
              </w:tc>
              <w:tc>
                <w:tcPr>
                  <w:tcW w:w="1229" w:type="dxa"/>
                  <w:vAlign w:val="center"/>
                </w:tcPr>
                <w:p>
                  <w:pPr>
                    <w:jc w:val="center"/>
                    <w:rPr>
                      <w:b/>
                      <w:bCs/>
                      <w:szCs w:val="21"/>
                    </w:rPr>
                  </w:pPr>
                  <w:r>
                    <w:rPr>
                      <w:b/>
                      <w:bCs/>
                      <w:szCs w:val="21"/>
                    </w:rPr>
                    <w:t>规模</w:t>
                  </w:r>
                </w:p>
              </w:tc>
              <w:tc>
                <w:tcPr>
                  <w:tcW w:w="2569" w:type="dxa"/>
                  <w:vAlign w:val="center"/>
                </w:tcPr>
                <w:p>
                  <w:pPr>
                    <w:jc w:val="center"/>
                    <w:rPr>
                      <w:b/>
                      <w:bCs/>
                      <w:szCs w:val="21"/>
                    </w:rPr>
                  </w:pPr>
                  <w:r>
                    <w:rPr>
                      <w:b/>
                      <w:bCs/>
                      <w:szCs w:val="21"/>
                    </w:rPr>
                    <w:t>环境功能</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1069" w:type="dxa"/>
                  <w:vAlign w:val="center"/>
                </w:tcPr>
                <w:p>
                  <w:pPr>
                    <w:jc w:val="center"/>
                    <w:rPr>
                      <w:szCs w:val="21"/>
                    </w:rPr>
                  </w:pPr>
                  <w:r>
                    <w:rPr>
                      <w:szCs w:val="21"/>
                    </w:rPr>
                    <w:t>水环境</w:t>
                  </w:r>
                </w:p>
              </w:tc>
              <w:tc>
                <w:tcPr>
                  <w:tcW w:w="1951" w:type="dxa"/>
                  <w:vAlign w:val="center"/>
                </w:tcPr>
                <w:p>
                  <w:pPr>
                    <w:pStyle w:val="449"/>
                    <w:rPr>
                      <w:rFonts w:hint="eastAsia" w:eastAsia="宋体"/>
                      <w:snapToGrid w:val="0"/>
                      <w:kern w:val="0"/>
                      <w:szCs w:val="21"/>
                      <w:lang w:eastAsia="zh-CN"/>
                    </w:rPr>
                  </w:pPr>
                  <w:r>
                    <w:rPr>
                      <w:rFonts w:hint="eastAsia"/>
                      <w:snapToGrid w:val="0"/>
                      <w:kern w:val="0"/>
                      <w:szCs w:val="21"/>
                      <w:lang w:eastAsia="zh-CN"/>
                    </w:rPr>
                    <w:t>尧塘河</w:t>
                  </w:r>
                </w:p>
              </w:tc>
              <w:tc>
                <w:tcPr>
                  <w:tcW w:w="695" w:type="dxa"/>
                  <w:vAlign w:val="center"/>
                </w:tcPr>
                <w:p>
                  <w:pPr>
                    <w:pStyle w:val="449"/>
                    <w:rPr>
                      <w:rFonts w:hint="default" w:eastAsia="宋体"/>
                      <w:szCs w:val="21"/>
                      <w:lang w:val="en-US" w:eastAsia="zh-CN"/>
                    </w:rPr>
                  </w:pPr>
                  <w:r>
                    <w:rPr>
                      <w:rFonts w:hint="eastAsia"/>
                      <w:szCs w:val="21"/>
                      <w:lang w:val="en-US" w:eastAsia="zh-CN"/>
                    </w:rPr>
                    <w:t>N/E</w:t>
                  </w:r>
                </w:p>
              </w:tc>
              <w:tc>
                <w:tcPr>
                  <w:tcW w:w="799" w:type="dxa"/>
                  <w:vAlign w:val="center"/>
                </w:tcPr>
                <w:p>
                  <w:pPr>
                    <w:pStyle w:val="449"/>
                    <w:rPr>
                      <w:rFonts w:hint="default" w:eastAsia="宋体"/>
                      <w:szCs w:val="21"/>
                      <w:lang w:val="en-US" w:eastAsia="zh-CN"/>
                    </w:rPr>
                  </w:pPr>
                  <w:r>
                    <w:rPr>
                      <w:rFonts w:hint="eastAsia"/>
                      <w:szCs w:val="21"/>
                      <w:lang w:val="en-US" w:eastAsia="zh-CN"/>
                    </w:rPr>
                    <w:t>320</w:t>
                  </w:r>
                </w:p>
              </w:tc>
              <w:tc>
                <w:tcPr>
                  <w:tcW w:w="1229" w:type="dxa"/>
                  <w:vAlign w:val="center"/>
                </w:tcPr>
                <w:p>
                  <w:pPr>
                    <w:pStyle w:val="449"/>
                    <w:rPr>
                      <w:szCs w:val="21"/>
                    </w:rPr>
                  </w:pPr>
                  <w:r>
                    <w:rPr>
                      <w:rFonts w:hint="eastAsia"/>
                      <w:szCs w:val="21"/>
                    </w:rPr>
                    <w:t>小</w:t>
                  </w:r>
                </w:p>
              </w:tc>
              <w:tc>
                <w:tcPr>
                  <w:tcW w:w="2569" w:type="dxa"/>
                  <w:vAlign w:val="center"/>
                </w:tcPr>
                <w:p>
                  <w:pPr>
                    <w:jc w:val="center"/>
                    <w:rPr>
                      <w:szCs w:val="21"/>
                    </w:rPr>
                  </w:pPr>
                  <w:r>
                    <w:rPr>
                      <w:szCs w:val="21"/>
                    </w:rPr>
                    <w:t>《地表水环境质量标准》（GB3838-2002）</w:t>
                  </w:r>
                  <w:r>
                    <w:rPr>
                      <w:rFonts w:hint="eastAsia" w:cs="宋体"/>
                      <w:szCs w:val="21"/>
                    </w:rPr>
                    <w:t>Ⅳ</w:t>
                  </w:r>
                  <w:r>
                    <w:rPr>
                      <w:szCs w:val="21"/>
                    </w:rPr>
                    <w:t>类标准</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PrEx>
              <w:trPr>
                <w:cantSplit/>
                <w:trHeight w:val="340" w:hRule="atLeast"/>
                <w:jc w:val="center"/>
              </w:trPr>
              <w:tc>
                <w:tcPr>
                  <w:tcW w:w="1069" w:type="dxa"/>
                  <w:vMerge w:val="restart"/>
                  <w:vAlign w:val="center"/>
                </w:tcPr>
                <w:p>
                  <w:pPr>
                    <w:jc w:val="center"/>
                    <w:rPr>
                      <w:color w:val="auto"/>
                      <w:szCs w:val="21"/>
                    </w:rPr>
                  </w:pPr>
                  <w:r>
                    <w:rPr>
                      <w:color w:val="auto"/>
                      <w:szCs w:val="21"/>
                    </w:rPr>
                    <w:t>声环境</w:t>
                  </w:r>
                </w:p>
              </w:tc>
              <w:tc>
                <w:tcPr>
                  <w:tcW w:w="1951" w:type="dxa"/>
                  <w:vAlign w:val="center"/>
                </w:tcPr>
                <w:p>
                  <w:pPr>
                    <w:jc w:val="center"/>
                    <w:rPr>
                      <w:color w:val="auto"/>
                      <w:szCs w:val="21"/>
                    </w:rPr>
                  </w:pPr>
                  <w:r>
                    <w:rPr>
                      <w:color w:val="auto"/>
                      <w:szCs w:val="21"/>
                    </w:rPr>
                    <w:t>厂界</w:t>
                  </w:r>
                </w:p>
              </w:tc>
              <w:tc>
                <w:tcPr>
                  <w:tcW w:w="2723" w:type="dxa"/>
                  <w:gridSpan w:val="3"/>
                  <w:vAlign w:val="center"/>
                </w:tcPr>
                <w:p>
                  <w:pPr>
                    <w:jc w:val="center"/>
                    <w:rPr>
                      <w:color w:val="auto"/>
                      <w:szCs w:val="21"/>
                    </w:rPr>
                  </w:pPr>
                  <w:r>
                    <w:rPr>
                      <w:rFonts w:hint="eastAsia"/>
                      <w:color w:val="auto"/>
                      <w:szCs w:val="21"/>
                    </w:rPr>
                    <w:t>厂界外200</w:t>
                  </w:r>
                  <w:r>
                    <w:rPr>
                      <w:color w:val="auto"/>
                      <w:szCs w:val="21"/>
                    </w:rPr>
                    <w:t>m</w:t>
                  </w:r>
                  <w:r>
                    <w:rPr>
                      <w:rFonts w:hint="eastAsia"/>
                      <w:color w:val="auto"/>
                      <w:szCs w:val="21"/>
                    </w:rPr>
                    <w:t>范围内</w:t>
                  </w:r>
                </w:p>
              </w:tc>
              <w:tc>
                <w:tcPr>
                  <w:tcW w:w="2569" w:type="dxa"/>
                  <w:vAlign w:val="center"/>
                </w:tcPr>
                <w:p>
                  <w:pPr>
                    <w:jc w:val="center"/>
                    <w:rPr>
                      <w:color w:val="auto"/>
                      <w:szCs w:val="21"/>
                    </w:rPr>
                  </w:pPr>
                  <w:r>
                    <w:rPr>
                      <w:color w:val="auto"/>
                      <w:szCs w:val="21"/>
                    </w:rPr>
                    <w:t>《声环境质量标准》(GB3096-2008)中的</w:t>
                  </w:r>
                  <w:r>
                    <w:rPr>
                      <w:rFonts w:hint="eastAsia"/>
                      <w:color w:val="auto"/>
                      <w:szCs w:val="21"/>
                    </w:rPr>
                    <w:t>3</w:t>
                  </w:r>
                  <w:r>
                    <w:rPr>
                      <w:color w:val="auto"/>
                      <w:szCs w:val="21"/>
                    </w:rPr>
                    <w:t>类</w:t>
                  </w:r>
                  <w:r>
                    <w:rPr>
                      <w:rFonts w:hint="eastAsia"/>
                      <w:color w:val="auto"/>
                      <w:szCs w:val="21"/>
                    </w:rPr>
                    <w:t>区限值</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PrEx>
              <w:trPr>
                <w:cantSplit/>
                <w:trHeight w:val="340" w:hRule="atLeast"/>
                <w:jc w:val="center"/>
              </w:trPr>
              <w:tc>
                <w:tcPr>
                  <w:tcW w:w="1069" w:type="dxa"/>
                  <w:vMerge w:val="continue"/>
                  <w:vAlign w:val="center"/>
                </w:tcPr>
                <w:p>
                  <w:pPr>
                    <w:jc w:val="center"/>
                    <w:rPr>
                      <w:color w:val="auto"/>
                      <w:szCs w:val="21"/>
                    </w:rPr>
                  </w:pPr>
                </w:p>
              </w:tc>
              <w:tc>
                <w:tcPr>
                  <w:tcW w:w="1951" w:type="dxa"/>
                  <w:vAlign w:val="center"/>
                </w:tcPr>
                <w:p>
                  <w:pPr>
                    <w:jc w:val="center"/>
                    <w:rPr>
                      <w:rFonts w:hint="eastAsia" w:eastAsia="宋体"/>
                      <w:color w:val="auto"/>
                      <w:szCs w:val="21"/>
                      <w:lang w:eastAsia="zh-CN"/>
                    </w:rPr>
                  </w:pPr>
                  <w:r>
                    <w:rPr>
                      <w:rFonts w:hint="eastAsia"/>
                      <w:color w:val="auto"/>
                      <w:szCs w:val="21"/>
                      <w:lang w:eastAsia="zh-CN"/>
                    </w:rPr>
                    <w:t>敏感点珑庭花园</w:t>
                  </w:r>
                </w:p>
              </w:tc>
              <w:tc>
                <w:tcPr>
                  <w:tcW w:w="695" w:type="dxa"/>
                  <w:vAlign w:val="center"/>
                </w:tcPr>
                <w:p>
                  <w:pPr>
                    <w:jc w:val="center"/>
                    <w:rPr>
                      <w:color w:val="auto"/>
                      <w:szCs w:val="21"/>
                    </w:rPr>
                  </w:pPr>
                  <w:r>
                    <w:rPr>
                      <w:rFonts w:hint="eastAsia"/>
                      <w:color w:val="auto"/>
                      <w:szCs w:val="21"/>
                    </w:rPr>
                    <w:t>E</w:t>
                  </w:r>
                </w:p>
              </w:tc>
              <w:tc>
                <w:tcPr>
                  <w:tcW w:w="799" w:type="dxa"/>
                  <w:vAlign w:val="center"/>
                </w:tcPr>
                <w:p>
                  <w:pPr>
                    <w:jc w:val="center"/>
                    <w:rPr>
                      <w:rFonts w:hint="default" w:eastAsia="宋体"/>
                      <w:color w:val="auto"/>
                      <w:szCs w:val="21"/>
                      <w:lang w:val="en-US" w:eastAsia="zh-CN"/>
                    </w:rPr>
                  </w:pPr>
                  <w:r>
                    <w:rPr>
                      <w:rFonts w:hint="eastAsia"/>
                      <w:color w:val="auto"/>
                      <w:szCs w:val="21"/>
                      <w:lang w:val="en-US" w:eastAsia="zh-CN"/>
                    </w:rPr>
                    <w:t>100</w:t>
                  </w:r>
                </w:p>
              </w:tc>
              <w:tc>
                <w:tcPr>
                  <w:tcW w:w="1229" w:type="dxa"/>
                  <w:vAlign w:val="center"/>
                </w:tcPr>
                <w:p>
                  <w:pPr>
                    <w:jc w:val="center"/>
                    <w:rPr>
                      <w:color w:val="auto"/>
                      <w:szCs w:val="21"/>
                    </w:rPr>
                  </w:pPr>
                  <w:r>
                    <w:rPr>
                      <w:rFonts w:hint="eastAsia"/>
                      <w:color w:val="auto"/>
                      <w:szCs w:val="21"/>
                    </w:rPr>
                    <w:t>约</w:t>
                  </w:r>
                  <w:r>
                    <w:rPr>
                      <w:rFonts w:hint="eastAsia"/>
                      <w:color w:val="auto"/>
                      <w:szCs w:val="21"/>
                      <w:lang w:val="en-US" w:eastAsia="zh-CN"/>
                    </w:rPr>
                    <w:t>3000</w:t>
                  </w:r>
                  <w:r>
                    <w:rPr>
                      <w:rFonts w:hint="eastAsia"/>
                      <w:color w:val="auto"/>
                      <w:szCs w:val="21"/>
                    </w:rPr>
                    <w:t>人</w:t>
                  </w:r>
                </w:p>
              </w:tc>
              <w:tc>
                <w:tcPr>
                  <w:tcW w:w="2569" w:type="dxa"/>
                  <w:vAlign w:val="center"/>
                </w:tcPr>
                <w:p>
                  <w:pPr>
                    <w:jc w:val="center"/>
                    <w:rPr>
                      <w:color w:val="auto"/>
                      <w:szCs w:val="21"/>
                    </w:rPr>
                  </w:pPr>
                  <w:r>
                    <w:rPr>
                      <w:color w:val="auto"/>
                      <w:szCs w:val="21"/>
                    </w:rPr>
                    <w:t>《声环境质量标准》(GB3096-2008)中的</w:t>
                  </w:r>
                  <w:r>
                    <w:rPr>
                      <w:rFonts w:hint="eastAsia"/>
                      <w:color w:val="auto"/>
                      <w:szCs w:val="21"/>
                    </w:rPr>
                    <w:t>2</w:t>
                  </w:r>
                  <w:r>
                    <w:rPr>
                      <w:color w:val="auto"/>
                      <w:szCs w:val="21"/>
                    </w:rPr>
                    <w:t>类</w:t>
                  </w:r>
                  <w:r>
                    <w:rPr>
                      <w:rFonts w:hint="eastAsia"/>
                      <w:color w:val="auto"/>
                      <w:szCs w:val="21"/>
                    </w:rPr>
                    <w:t>区限值</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PrEx>
              <w:trPr>
                <w:cantSplit/>
                <w:trHeight w:val="340" w:hRule="atLeast"/>
                <w:jc w:val="center"/>
              </w:trPr>
              <w:tc>
                <w:tcPr>
                  <w:tcW w:w="1069" w:type="dxa"/>
                  <w:vMerge w:val="restart"/>
                  <w:vAlign w:val="center"/>
                </w:tcPr>
                <w:p>
                  <w:pPr>
                    <w:jc w:val="center"/>
                    <w:rPr>
                      <w:szCs w:val="21"/>
                    </w:rPr>
                  </w:pPr>
                  <w:r>
                    <w:rPr>
                      <w:rFonts w:hint="eastAsia"/>
                      <w:szCs w:val="21"/>
                    </w:rPr>
                    <w:t>生态环境</w:t>
                  </w:r>
                </w:p>
              </w:tc>
              <w:tc>
                <w:tcPr>
                  <w:tcW w:w="1951" w:type="dxa"/>
                  <w:vAlign w:val="center"/>
                </w:tcPr>
                <w:p>
                  <w:pPr>
                    <w:jc w:val="center"/>
                    <w:rPr>
                      <w:szCs w:val="21"/>
                    </w:rPr>
                  </w:pPr>
                  <w:r>
                    <w:rPr>
                      <w:rFonts w:hint="eastAsia"/>
                      <w:szCs w:val="21"/>
                    </w:rPr>
                    <w:t>丹金溧漕河（金坛</w:t>
                  </w:r>
                </w:p>
                <w:p>
                  <w:pPr>
                    <w:jc w:val="center"/>
                    <w:rPr>
                      <w:szCs w:val="21"/>
                    </w:rPr>
                  </w:pPr>
                  <w:r>
                    <w:rPr>
                      <w:rFonts w:hint="eastAsia"/>
                      <w:szCs w:val="21"/>
                    </w:rPr>
                    <w:t>区）洪水调蓄区</w:t>
                  </w:r>
                </w:p>
              </w:tc>
              <w:tc>
                <w:tcPr>
                  <w:tcW w:w="695" w:type="dxa"/>
                  <w:vAlign w:val="center"/>
                </w:tcPr>
                <w:p>
                  <w:pPr>
                    <w:jc w:val="center"/>
                    <w:rPr>
                      <w:szCs w:val="21"/>
                    </w:rPr>
                  </w:pPr>
                  <w:r>
                    <w:rPr>
                      <w:rFonts w:hint="eastAsia"/>
                      <w:szCs w:val="21"/>
                    </w:rPr>
                    <w:t>E/N</w:t>
                  </w:r>
                </w:p>
              </w:tc>
              <w:tc>
                <w:tcPr>
                  <w:tcW w:w="799" w:type="dxa"/>
                  <w:vAlign w:val="center"/>
                </w:tcPr>
                <w:p>
                  <w:pPr>
                    <w:jc w:val="center"/>
                    <w:rPr>
                      <w:rFonts w:hint="default" w:eastAsia="宋体"/>
                      <w:szCs w:val="21"/>
                      <w:lang w:val="en-US" w:eastAsia="zh-CN"/>
                    </w:rPr>
                  </w:pPr>
                  <w:r>
                    <w:rPr>
                      <w:rFonts w:hint="eastAsia"/>
                      <w:szCs w:val="21"/>
                      <w:lang w:val="en-US" w:eastAsia="zh-CN"/>
                    </w:rPr>
                    <w:t>4900</w:t>
                  </w:r>
                </w:p>
              </w:tc>
              <w:tc>
                <w:tcPr>
                  <w:tcW w:w="1229" w:type="dxa"/>
                  <w:vAlign w:val="center"/>
                </w:tcPr>
                <w:p>
                  <w:pPr>
                    <w:jc w:val="center"/>
                    <w:rPr>
                      <w:szCs w:val="21"/>
                    </w:rPr>
                  </w:pPr>
                  <w:r>
                    <w:rPr>
                      <w:rFonts w:hint="eastAsia"/>
                      <w:szCs w:val="21"/>
                    </w:rPr>
                    <w:t>2.50平方公里</w:t>
                  </w:r>
                </w:p>
              </w:tc>
              <w:tc>
                <w:tcPr>
                  <w:tcW w:w="2569" w:type="dxa"/>
                  <w:vAlign w:val="center"/>
                </w:tcPr>
                <w:p>
                  <w:pPr>
                    <w:jc w:val="center"/>
                    <w:rPr>
                      <w:szCs w:val="21"/>
                    </w:rPr>
                  </w:pPr>
                  <w:r>
                    <w:rPr>
                      <w:rFonts w:hint="eastAsia"/>
                      <w:szCs w:val="21"/>
                    </w:rPr>
                    <w:t>洪水调蓄</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PrEx>
              <w:trPr>
                <w:cantSplit/>
                <w:trHeight w:val="340" w:hRule="atLeast"/>
                <w:jc w:val="center"/>
              </w:trPr>
              <w:tc>
                <w:tcPr>
                  <w:tcW w:w="1069" w:type="dxa"/>
                  <w:vMerge w:val="continue"/>
                  <w:vAlign w:val="center"/>
                </w:tcPr>
                <w:p>
                  <w:pPr>
                    <w:jc w:val="center"/>
                    <w:rPr>
                      <w:szCs w:val="21"/>
                    </w:rPr>
                  </w:pPr>
                </w:p>
              </w:tc>
              <w:tc>
                <w:tcPr>
                  <w:tcW w:w="1951" w:type="dxa"/>
                  <w:vAlign w:val="center"/>
                </w:tcPr>
                <w:p>
                  <w:pPr>
                    <w:jc w:val="center"/>
                    <w:rPr>
                      <w:szCs w:val="21"/>
                    </w:rPr>
                  </w:pPr>
                  <w:r>
                    <w:rPr>
                      <w:rFonts w:hint="eastAsia"/>
                      <w:szCs w:val="21"/>
                    </w:rPr>
                    <w:t>钱资荡重要湿地</w:t>
                  </w:r>
                </w:p>
              </w:tc>
              <w:tc>
                <w:tcPr>
                  <w:tcW w:w="695" w:type="dxa"/>
                  <w:vAlign w:val="center"/>
                </w:tcPr>
                <w:p>
                  <w:pPr>
                    <w:jc w:val="center"/>
                    <w:rPr>
                      <w:szCs w:val="21"/>
                    </w:rPr>
                  </w:pPr>
                  <w:r>
                    <w:rPr>
                      <w:rFonts w:hint="eastAsia"/>
                      <w:szCs w:val="21"/>
                    </w:rPr>
                    <w:t>S</w:t>
                  </w:r>
                </w:p>
              </w:tc>
              <w:tc>
                <w:tcPr>
                  <w:tcW w:w="799" w:type="dxa"/>
                  <w:vAlign w:val="center"/>
                </w:tcPr>
                <w:p>
                  <w:pPr>
                    <w:jc w:val="center"/>
                    <w:rPr>
                      <w:rFonts w:hint="default" w:eastAsia="宋体"/>
                      <w:szCs w:val="21"/>
                      <w:lang w:val="en-US" w:eastAsia="zh-CN"/>
                    </w:rPr>
                  </w:pPr>
                  <w:r>
                    <w:rPr>
                      <w:rFonts w:hint="eastAsia"/>
                      <w:szCs w:val="21"/>
                      <w:lang w:val="en-US" w:eastAsia="zh-CN"/>
                    </w:rPr>
                    <w:t>6000</w:t>
                  </w:r>
                </w:p>
              </w:tc>
              <w:tc>
                <w:tcPr>
                  <w:tcW w:w="1229" w:type="dxa"/>
                  <w:vAlign w:val="center"/>
                </w:tcPr>
                <w:p>
                  <w:pPr>
                    <w:jc w:val="center"/>
                    <w:rPr>
                      <w:szCs w:val="21"/>
                    </w:rPr>
                  </w:pPr>
                  <w:r>
                    <w:rPr>
                      <w:rFonts w:hint="eastAsia"/>
                      <w:szCs w:val="21"/>
                    </w:rPr>
                    <w:t>4.61平方公里</w:t>
                  </w:r>
                </w:p>
              </w:tc>
              <w:tc>
                <w:tcPr>
                  <w:tcW w:w="2569" w:type="dxa"/>
                  <w:vAlign w:val="center"/>
                </w:tcPr>
                <w:p>
                  <w:pPr>
                    <w:jc w:val="center"/>
                    <w:rPr>
                      <w:szCs w:val="21"/>
                    </w:rPr>
                  </w:pPr>
                  <w:r>
                    <w:rPr>
                      <w:rFonts w:hint="eastAsia"/>
                      <w:szCs w:val="21"/>
                    </w:rPr>
                    <w:t>湿地生态系统保护</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PrEx>
              <w:trPr>
                <w:cantSplit/>
                <w:trHeight w:val="340" w:hRule="atLeast"/>
                <w:jc w:val="center"/>
              </w:trPr>
              <w:tc>
                <w:tcPr>
                  <w:tcW w:w="1069" w:type="dxa"/>
                  <w:vAlign w:val="center"/>
                </w:tcPr>
                <w:p>
                  <w:pPr>
                    <w:jc w:val="center"/>
                    <w:rPr>
                      <w:szCs w:val="21"/>
                    </w:rPr>
                  </w:pPr>
                  <w:r>
                    <w:rPr>
                      <w:rFonts w:hint="eastAsia"/>
                      <w:szCs w:val="21"/>
                    </w:rPr>
                    <w:t>土壤环境</w:t>
                  </w:r>
                </w:p>
              </w:tc>
              <w:tc>
                <w:tcPr>
                  <w:tcW w:w="4674" w:type="dxa"/>
                  <w:gridSpan w:val="4"/>
                  <w:vAlign w:val="center"/>
                </w:tcPr>
                <w:p>
                  <w:pPr>
                    <w:jc w:val="center"/>
                    <w:rPr>
                      <w:szCs w:val="21"/>
                    </w:rPr>
                  </w:pPr>
                  <w:r>
                    <w:rPr>
                      <w:rFonts w:hint="eastAsia"/>
                    </w:rPr>
                    <w:t>项目所在区域土壤环境</w:t>
                  </w:r>
                </w:p>
              </w:tc>
              <w:tc>
                <w:tcPr>
                  <w:tcW w:w="2569" w:type="dxa"/>
                  <w:vAlign w:val="center"/>
                </w:tcPr>
                <w:p>
                  <w:pPr>
                    <w:jc w:val="center"/>
                    <w:rPr>
                      <w:szCs w:val="21"/>
                    </w:rPr>
                  </w:pPr>
                  <w:r>
                    <w:rPr>
                      <w:rFonts w:hint="eastAsia"/>
                      <w:szCs w:val="21"/>
                    </w:rPr>
                    <w:t>《土壤环境质量 建设用地土壤污染风险管控标准（试行）》（GB36600-2018）》第二类用地</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PrEx>
              <w:trPr>
                <w:cantSplit/>
                <w:trHeight w:val="340" w:hRule="atLeast"/>
                <w:jc w:val="center"/>
              </w:trPr>
              <w:tc>
                <w:tcPr>
                  <w:tcW w:w="1069" w:type="dxa"/>
                  <w:vAlign w:val="center"/>
                </w:tcPr>
                <w:p>
                  <w:pPr>
                    <w:spacing w:before="62" w:beforeLines="20" w:after="62" w:afterLines="20"/>
                    <w:jc w:val="center"/>
                    <w:rPr>
                      <w:szCs w:val="21"/>
                    </w:rPr>
                  </w:pPr>
                  <w:r>
                    <w:rPr>
                      <w:rFonts w:hint="eastAsia"/>
                      <w:szCs w:val="21"/>
                    </w:rPr>
                    <w:t>地下水</w:t>
                  </w:r>
                </w:p>
              </w:tc>
              <w:tc>
                <w:tcPr>
                  <w:tcW w:w="4674" w:type="dxa"/>
                  <w:gridSpan w:val="4"/>
                  <w:vAlign w:val="center"/>
                </w:tcPr>
                <w:p>
                  <w:pPr>
                    <w:spacing w:before="62" w:beforeLines="20" w:after="62" w:afterLines="20"/>
                    <w:jc w:val="center"/>
                  </w:pPr>
                  <w:r>
                    <w:rPr>
                      <w:rFonts w:hint="eastAsia"/>
                      <w:szCs w:val="21"/>
                    </w:rPr>
                    <w:t>项目所在区域地下水环境</w:t>
                  </w:r>
                </w:p>
              </w:tc>
              <w:tc>
                <w:tcPr>
                  <w:tcW w:w="2569" w:type="dxa"/>
                  <w:vAlign w:val="center"/>
                </w:tcPr>
                <w:p>
                  <w:pPr>
                    <w:spacing w:before="62" w:beforeLines="20" w:after="62" w:afterLines="20"/>
                    <w:jc w:val="center"/>
                    <w:rPr>
                      <w:szCs w:val="21"/>
                    </w:rPr>
                  </w:pPr>
                  <w:r>
                    <w:rPr>
                      <w:rFonts w:hint="eastAsia"/>
                      <w:szCs w:val="21"/>
                    </w:rPr>
                    <w:t>/</w:t>
                  </w:r>
                </w:p>
              </w:tc>
            </w:tr>
          </w:tbl>
          <w:p>
            <w:pPr>
              <w:snapToGrid w:val="0"/>
              <w:rPr>
                <w:b/>
                <w:sz w:val="10"/>
              </w:rPr>
            </w:pPr>
          </w:p>
        </w:tc>
      </w:tr>
    </w:tbl>
    <w:p>
      <w:pPr>
        <w:pStyle w:val="312"/>
        <w:rPr>
          <w:rFonts w:ascii="Times New Roman" w:hAnsi="Times New Roman"/>
        </w:rPr>
        <w:sectPr>
          <w:footerReference r:id="rId10" w:type="first"/>
          <w:headerReference r:id="rId8" w:type="default"/>
          <w:footerReference r:id="rId9" w:type="default"/>
          <w:pgSz w:w="11906" w:h="16838"/>
          <w:pgMar w:top="1440" w:right="1797" w:bottom="1440" w:left="1797" w:header="851" w:footer="992" w:gutter="0"/>
          <w:pgBorders>
            <w:top w:val="none" w:sz="0" w:space="0"/>
            <w:left w:val="none" w:sz="0" w:space="0"/>
            <w:bottom w:val="none" w:sz="0" w:space="0"/>
            <w:right w:val="none" w:sz="0" w:space="0"/>
          </w:pgBorders>
          <w:cols w:space="720" w:num="1"/>
          <w:docGrid w:type="linesAndChars" w:linePitch="312" w:charSpace="0"/>
        </w:sectPr>
      </w:pPr>
    </w:p>
    <w:p>
      <w:pPr>
        <w:pStyle w:val="312"/>
        <w:rPr>
          <w:rFonts w:ascii="Times New Roman" w:hAnsi="Times New Roman"/>
        </w:rPr>
      </w:pPr>
      <w:r>
        <w:rPr>
          <w:rFonts w:ascii="Times New Roman" w:hAnsi="Times New Roman"/>
        </w:rPr>
        <w:t>评价适用标准</w:t>
      </w:r>
    </w:p>
    <w:tbl>
      <w:tblPr>
        <w:tblStyle w:val="56"/>
        <w:tblW w:w="8528"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497"/>
        <w:gridCol w:w="8031"/>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3012" w:hRule="atLeast"/>
          <w:jc w:val="center"/>
        </w:trPr>
        <w:tc>
          <w:tcPr>
            <w:tcW w:w="497" w:type="dxa"/>
            <w:vAlign w:val="center"/>
          </w:tcPr>
          <w:p>
            <w:pPr>
              <w:snapToGrid w:val="0"/>
              <w:jc w:val="center"/>
              <w:rPr>
                <w:sz w:val="24"/>
              </w:rPr>
            </w:pPr>
            <w:r>
              <w:rPr>
                <w:sz w:val="24"/>
              </w:rPr>
              <w:t>环</w:t>
            </w:r>
          </w:p>
          <w:p>
            <w:pPr>
              <w:snapToGrid w:val="0"/>
              <w:jc w:val="center"/>
              <w:rPr>
                <w:sz w:val="24"/>
              </w:rPr>
            </w:pPr>
          </w:p>
          <w:p>
            <w:pPr>
              <w:snapToGrid w:val="0"/>
              <w:jc w:val="center"/>
              <w:rPr>
                <w:sz w:val="24"/>
              </w:rPr>
            </w:pPr>
            <w:r>
              <w:rPr>
                <w:sz w:val="24"/>
              </w:rPr>
              <w:t>境</w:t>
            </w:r>
          </w:p>
          <w:p>
            <w:pPr>
              <w:snapToGrid w:val="0"/>
              <w:jc w:val="center"/>
              <w:rPr>
                <w:sz w:val="24"/>
              </w:rPr>
            </w:pPr>
          </w:p>
          <w:p>
            <w:pPr>
              <w:snapToGrid w:val="0"/>
              <w:jc w:val="center"/>
              <w:rPr>
                <w:sz w:val="24"/>
              </w:rPr>
            </w:pPr>
            <w:r>
              <w:rPr>
                <w:sz w:val="24"/>
              </w:rPr>
              <w:t>质</w:t>
            </w:r>
          </w:p>
          <w:p>
            <w:pPr>
              <w:snapToGrid w:val="0"/>
              <w:jc w:val="center"/>
              <w:rPr>
                <w:sz w:val="24"/>
              </w:rPr>
            </w:pPr>
          </w:p>
          <w:p>
            <w:pPr>
              <w:snapToGrid w:val="0"/>
              <w:jc w:val="center"/>
              <w:rPr>
                <w:sz w:val="24"/>
              </w:rPr>
            </w:pPr>
            <w:r>
              <w:rPr>
                <w:sz w:val="24"/>
              </w:rPr>
              <w:t>量</w:t>
            </w:r>
          </w:p>
          <w:p>
            <w:pPr>
              <w:snapToGrid w:val="0"/>
              <w:jc w:val="center"/>
              <w:rPr>
                <w:sz w:val="24"/>
              </w:rPr>
            </w:pPr>
          </w:p>
          <w:p>
            <w:pPr>
              <w:snapToGrid w:val="0"/>
              <w:jc w:val="center"/>
              <w:rPr>
                <w:sz w:val="24"/>
              </w:rPr>
            </w:pPr>
            <w:r>
              <w:rPr>
                <w:sz w:val="24"/>
              </w:rPr>
              <w:t>标</w:t>
            </w:r>
          </w:p>
          <w:p>
            <w:pPr>
              <w:snapToGrid w:val="0"/>
              <w:jc w:val="center"/>
              <w:rPr>
                <w:sz w:val="24"/>
              </w:rPr>
            </w:pPr>
          </w:p>
          <w:p>
            <w:pPr>
              <w:snapToGrid w:val="0"/>
              <w:jc w:val="center"/>
              <w:rPr>
                <w:sz w:val="24"/>
              </w:rPr>
            </w:pPr>
            <w:r>
              <w:rPr>
                <w:sz w:val="24"/>
              </w:rPr>
              <w:t>准</w:t>
            </w:r>
          </w:p>
        </w:tc>
        <w:tc>
          <w:tcPr>
            <w:tcW w:w="8031" w:type="dxa"/>
            <w:vAlign w:val="center"/>
          </w:tcPr>
          <w:p>
            <w:pPr>
              <w:spacing w:line="360" w:lineRule="auto"/>
              <w:ind w:firstLine="480" w:firstLineChars="200"/>
              <w:textAlignment w:val="baseline"/>
              <w:rPr>
                <w:b/>
                <w:kern w:val="28"/>
                <w:sz w:val="24"/>
                <w:szCs w:val="24"/>
              </w:rPr>
            </w:pPr>
            <w:r>
              <w:rPr>
                <w:b/>
                <w:kern w:val="28"/>
                <w:sz w:val="24"/>
                <w:szCs w:val="24"/>
              </w:rPr>
              <w:t>1、环境空气</w:t>
            </w:r>
          </w:p>
          <w:p>
            <w:pPr>
              <w:spacing w:line="360" w:lineRule="auto"/>
              <w:ind w:firstLine="480" w:firstLineChars="200"/>
              <w:textAlignment w:val="baseline"/>
              <w:rPr>
                <w:sz w:val="24"/>
                <w:szCs w:val="24"/>
              </w:rPr>
            </w:pPr>
            <w:r>
              <w:rPr>
                <w:sz w:val="24"/>
                <w:szCs w:val="24"/>
              </w:rPr>
              <w:t>根据</w:t>
            </w:r>
            <w:r>
              <w:rPr>
                <w:rFonts w:hint="eastAsia"/>
                <w:sz w:val="24"/>
                <w:szCs w:val="24"/>
              </w:rPr>
              <w:t>《常州市环境空气质量功能区划分规定（2017）》（常政发[2017]160号）</w:t>
            </w:r>
            <w:r>
              <w:rPr>
                <w:sz w:val="24"/>
                <w:szCs w:val="24"/>
              </w:rPr>
              <w:t>，本项目位于二类环境空气质量功能区，</w:t>
            </w:r>
            <w:r>
              <w:rPr>
                <w:rFonts w:hint="eastAsia"/>
                <w:sz w:val="24"/>
              </w:rPr>
              <w:t>SO</w:t>
            </w:r>
            <w:r>
              <w:rPr>
                <w:rFonts w:hint="eastAsia"/>
                <w:sz w:val="24"/>
                <w:vertAlign w:val="subscript"/>
              </w:rPr>
              <w:t>2</w:t>
            </w:r>
            <w:r>
              <w:rPr>
                <w:rFonts w:hint="eastAsia"/>
                <w:sz w:val="24"/>
              </w:rPr>
              <w:t>、NO</w:t>
            </w:r>
            <w:r>
              <w:rPr>
                <w:rFonts w:hint="eastAsia"/>
                <w:sz w:val="24"/>
                <w:vertAlign w:val="subscript"/>
              </w:rPr>
              <w:t>2</w:t>
            </w:r>
            <w:r>
              <w:rPr>
                <w:rFonts w:hint="eastAsia"/>
                <w:sz w:val="24"/>
              </w:rPr>
              <w:t>、CO、O</w:t>
            </w:r>
            <w:r>
              <w:rPr>
                <w:rFonts w:hint="eastAsia"/>
                <w:sz w:val="24"/>
                <w:vertAlign w:val="subscript"/>
              </w:rPr>
              <w:t>3</w:t>
            </w:r>
            <w:r>
              <w:rPr>
                <w:rFonts w:hint="eastAsia"/>
                <w:sz w:val="24"/>
              </w:rPr>
              <w:t>、PM</w:t>
            </w:r>
            <w:r>
              <w:rPr>
                <w:rFonts w:hint="eastAsia"/>
                <w:sz w:val="24"/>
                <w:vertAlign w:val="subscript"/>
              </w:rPr>
              <w:t>2.5</w:t>
            </w:r>
            <w:r>
              <w:rPr>
                <w:rFonts w:hint="eastAsia"/>
                <w:sz w:val="24"/>
              </w:rPr>
              <w:t>、PM</w:t>
            </w:r>
            <w:r>
              <w:rPr>
                <w:rFonts w:hint="eastAsia"/>
                <w:sz w:val="24"/>
                <w:vertAlign w:val="subscript"/>
              </w:rPr>
              <w:t>10</w:t>
            </w:r>
            <w:r>
              <w:rPr>
                <w:rFonts w:hint="eastAsia"/>
                <w:sz w:val="24"/>
              </w:rPr>
              <w:t>执行《环境空气质量标准》（GB3095-2012）修改单中的二级标准，</w:t>
            </w:r>
            <w:r>
              <w:rPr>
                <w:rFonts w:hint="eastAsia"/>
                <w:szCs w:val="21"/>
              </w:rPr>
              <w:t>非</w:t>
            </w:r>
            <w:r>
              <w:rPr>
                <w:rFonts w:hint="eastAsia"/>
                <w:sz w:val="24"/>
                <w:szCs w:val="22"/>
              </w:rPr>
              <w:t>甲烷总烃参照执行《</w:t>
            </w:r>
            <w:r>
              <w:rPr>
                <w:rFonts w:hint="eastAsia"/>
                <w:sz w:val="24"/>
              </w:rPr>
              <w:t>大气污染物综合排放标准》（GBT16297-1996）详解，</w:t>
            </w:r>
            <w:r>
              <w:rPr>
                <w:sz w:val="24"/>
              </w:rPr>
              <w:t>具体见表4-1</w:t>
            </w:r>
            <w:r>
              <w:rPr>
                <w:sz w:val="24"/>
                <w:szCs w:val="24"/>
              </w:rPr>
              <w:t>。</w:t>
            </w:r>
          </w:p>
          <w:p>
            <w:pPr>
              <w:tabs>
                <w:tab w:val="left" w:pos="960"/>
              </w:tabs>
              <w:spacing w:before="93" w:beforeLines="30"/>
              <w:jc w:val="center"/>
              <w:rPr>
                <w:b/>
                <w:bCs/>
                <w:spacing w:val="-4"/>
                <w:szCs w:val="21"/>
                <w:vertAlign w:val="superscript"/>
              </w:rPr>
            </w:pPr>
            <w:r>
              <w:rPr>
                <w:b/>
                <w:bCs/>
                <w:spacing w:val="-4"/>
                <w:szCs w:val="21"/>
              </w:rPr>
              <w:t>表4-1  评价因子及评价标准表</w:t>
            </w:r>
          </w:p>
          <w:tbl>
            <w:tblPr>
              <w:tblStyle w:val="56"/>
              <w:tblW w:w="7815" w:type="dxa"/>
              <w:jc w:val="center"/>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Layout w:type="fixed"/>
              <w:tblCellMar>
                <w:top w:w="0" w:type="dxa"/>
                <w:left w:w="108" w:type="dxa"/>
                <w:bottom w:w="0" w:type="dxa"/>
                <w:right w:w="108" w:type="dxa"/>
              </w:tblCellMar>
            </w:tblPr>
            <w:tblGrid>
              <w:gridCol w:w="921"/>
              <w:gridCol w:w="1983"/>
              <w:gridCol w:w="1135"/>
              <w:gridCol w:w="838"/>
              <w:gridCol w:w="2938"/>
            </w:tblGrid>
            <w:tr>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108" w:type="dxa"/>
                  <w:bottom w:w="0" w:type="dxa"/>
                  <w:right w:w="108" w:type="dxa"/>
                </w:tblCellMar>
              </w:tblPrEx>
              <w:trPr>
                <w:trHeight w:val="478" w:hRule="atLeast"/>
                <w:jc w:val="center"/>
              </w:trPr>
              <w:tc>
                <w:tcPr>
                  <w:tcW w:w="921" w:type="dxa"/>
                  <w:vAlign w:val="center"/>
                </w:tcPr>
                <w:p>
                  <w:pPr>
                    <w:jc w:val="center"/>
                    <w:rPr>
                      <w:b/>
                      <w:szCs w:val="21"/>
                    </w:rPr>
                  </w:pPr>
                  <w:r>
                    <w:rPr>
                      <w:b/>
                      <w:szCs w:val="21"/>
                    </w:rPr>
                    <w:t>污染物名称</w:t>
                  </w:r>
                </w:p>
              </w:tc>
              <w:tc>
                <w:tcPr>
                  <w:tcW w:w="1983" w:type="dxa"/>
                  <w:vAlign w:val="center"/>
                </w:tcPr>
                <w:p>
                  <w:pPr>
                    <w:jc w:val="center"/>
                    <w:rPr>
                      <w:b/>
                      <w:szCs w:val="21"/>
                    </w:rPr>
                  </w:pPr>
                  <w:r>
                    <w:rPr>
                      <w:b/>
                      <w:szCs w:val="21"/>
                    </w:rPr>
                    <w:t>取值时间</w:t>
                  </w:r>
                </w:p>
              </w:tc>
              <w:tc>
                <w:tcPr>
                  <w:tcW w:w="1135" w:type="dxa"/>
                  <w:vAlign w:val="center"/>
                </w:tcPr>
                <w:p>
                  <w:pPr>
                    <w:jc w:val="center"/>
                    <w:rPr>
                      <w:b/>
                      <w:szCs w:val="21"/>
                    </w:rPr>
                  </w:pPr>
                  <w:r>
                    <w:rPr>
                      <w:b/>
                      <w:szCs w:val="21"/>
                    </w:rPr>
                    <w:t>标准浓度限值</w:t>
                  </w:r>
                </w:p>
              </w:tc>
              <w:tc>
                <w:tcPr>
                  <w:tcW w:w="838" w:type="dxa"/>
                  <w:vAlign w:val="center"/>
                </w:tcPr>
                <w:p>
                  <w:pPr>
                    <w:jc w:val="center"/>
                    <w:rPr>
                      <w:b/>
                      <w:szCs w:val="21"/>
                    </w:rPr>
                  </w:pPr>
                  <w:r>
                    <w:rPr>
                      <w:rFonts w:hint="eastAsia"/>
                      <w:b/>
                      <w:szCs w:val="21"/>
                    </w:rPr>
                    <w:t>单位</w:t>
                  </w:r>
                </w:p>
              </w:tc>
              <w:tc>
                <w:tcPr>
                  <w:tcW w:w="2938" w:type="dxa"/>
                  <w:vAlign w:val="center"/>
                </w:tcPr>
                <w:p>
                  <w:pPr>
                    <w:jc w:val="center"/>
                    <w:rPr>
                      <w:b/>
                      <w:szCs w:val="21"/>
                    </w:rPr>
                  </w:pPr>
                  <w:r>
                    <w:rPr>
                      <w:b/>
                      <w:szCs w:val="21"/>
                    </w:rPr>
                    <w:t>标准</w:t>
                  </w:r>
                  <w:r>
                    <w:rPr>
                      <w:rFonts w:hint="eastAsia"/>
                      <w:b/>
                      <w:szCs w:val="21"/>
                    </w:rPr>
                    <w:t>来由</w:t>
                  </w:r>
                </w:p>
              </w:tc>
            </w:tr>
            <w:tr>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108" w:type="dxa"/>
                  <w:bottom w:w="0" w:type="dxa"/>
                  <w:right w:w="108" w:type="dxa"/>
                </w:tblCellMar>
              </w:tblPrEx>
              <w:trPr>
                <w:trHeight w:val="337" w:hRule="atLeast"/>
                <w:jc w:val="center"/>
              </w:trPr>
              <w:tc>
                <w:tcPr>
                  <w:tcW w:w="921" w:type="dxa"/>
                  <w:vMerge w:val="restart"/>
                  <w:vAlign w:val="center"/>
                </w:tcPr>
                <w:p>
                  <w:pPr>
                    <w:jc w:val="center"/>
                    <w:rPr>
                      <w:szCs w:val="21"/>
                    </w:rPr>
                  </w:pPr>
                  <w:r>
                    <w:rPr>
                      <w:szCs w:val="21"/>
                    </w:rPr>
                    <w:t>SO</w:t>
                  </w:r>
                  <w:r>
                    <w:rPr>
                      <w:szCs w:val="21"/>
                      <w:vertAlign w:val="subscript"/>
                    </w:rPr>
                    <w:t>2</w:t>
                  </w:r>
                </w:p>
              </w:tc>
              <w:tc>
                <w:tcPr>
                  <w:tcW w:w="1983" w:type="dxa"/>
                  <w:vAlign w:val="center"/>
                </w:tcPr>
                <w:p>
                  <w:pPr>
                    <w:jc w:val="center"/>
                    <w:rPr>
                      <w:szCs w:val="21"/>
                    </w:rPr>
                  </w:pPr>
                  <w:r>
                    <w:rPr>
                      <w:szCs w:val="21"/>
                    </w:rPr>
                    <w:t>年平均</w:t>
                  </w:r>
                </w:p>
              </w:tc>
              <w:tc>
                <w:tcPr>
                  <w:tcW w:w="1135" w:type="dxa"/>
                  <w:vAlign w:val="center"/>
                </w:tcPr>
                <w:p>
                  <w:pPr>
                    <w:jc w:val="center"/>
                    <w:rPr>
                      <w:szCs w:val="21"/>
                    </w:rPr>
                  </w:pPr>
                  <w:r>
                    <w:rPr>
                      <w:rFonts w:hint="eastAsia"/>
                      <w:szCs w:val="21"/>
                    </w:rPr>
                    <w:t>60</w:t>
                  </w:r>
                </w:p>
              </w:tc>
              <w:tc>
                <w:tcPr>
                  <w:tcW w:w="838" w:type="dxa"/>
                  <w:vMerge w:val="restart"/>
                  <w:vAlign w:val="center"/>
                </w:tcPr>
                <w:p>
                  <w:pPr>
                    <w:jc w:val="center"/>
                    <w:rPr>
                      <w:szCs w:val="21"/>
                    </w:rPr>
                  </w:pPr>
                  <w:r>
                    <w:rPr>
                      <w:szCs w:val="21"/>
                    </w:rPr>
                    <w:t>μg</w:t>
                  </w:r>
                  <w:r>
                    <w:rPr>
                      <w:rFonts w:hint="eastAsia"/>
                      <w:szCs w:val="21"/>
                    </w:rPr>
                    <w:t>/m</w:t>
                  </w:r>
                  <w:r>
                    <w:rPr>
                      <w:rFonts w:hint="eastAsia"/>
                      <w:szCs w:val="21"/>
                      <w:vertAlign w:val="superscript"/>
                    </w:rPr>
                    <w:t>3</w:t>
                  </w:r>
                </w:p>
              </w:tc>
              <w:tc>
                <w:tcPr>
                  <w:tcW w:w="2938" w:type="dxa"/>
                  <w:vMerge w:val="restart"/>
                  <w:vAlign w:val="center"/>
                </w:tcPr>
                <w:p>
                  <w:pPr>
                    <w:jc w:val="center"/>
                    <w:rPr>
                      <w:szCs w:val="21"/>
                    </w:rPr>
                  </w:pPr>
                  <w:r>
                    <w:rPr>
                      <w:szCs w:val="21"/>
                    </w:rPr>
                    <w:t>《环境空气质量标准》（GB3095-2012）</w:t>
                  </w:r>
                  <w:r>
                    <w:rPr>
                      <w:rFonts w:hint="eastAsia"/>
                      <w:szCs w:val="21"/>
                    </w:rPr>
                    <w:t>修改单</w:t>
                  </w:r>
                  <w:r>
                    <w:rPr>
                      <w:szCs w:val="21"/>
                    </w:rPr>
                    <w:t>二级标准</w:t>
                  </w:r>
                </w:p>
              </w:tc>
            </w:tr>
            <w:tr>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108" w:type="dxa"/>
                  <w:bottom w:w="0" w:type="dxa"/>
                  <w:right w:w="108" w:type="dxa"/>
                </w:tblCellMar>
              </w:tblPrEx>
              <w:trPr>
                <w:trHeight w:val="337" w:hRule="atLeast"/>
                <w:jc w:val="center"/>
              </w:trPr>
              <w:tc>
                <w:tcPr>
                  <w:tcW w:w="921" w:type="dxa"/>
                  <w:vMerge w:val="continue"/>
                  <w:vAlign w:val="center"/>
                </w:tcPr>
                <w:p>
                  <w:pPr>
                    <w:rPr>
                      <w:szCs w:val="21"/>
                    </w:rPr>
                  </w:pPr>
                </w:p>
              </w:tc>
              <w:tc>
                <w:tcPr>
                  <w:tcW w:w="1983" w:type="dxa"/>
                  <w:vAlign w:val="center"/>
                </w:tcPr>
                <w:p>
                  <w:pPr>
                    <w:jc w:val="center"/>
                    <w:rPr>
                      <w:szCs w:val="21"/>
                    </w:rPr>
                  </w:pPr>
                  <w:r>
                    <w:rPr>
                      <w:szCs w:val="21"/>
                    </w:rPr>
                    <w:t>24小时平均</w:t>
                  </w:r>
                </w:p>
              </w:tc>
              <w:tc>
                <w:tcPr>
                  <w:tcW w:w="1135" w:type="dxa"/>
                  <w:vAlign w:val="center"/>
                </w:tcPr>
                <w:p>
                  <w:pPr>
                    <w:jc w:val="center"/>
                    <w:rPr>
                      <w:szCs w:val="21"/>
                    </w:rPr>
                  </w:pPr>
                  <w:r>
                    <w:rPr>
                      <w:rFonts w:hint="eastAsia"/>
                      <w:szCs w:val="21"/>
                    </w:rPr>
                    <w:t>150</w:t>
                  </w:r>
                </w:p>
              </w:tc>
              <w:tc>
                <w:tcPr>
                  <w:tcW w:w="838" w:type="dxa"/>
                  <w:vMerge w:val="continue"/>
                  <w:vAlign w:val="center"/>
                </w:tcPr>
                <w:p>
                  <w:pPr>
                    <w:rPr>
                      <w:szCs w:val="21"/>
                    </w:rPr>
                  </w:pPr>
                </w:p>
              </w:tc>
              <w:tc>
                <w:tcPr>
                  <w:tcW w:w="2938" w:type="dxa"/>
                  <w:vMerge w:val="continue"/>
                  <w:vAlign w:val="center"/>
                </w:tcPr>
                <w:p>
                  <w:pPr>
                    <w:rPr>
                      <w:szCs w:val="21"/>
                    </w:rPr>
                  </w:pPr>
                </w:p>
              </w:tc>
            </w:tr>
            <w:tr>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108" w:type="dxa"/>
                  <w:bottom w:w="0" w:type="dxa"/>
                  <w:right w:w="108" w:type="dxa"/>
                </w:tblCellMar>
              </w:tblPrEx>
              <w:trPr>
                <w:trHeight w:val="337" w:hRule="atLeast"/>
                <w:jc w:val="center"/>
              </w:trPr>
              <w:tc>
                <w:tcPr>
                  <w:tcW w:w="921" w:type="dxa"/>
                  <w:vMerge w:val="continue"/>
                  <w:vAlign w:val="center"/>
                </w:tcPr>
                <w:p>
                  <w:pPr>
                    <w:rPr>
                      <w:szCs w:val="21"/>
                    </w:rPr>
                  </w:pPr>
                </w:p>
              </w:tc>
              <w:tc>
                <w:tcPr>
                  <w:tcW w:w="1983" w:type="dxa"/>
                  <w:vAlign w:val="center"/>
                </w:tcPr>
                <w:p>
                  <w:pPr>
                    <w:jc w:val="center"/>
                    <w:rPr>
                      <w:szCs w:val="21"/>
                    </w:rPr>
                  </w:pPr>
                  <w:r>
                    <w:rPr>
                      <w:szCs w:val="21"/>
                    </w:rPr>
                    <w:t>1小时平均</w:t>
                  </w:r>
                </w:p>
              </w:tc>
              <w:tc>
                <w:tcPr>
                  <w:tcW w:w="1135" w:type="dxa"/>
                  <w:vAlign w:val="center"/>
                </w:tcPr>
                <w:p>
                  <w:pPr>
                    <w:jc w:val="center"/>
                    <w:rPr>
                      <w:szCs w:val="21"/>
                    </w:rPr>
                  </w:pPr>
                  <w:r>
                    <w:rPr>
                      <w:rFonts w:hint="eastAsia"/>
                      <w:szCs w:val="21"/>
                    </w:rPr>
                    <w:t>500</w:t>
                  </w:r>
                </w:p>
              </w:tc>
              <w:tc>
                <w:tcPr>
                  <w:tcW w:w="838" w:type="dxa"/>
                  <w:vMerge w:val="continue"/>
                  <w:vAlign w:val="center"/>
                </w:tcPr>
                <w:p>
                  <w:pPr>
                    <w:rPr>
                      <w:szCs w:val="21"/>
                    </w:rPr>
                  </w:pPr>
                </w:p>
              </w:tc>
              <w:tc>
                <w:tcPr>
                  <w:tcW w:w="2938" w:type="dxa"/>
                  <w:vMerge w:val="continue"/>
                  <w:vAlign w:val="center"/>
                </w:tcPr>
                <w:p>
                  <w:pPr>
                    <w:rPr>
                      <w:szCs w:val="21"/>
                    </w:rPr>
                  </w:pPr>
                </w:p>
              </w:tc>
            </w:tr>
            <w:tr>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108" w:type="dxa"/>
                  <w:bottom w:w="0" w:type="dxa"/>
                  <w:right w:w="108" w:type="dxa"/>
                </w:tblCellMar>
              </w:tblPrEx>
              <w:trPr>
                <w:trHeight w:val="337" w:hRule="atLeast"/>
                <w:jc w:val="center"/>
              </w:trPr>
              <w:tc>
                <w:tcPr>
                  <w:tcW w:w="921" w:type="dxa"/>
                  <w:vMerge w:val="restart"/>
                  <w:vAlign w:val="center"/>
                </w:tcPr>
                <w:p>
                  <w:pPr>
                    <w:jc w:val="center"/>
                    <w:rPr>
                      <w:szCs w:val="21"/>
                    </w:rPr>
                  </w:pPr>
                  <w:r>
                    <w:rPr>
                      <w:szCs w:val="21"/>
                    </w:rPr>
                    <w:t>NO</w:t>
                  </w:r>
                  <w:r>
                    <w:rPr>
                      <w:szCs w:val="21"/>
                      <w:vertAlign w:val="subscript"/>
                    </w:rPr>
                    <w:t>2</w:t>
                  </w:r>
                </w:p>
              </w:tc>
              <w:tc>
                <w:tcPr>
                  <w:tcW w:w="1983" w:type="dxa"/>
                  <w:vAlign w:val="center"/>
                </w:tcPr>
                <w:p>
                  <w:pPr>
                    <w:jc w:val="center"/>
                    <w:rPr>
                      <w:szCs w:val="21"/>
                    </w:rPr>
                  </w:pPr>
                  <w:r>
                    <w:rPr>
                      <w:szCs w:val="21"/>
                    </w:rPr>
                    <w:t>年平均</w:t>
                  </w:r>
                </w:p>
              </w:tc>
              <w:tc>
                <w:tcPr>
                  <w:tcW w:w="1135" w:type="dxa"/>
                  <w:vAlign w:val="center"/>
                </w:tcPr>
                <w:p>
                  <w:pPr>
                    <w:jc w:val="center"/>
                    <w:rPr>
                      <w:szCs w:val="21"/>
                    </w:rPr>
                  </w:pPr>
                  <w:r>
                    <w:rPr>
                      <w:rFonts w:hint="eastAsia"/>
                      <w:szCs w:val="21"/>
                    </w:rPr>
                    <w:t>40</w:t>
                  </w:r>
                </w:p>
              </w:tc>
              <w:tc>
                <w:tcPr>
                  <w:tcW w:w="838" w:type="dxa"/>
                  <w:vMerge w:val="continue"/>
                  <w:vAlign w:val="center"/>
                </w:tcPr>
                <w:p>
                  <w:pPr>
                    <w:rPr>
                      <w:szCs w:val="21"/>
                    </w:rPr>
                  </w:pPr>
                </w:p>
              </w:tc>
              <w:tc>
                <w:tcPr>
                  <w:tcW w:w="2938" w:type="dxa"/>
                  <w:vMerge w:val="continue"/>
                  <w:vAlign w:val="center"/>
                </w:tcPr>
                <w:p>
                  <w:pPr>
                    <w:rPr>
                      <w:szCs w:val="21"/>
                    </w:rPr>
                  </w:pPr>
                </w:p>
              </w:tc>
            </w:tr>
            <w:tr>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108" w:type="dxa"/>
                  <w:bottom w:w="0" w:type="dxa"/>
                  <w:right w:w="108" w:type="dxa"/>
                </w:tblCellMar>
              </w:tblPrEx>
              <w:trPr>
                <w:trHeight w:val="337" w:hRule="atLeast"/>
                <w:jc w:val="center"/>
              </w:trPr>
              <w:tc>
                <w:tcPr>
                  <w:tcW w:w="921" w:type="dxa"/>
                  <w:vMerge w:val="continue"/>
                  <w:vAlign w:val="center"/>
                </w:tcPr>
                <w:p>
                  <w:pPr>
                    <w:rPr>
                      <w:szCs w:val="21"/>
                    </w:rPr>
                  </w:pPr>
                </w:p>
              </w:tc>
              <w:tc>
                <w:tcPr>
                  <w:tcW w:w="1983" w:type="dxa"/>
                  <w:vAlign w:val="center"/>
                </w:tcPr>
                <w:p>
                  <w:pPr>
                    <w:jc w:val="center"/>
                    <w:rPr>
                      <w:szCs w:val="21"/>
                    </w:rPr>
                  </w:pPr>
                  <w:r>
                    <w:rPr>
                      <w:szCs w:val="21"/>
                    </w:rPr>
                    <w:t>24小时平均</w:t>
                  </w:r>
                </w:p>
              </w:tc>
              <w:tc>
                <w:tcPr>
                  <w:tcW w:w="1135" w:type="dxa"/>
                  <w:vAlign w:val="center"/>
                </w:tcPr>
                <w:p>
                  <w:pPr>
                    <w:jc w:val="center"/>
                    <w:rPr>
                      <w:szCs w:val="21"/>
                    </w:rPr>
                  </w:pPr>
                  <w:r>
                    <w:rPr>
                      <w:rFonts w:hint="eastAsia"/>
                      <w:szCs w:val="21"/>
                    </w:rPr>
                    <w:t>80</w:t>
                  </w:r>
                </w:p>
              </w:tc>
              <w:tc>
                <w:tcPr>
                  <w:tcW w:w="838" w:type="dxa"/>
                  <w:vMerge w:val="continue"/>
                  <w:vAlign w:val="center"/>
                </w:tcPr>
                <w:p>
                  <w:pPr>
                    <w:rPr>
                      <w:szCs w:val="21"/>
                    </w:rPr>
                  </w:pPr>
                </w:p>
              </w:tc>
              <w:tc>
                <w:tcPr>
                  <w:tcW w:w="2938" w:type="dxa"/>
                  <w:vMerge w:val="continue"/>
                  <w:vAlign w:val="center"/>
                </w:tcPr>
                <w:p>
                  <w:pPr>
                    <w:rPr>
                      <w:szCs w:val="21"/>
                    </w:rPr>
                  </w:pPr>
                </w:p>
              </w:tc>
            </w:tr>
            <w:tr>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108" w:type="dxa"/>
                  <w:bottom w:w="0" w:type="dxa"/>
                  <w:right w:w="108" w:type="dxa"/>
                </w:tblCellMar>
              </w:tblPrEx>
              <w:trPr>
                <w:trHeight w:val="337" w:hRule="atLeast"/>
                <w:jc w:val="center"/>
              </w:trPr>
              <w:tc>
                <w:tcPr>
                  <w:tcW w:w="921" w:type="dxa"/>
                  <w:vMerge w:val="continue"/>
                  <w:vAlign w:val="center"/>
                </w:tcPr>
                <w:p>
                  <w:pPr>
                    <w:rPr>
                      <w:szCs w:val="21"/>
                    </w:rPr>
                  </w:pPr>
                </w:p>
              </w:tc>
              <w:tc>
                <w:tcPr>
                  <w:tcW w:w="1983" w:type="dxa"/>
                  <w:vAlign w:val="center"/>
                </w:tcPr>
                <w:p>
                  <w:pPr>
                    <w:jc w:val="center"/>
                    <w:rPr>
                      <w:szCs w:val="21"/>
                    </w:rPr>
                  </w:pPr>
                  <w:r>
                    <w:rPr>
                      <w:szCs w:val="21"/>
                    </w:rPr>
                    <w:t>1小时平均</w:t>
                  </w:r>
                </w:p>
              </w:tc>
              <w:tc>
                <w:tcPr>
                  <w:tcW w:w="1135" w:type="dxa"/>
                  <w:vAlign w:val="center"/>
                </w:tcPr>
                <w:p>
                  <w:pPr>
                    <w:jc w:val="center"/>
                    <w:rPr>
                      <w:szCs w:val="21"/>
                    </w:rPr>
                  </w:pPr>
                  <w:r>
                    <w:rPr>
                      <w:rFonts w:hint="eastAsia"/>
                      <w:szCs w:val="21"/>
                    </w:rPr>
                    <w:t>200</w:t>
                  </w:r>
                </w:p>
              </w:tc>
              <w:tc>
                <w:tcPr>
                  <w:tcW w:w="838" w:type="dxa"/>
                  <w:vMerge w:val="continue"/>
                  <w:vAlign w:val="center"/>
                </w:tcPr>
                <w:p>
                  <w:pPr>
                    <w:rPr>
                      <w:szCs w:val="21"/>
                    </w:rPr>
                  </w:pPr>
                </w:p>
              </w:tc>
              <w:tc>
                <w:tcPr>
                  <w:tcW w:w="2938" w:type="dxa"/>
                  <w:vMerge w:val="continue"/>
                  <w:vAlign w:val="center"/>
                </w:tcPr>
                <w:p>
                  <w:pPr>
                    <w:rPr>
                      <w:szCs w:val="21"/>
                    </w:rPr>
                  </w:pPr>
                </w:p>
              </w:tc>
            </w:tr>
            <w:tr>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108" w:type="dxa"/>
                  <w:bottom w:w="0" w:type="dxa"/>
                  <w:right w:w="108" w:type="dxa"/>
                </w:tblCellMar>
              </w:tblPrEx>
              <w:trPr>
                <w:trHeight w:val="337" w:hRule="atLeast"/>
                <w:jc w:val="center"/>
              </w:trPr>
              <w:tc>
                <w:tcPr>
                  <w:tcW w:w="921" w:type="dxa"/>
                  <w:vMerge w:val="restart"/>
                  <w:vAlign w:val="center"/>
                </w:tcPr>
                <w:p>
                  <w:pPr>
                    <w:jc w:val="center"/>
                    <w:rPr>
                      <w:szCs w:val="21"/>
                    </w:rPr>
                  </w:pPr>
                  <w:r>
                    <w:rPr>
                      <w:szCs w:val="21"/>
                    </w:rPr>
                    <w:t>CO</w:t>
                  </w:r>
                </w:p>
              </w:tc>
              <w:tc>
                <w:tcPr>
                  <w:tcW w:w="1983" w:type="dxa"/>
                  <w:vAlign w:val="center"/>
                </w:tcPr>
                <w:p>
                  <w:pPr>
                    <w:jc w:val="center"/>
                    <w:rPr>
                      <w:szCs w:val="21"/>
                    </w:rPr>
                  </w:pPr>
                  <w:r>
                    <w:rPr>
                      <w:szCs w:val="21"/>
                    </w:rPr>
                    <w:t>24小时平均</w:t>
                  </w:r>
                </w:p>
              </w:tc>
              <w:tc>
                <w:tcPr>
                  <w:tcW w:w="1135" w:type="dxa"/>
                  <w:vAlign w:val="center"/>
                </w:tcPr>
                <w:p>
                  <w:pPr>
                    <w:jc w:val="center"/>
                    <w:rPr>
                      <w:szCs w:val="21"/>
                    </w:rPr>
                  </w:pPr>
                  <w:r>
                    <w:rPr>
                      <w:rFonts w:hint="eastAsia"/>
                      <w:szCs w:val="21"/>
                    </w:rPr>
                    <w:t>4</w:t>
                  </w:r>
                </w:p>
              </w:tc>
              <w:tc>
                <w:tcPr>
                  <w:tcW w:w="838" w:type="dxa"/>
                  <w:vMerge w:val="restart"/>
                  <w:vAlign w:val="center"/>
                </w:tcPr>
                <w:p>
                  <w:pPr>
                    <w:jc w:val="center"/>
                    <w:rPr>
                      <w:szCs w:val="21"/>
                    </w:rPr>
                  </w:pPr>
                  <w:r>
                    <w:rPr>
                      <w:szCs w:val="21"/>
                    </w:rPr>
                    <w:t>m</w:t>
                  </w:r>
                  <w:r>
                    <w:rPr>
                      <w:rFonts w:hint="eastAsia"/>
                      <w:szCs w:val="21"/>
                    </w:rPr>
                    <w:t>g/m</w:t>
                  </w:r>
                  <w:r>
                    <w:rPr>
                      <w:rFonts w:hint="eastAsia"/>
                      <w:szCs w:val="21"/>
                      <w:vertAlign w:val="superscript"/>
                    </w:rPr>
                    <w:t>3</w:t>
                  </w:r>
                </w:p>
              </w:tc>
              <w:tc>
                <w:tcPr>
                  <w:tcW w:w="2938" w:type="dxa"/>
                  <w:vMerge w:val="continue"/>
                  <w:vAlign w:val="center"/>
                </w:tcPr>
                <w:p>
                  <w:pPr>
                    <w:rPr>
                      <w:szCs w:val="21"/>
                    </w:rPr>
                  </w:pPr>
                </w:p>
              </w:tc>
            </w:tr>
            <w:tr>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108" w:type="dxa"/>
                  <w:bottom w:w="0" w:type="dxa"/>
                  <w:right w:w="108" w:type="dxa"/>
                </w:tblCellMar>
              </w:tblPrEx>
              <w:trPr>
                <w:trHeight w:val="337" w:hRule="atLeast"/>
                <w:jc w:val="center"/>
              </w:trPr>
              <w:tc>
                <w:tcPr>
                  <w:tcW w:w="921" w:type="dxa"/>
                  <w:vMerge w:val="continue"/>
                  <w:vAlign w:val="center"/>
                </w:tcPr>
                <w:p>
                  <w:pPr>
                    <w:rPr>
                      <w:szCs w:val="21"/>
                    </w:rPr>
                  </w:pPr>
                </w:p>
              </w:tc>
              <w:tc>
                <w:tcPr>
                  <w:tcW w:w="1983" w:type="dxa"/>
                  <w:vAlign w:val="center"/>
                </w:tcPr>
                <w:p>
                  <w:pPr>
                    <w:jc w:val="center"/>
                    <w:rPr>
                      <w:szCs w:val="21"/>
                    </w:rPr>
                  </w:pPr>
                  <w:r>
                    <w:rPr>
                      <w:szCs w:val="21"/>
                    </w:rPr>
                    <w:t>1小时平均</w:t>
                  </w:r>
                </w:p>
              </w:tc>
              <w:tc>
                <w:tcPr>
                  <w:tcW w:w="1135" w:type="dxa"/>
                  <w:vAlign w:val="center"/>
                </w:tcPr>
                <w:p>
                  <w:pPr>
                    <w:jc w:val="center"/>
                    <w:rPr>
                      <w:szCs w:val="21"/>
                    </w:rPr>
                  </w:pPr>
                  <w:r>
                    <w:rPr>
                      <w:rFonts w:hint="eastAsia"/>
                      <w:szCs w:val="21"/>
                    </w:rPr>
                    <w:t>10</w:t>
                  </w:r>
                </w:p>
              </w:tc>
              <w:tc>
                <w:tcPr>
                  <w:tcW w:w="838" w:type="dxa"/>
                  <w:vMerge w:val="continue"/>
                  <w:vAlign w:val="center"/>
                </w:tcPr>
                <w:p>
                  <w:pPr>
                    <w:rPr>
                      <w:szCs w:val="21"/>
                    </w:rPr>
                  </w:pPr>
                </w:p>
              </w:tc>
              <w:tc>
                <w:tcPr>
                  <w:tcW w:w="2938" w:type="dxa"/>
                  <w:vMerge w:val="continue"/>
                  <w:vAlign w:val="center"/>
                </w:tcPr>
                <w:p>
                  <w:pPr>
                    <w:rPr>
                      <w:szCs w:val="21"/>
                    </w:rPr>
                  </w:pPr>
                </w:p>
              </w:tc>
            </w:tr>
            <w:tr>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108" w:type="dxa"/>
                  <w:bottom w:w="0" w:type="dxa"/>
                  <w:right w:w="108" w:type="dxa"/>
                </w:tblCellMar>
              </w:tblPrEx>
              <w:trPr>
                <w:trHeight w:val="337" w:hRule="atLeast"/>
                <w:jc w:val="center"/>
              </w:trPr>
              <w:tc>
                <w:tcPr>
                  <w:tcW w:w="921" w:type="dxa"/>
                  <w:vMerge w:val="restart"/>
                  <w:vAlign w:val="center"/>
                </w:tcPr>
                <w:p>
                  <w:pPr>
                    <w:jc w:val="center"/>
                    <w:rPr>
                      <w:szCs w:val="21"/>
                    </w:rPr>
                  </w:pPr>
                  <w:r>
                    <w:rPr>
                      <w:rFonts w:hint="eastAsia"/>
                      <w:szCs w:val="21"/>
                    </w:rPr>
                    <w:t>O</w:t>
                  </w:r>
                  <w:r>
                    <w:rPr>
                      <w:rFonts w:hint="eastAsia"/>
                      <w:szCs w:val="21"/>
                      <w:vertAlign w:val="subscript"/>
                    </w:rPr>
                    <w:t>3</w:t>
                  </w:r>
                </w:p>
              </w:tc>
              <w:tc>
                <w:tcPr>
                  <w:tcW w:w="1983" w:type="dxa"/>
                  <w:vAlign w:val="center"/>
                </w:tcPr>
                <w:p>
                  <w:pPr>
                    <w:jc w:val="center"/>
                    <w:rPr>
                      <w:szCs w:val="21"/>
                    </w:rPr>
                  </w:pPr>
                  <w:r>
                    <w:rPr>
                      <w:rFonts w:hint="eastAsia"/>
                      <w:szCs w:val="21"/>
                    </w:rPr>
                    <w:t>日</w:t>
                  </w:r>
                  <w:r>
                    <w:rPr>
                      <w:szCs w:val="21"/>
                    </w:rPr>
                    <w:t>最大</w:t>
                  </w:r>
                  <w:r>
                    <w:rPr>
                      <w:rFonts w:hint="eastAsia"/>
                      <w:szCs w:val="21"/>
                    </w:rPr>
                    <w:t>8小时</w:t>
                  </w:r>
                  <w:r>
                    <w:rPr>
                      <w:szCs w:val="21"/>
                    </w:rPr>
                    <w:t>平均</w:t>
                  </w:r>
                </w:p>
              </w:tc>
              <w:tc>
                <w:tcPr>
                  <w:tcW w:w="1135" w:type="dxa"/>
                  <w:vAlign w:val="center"/>
                </w:tcPr>
                <w:p>
                  <w:pPr>
                    <w:jc w:val="center"/>
                    <w:rPr>
                      <w:szCs w:val="21"/>
                    </w:rPr>
                  </w:pPr>
                  <w:r>
                    <w:rPr>
                      <w:rFonts w:hint="eastAsia"/>
                      <w:szCs w:val="21"/>
                    </w:rPr>
                    <w:t>160</w:t>
                  </w:r>
                </w:p>
              </w:tc>
              <w:tc>
                <w:tcPr>
                  <w:tcW w:w="838" w:type="dxa"/>
                  <w:vMerge w:val="restart"/>
                  <w:vAlign w:val="center"/>
                </w:tcPr>
                <w:p>
                  <w:pPr>
                    <w:jc w:val="center"/>
                    <w:rPr>
                      <w:szCs w:val="21"/>
                    </w:rPr>
                  </w:pPr>
                  <w:r>
                    <w:rPr>
                      <w:szCs w:val="21"/>
                    </w:rPr>
                    <w:t>μg</w:t>
                  </w:r>
                  <w:r>
                    <w:rPr>
                      <w:rFonts w:hint="eastAsia"/>
                      <w:szCs w:val="21"/>
                    </w:rPr>
                    <w:t>/m</w:t>
                  </w:r>
                  <w:r>
                    <w:rPr>
                      <w:rFonts w:hint="eastAsia"/>
                      <w:szCs w:val="21"/>
                      <w:vertAlign w:val="superscript"/>
                    </w:rPr>
                    <w:t>3</w:t>
                  </w:r>
                </w:p>
              </w:tc>
              <w:tc>
                <w:tcPr>
                  <w:tcW w:w="2938" w:type="dxa"/>
                  <w:vMerge w:val="continue"/>
                  <w:vAlign w:val="center"/>
                </w:tcPr>
                <w:p>
                  <w:pPr>
                    <w:rPr>
                      <w:szCs w:val="21"/>
                    </w:rPr>
                  </w:pPr>
                </w:p>
              </w:tc>
            </w:tr>
            <w:tr>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108" w:type="dxa"/>
                  <w:bottom w:w="0" w:type="dxa"/>
                  <w:right w:w="108" w:type="dxa"/>
                </w:tblCellMar>
              </w:tblPrEx>
              <w:trPr>
                <w:trHeight w:val="337" w:hRule="atLeast"/>
                <w:jc w:val="center"/>
              </w:trPr>
              <w:tc>
                <w:tcPr>
                  <w:tcW w:w="921" w:type="dxa"/>
                  <w:vMerge w:val="continue"/>
                  <w:vAlign w:val="center"/>
                </w:tcPr>
                <w:p>
                  <w:pPr>
                    <w:rPr>
                      <w:szCs w:val="21"/>
                    </w:rPr>
                  </w:pPr>
                </w:p>
              </w:tc>
              <w:tc>
                <w:tcPr>
                  <w:tcW w:w="1983" w:type="dxa"/>
                  <w:vAlign w:val="center"/>
                </w:tcPr>
                <w:p>
                  <w:pPr>
                    <w:jc w:val="center"/>
                    <w:rPr>
                      <w:szCs w:val="21"/>
                    </w:rPr>
                  </w:pPr>
                  <w:r>
                    <w:rPr>
                      <w:szCs w:val="21"/>
                    </w:rPr>
                    <w:t>1小时平均</w:t>
                  </w:r>
                </w:p>
              </w:tc>
              <w:tc>
                <w:tcPr>
                  <w:tcW w:w="1135" w:type="dxa"/>
                  <w:vAlign w:val="center"/>
                </w:tcPr>
                <w:p>
                  <w:pPr>
                    <w:jc w:val="center"/>
                    <w:rPr>
                      <w:szCs w:val="21"/>
                    </w:rPr>
                  </w:pPr>
                  <w:r>
                    <w:rPr>
                      <w:rFonts w:hint="eastAsia"/>
                      <w:szCs w:val="21"/>
                    </w:rPr>
                    <w:t>200</w:t>
                  </w:r>
                </w:p>
              </w:tc>
              <w:tc>
                <w:tcPr>
                  <w:tcW w:w="838" w:type="dxa"/>
                  <w:vMerge w:val="continue"/>
                  <w:vAlign w:val="center"/>
                </w:tcPr>
                <w:p>
                  <w:pPr>
                    <w:rPr>
                      <w:szCs w:val="21"/>
                    </w:rPr>
                  </w:pPr>
                </w:p>
              </w:tc>
              <w:tc>
                <w:tcPr>
                  <w:tcW w:w="2938" w:type="dxa"/>
                  <w:vMerge w:val="continue"/>
                  <w:vAlign w:val="center"/>
                </w:tcPr>
                <w:p>
                  <w:pPr>
                    <w:rPr>
                      <w:szCs w:val="21"/>
                    </w:rPr>
                  </w:pPr>
                </w:p>
              </w:tc>
            </w:tr>
            <w:tr>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108" w:type="dxa"/>
                  <w:bottom w:w="0" w:type="dxa"/>
                  <w:right w:w="108" w:type="dxa"/>
                </w:tblCellMar>
              </w:tblPrEx>
              <w:trPr>
                <w:trHeight w:val="337" w:hRule="atLeast"/>
                <w:jc w:val="center"/>
              </w:trPr>
              <w:tc>
                <w:tcPr>
                  <w:tcW w:w="921" w:type="dxa"/>
                  <w:vMerge w:val="restart"/>
                  <w:vAlign w:val="center"/>
                </w:tcPr>
                <w:p>
                  <w:pPr>
                    <w:jc w:val="center"/>
                    <w:rPr>
                      <w:szCs w:val="21"/>
                    </w:rPr>
                  </w:pPr>
                  <w:r>
                    <w:rPr>
                      <w:rFonts w:hint="eastAsia"/>
                      <w:szCs w:val="21"/>
                    </w:rPr>
                    <w:t>PM</w:t>
                  </w:r>
                  <w:r>
                    <w:rPr>
                      <w:rFonts w:hint="eastAsia"/>
                      <w:szCs w:val="21"/>
                      <w:vertAlign w:val="subscript"/>
                    </w:rPr>
                    <w:t>10</w:t>
                  </w:r>
                </w:p>
              </w:tc>
              <w:tc>
                <w:tcPr>
                  <w:tcW w:w="1983" w:type="dxa"/>
                  <w:vAlign w:val="center"/>
                </w:tcPr>
                <w:p>
                  <w:pPr>
                    <w:jc w:val="center"/>
                    <w:rPr>
                      <w:szCs w:val="21"/>
                    </w:rPr>
                  </w:pPr>
                  <w:r>
                    <w:rPr>
                      <w:rFonts w:hint="eastAsia"/>
                      <w:szCs w:val="21"/>
                    </w:rPr>
                    <w:t>年</w:t>
                  </w:r>
                  <w:r>
                    <w:rPr>
                      <w:szCs w:val="21"/>
                    </w:rPr>
                    <w:t>平均</w:t>
                  </w:r>
                </w:p>
              </w:tc>
              <w:tc>
                <w:tcPr>
                  <w:tcW w:w="1135" w:type="dxa"/>
                  <w:vAlign w:val="center"/>
                </w:tcPr>
                <w:p>
                  <w:pPr>
                    <w:jc w:val="center"/>
                    <w:rPr>
                      <w:szCs w:val="21"/>
                    </w:rPr>
                  </w:pPr>
                  <w:r>
                    <w:rPr>
                      <w:rFonts w:hint="eastAsia"/>
                      <w:szCs w:val="21"/>
                    </w:rPr>
                    <w:t>70</w:t>
                  </w:r>
                </w:p>
              </w:tc>
              <w:tc>
                <w:tcPr>
                  <w:tcW w:w="838" w:type="dxa"/>
                  <w:vMerge w:val="continue"/>
                  <w:vAlign w:val="center"/>
                </w:tcPr>
                <w:p>
                  <w:pPr>
                    <w:rPr>
                      <w:szCs w:val="21"/>
                    </w:rPr>
                  </w:pPr>
                </w:p>
              </w:tc>
              <w:tc>
                <w:tcPr>
                  <w:tcW w:w="2938" w:type="dxa"/>
                  <w:vMerge w:val="continue"/>
                  <w:vAlign w:val="center"/>
                </w:tcPr>
                <w:p>
                  <w:pPr>
                    <w:rPr>
                      <w:szCs w:val="21"/>
                    </w:rPr>
                  </w:pPr>
                </w:p>
              </w:tc>
            </w:tr>
            <w:tr>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108" w:type="dxa"/>
                  <w:bottom w:w="0" w:type="dxa"/>
                  <w:right w:w="108" w:type="dxa"/>
                </w:tblCellMar>
              </w:tblPrEx>
              <w:trPr>
                <w:trHeight w:val="308" w:hRule="atLeast"/>
                <w:jc w:val="center"/>
              </w:trPr>
              <w:tc>
                <w:tcPr>
                  <w:tcW w:w="921" w:type="dxa"/>
                  <w:vMerge w:val="continue"/>
                  <w:vAlign w:val="center"/>
                </w:tcPr>
                <w:p>
                  <w:pPr>
                    <w:rPr>
                      <w:szCs w:val="21"/>
                    </w:rPr>
                  </w:pPr>
                </w:p>
              </w:tc>
              <w:tc>
                <w:tcPr>
                  <w:tcW w:w="1983" w:type="dxa"/>
                  <w:vAlign w:val="center"/>
                </w:tcPr>
                <w:p>
                  <w:pPr>
                    <w:jc w:val="center"/>
                    <w:rPr>
                      <w:szCs w:val="21"/>
                    </w:rPr>
                  </w:pPr>
                  <w:r>
                    <w:rPr>
                      <w:rFonts w:hint="eastAsia"/>
                      <w:szCs w:val="21"/>
                    </w:rPr>
                    <w:t>24小时</w:t>
                  </w:r>
                  <w:r>
                    <w:rPr>
                      <w:szCs w:val="21"/>
                    </w:rPr>
                    <w:t>平均</w:t>
                  </w:r>
                </w:p>
              </w:tc>
              <w:tc>
                <w:tcPr>
                  <w:tcW w:w="1135" w:type="dxa"/>
                  <w:vAlign w:val="center"/>
                </w:tcPr>
                <w:p>
                  <w:pPr>
                    <w:jc w:val="center"/>
                    <w:rPr>
                      <w:szCs w:val="21"/>
                    </w:rPr>
                  </w:pPr>
                  <w:r>
                    <w:rPr>
                      <w:rFonts w:hint="eastAsia"/>
                      <w:szCs w:val="21"/>
                    </w:rPr>
                    <w:t>150</w:t>
                  </w:r>
                </w:p>
              </w:tc>
              <w:tc>
                <w:tcPr>
                  <w:tcW w:w="838" w:type="dxa"/>
                  <w:vMerge w:val="continue"/>
                  <w:vAlign w:val="center"/>
                </w:tcPr>
                <w:p>
                  <w:pPr>
                    <w:rPr>
                      <w:szCs w:val="21"/>
                    </w:rPr>
                  </w:pPr>
                </w:p>
              </w:tc>
              <w:tc>
                <w:tcPr>
                  <w:tcW w:w="2938" w:type="dxa"/>
                  <w:vMerge w:val="continue"/>
                  <w:vAlign w:val="center"/>
                </w:tcPr>
                <w:p>
                  <w:pPr>
                    <w:rPr>
                      <w:szCs w:val="21"/>
                    </w:rPr>
                  </w:pPr>
                </w:p>
              </w:tc>
            </w:tr>
            <w:tr>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108" w:type="dxa"/>
                  <w:bottom w:w="0" w:type="dxa"/>
                  <w:right w:w="108" w:type="dxa"/>
                </w:tblCellMar>
              </w:tblPrEx>
              <w:trPr>
                <w:trHeight w:val="337" w:hRule="atLeast"/>
                <w:jc w:val="center"/>
              </w:trPr>
              <w:tc>
                <w:tcPr>
                  <w:tcW w:w="921" w:type="dxa"/>
                  <w:vMerge w:val="restart"/>
                  <w:vAlign w:val="center"/>
                </w:tcPr>
                <w:p>
                  <w:pPr>
                    <w:jc w:val="center"/>
                    <w:rPr>
                      <w:szCs w:val="21"/>
                    </w:rPr>
                  </w:pPr>
                  <w:r>
                    <w:rPr>
                      <w:rFonts w:hint="eastAsia"/>
                      <w:szCs w:val="21"/>
                    </w:rPr>
                    <w:t>PM</w:t>
                  </w:r>
                  <w:r>
                    <w:rPr>
                      <w:szCs w:val="21"/>
                      <w:vertAlign w:val="subscript"/>
                    </w:rPr>
                    <w:t>2.5</w:t>
                  </w:r>
                </w:p>
              </w:tc>
              <w:tc>
                <w:tcPr>
                  <w:tcW w:w="1983" w:type="dxa"/>
                  <w:vAlign w:val="center"/>
                </w:tcPr>
                <w:p>
                  <w:pPr>
                    <w:jc w:val="center"/>
                    <w:rPr>
                      <w:szCs w:val="21"/>
                    </w:rPr>
                  </w:pPr>
                  <w:r>
                    <w:rPr>
                      <w:rFonts w:hint="eastAsia"/>
                      <w:szCs w:val="21"/>
                    </w:rPr>
                    <w:t>年</w:t>
                  </w:r>
                  <w:r>
                    <w:rPr>
                      <w:szCs w:val="21"/>
                    </w:rPr>
                    <w:t>平均</w:t>
                  </w:r>
                </w:p>
              </w:tc>
              <w:tc>
                <w:tcPr>
                  <w:tcW w:w="1135" w:type="dxa"/>
                  <w:vAlign w:val="center"/>
                </w:tcPr>
                <w:p>
                  <w:pPr>
                    <w:jc w:val="center"/>
                    <w:rPr>
                      <w:szCs w:val="21"/>
                    </w:rPr>
                  </w:pPr>
                  <w:r>
                    <w:rPr>
                      <w:rFonts w:hint="eastAsia"/>
                      <w:szCs w:val="21"/>
                    </w:rPr>
                    <w:t>35</w:t>
                  </w:r>
                </w:p>
              </w:tc>
              <w:tc>
                <w:tcPr>
                  <w:tcW w:w="838" w:type="dxa"/>
                  <w:vMerge w:val="continue"/>
                  <w:vAlign w:val="center"/>
                </w:tcPr>
                <w:p>
                  <w:pPr>
                    <w:rPr>
                      <w:szCs w:val="21"/>
                    </w:rPr>
                  </w:pPr>
                </w:p>
              </w:tc>
              <w:tc>
                <w:tcPr>
                  <w:tcW w:w="2938" w:type="dxa"/>
                  <w:vMerge w:val="continue"/>
                  <w:vAlign w:val="center"/>
                </w:tcPr>
                <w:p>
                  <w:pPr>
                    <w:rPr>
                      <w:szCs w:val="21"/>
                    </w:rPr>
                  </w:pPr>
                </w:p>
              </w:tc>
            </w:tr>
            <w:tr>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108" w:type="dxa"/>
                  <w:bottom w:w="0" w:type="dxa"/>
                  <w:right w:w="108" w:type="dxa"/>
                </w:tblCellMar>
              </w:tblPrEx>
              <w:trPr>
                <w:trHeight w:val="337" w:hRule="atLeast"/>
                <w:jc w:val="center"/>
              </w:trPr>
              <w:tc>
                <w:tcPr>
                  <w:tcW w:w="921" w:type="dxa"/>
                  <w:vMerge w:val="continue"/>
                  <w:vAlign w:val="center"/>
                </w:tcPr>
                <w:p>
                  <w:pPr>
                    <w:rPr>
                      <w:szCs w:val="21"/>
                    </w:rPr>
                  </w:pPr>
                </w:p>
              </w:tc>
              <w:tc>
                <w:tcPr>
                  <w:tcW w:w="1983" w:type="dxa"/>
                  <w:vAlign w:val="center"/>
                </w:tcPr>
                <w:p>
                  <w:pPr>
                    <w:jc w:val="center"/>
                    <w:rPr>
                      <w:szCs w:val="21"/>
                    </w:rPr>
                  </w:pPr>
                  <w:r>
                    <w:rPr>
                      <w:rFonts w:hint="eastAsia"/>
                      <w:szCs w:val="21"/>
                    </w:rPr>
                    <w:t>24小时</w:t>
                  </w:r>
                  <w:r>
                    <w:rPr>
                      <w:szCs w:val="21"/>
                    </w:rPr>
                    <w:t>平均</w:t>
                  </w:r>
                </w:p>
              </w:tc>
              <w:tc>
                <w:tcPr>
                  <w:tcW w:w="1135" w:type="dxa"/>
                  <w:vAlign w:val="center"/>
                </w:tcPr>
                <w:p>
                  <w:pPr>
                    <w:jc w:val="center"/>
                    <w:rPr>
                      <w:szCs w:val="21"/>
                    </w:rPr>
                  </w:pPr>
                  <w:r>
                    <w:rPr>
                      <w:rFonts w:hint="eastAsia"/>
                      <w:szCs w:val="21"/>
                    </w:rPr>
                    <w:t>75</w:t>
                  </w:r>
                </w:p>
              </w:tc>
              <w:tc>
                <w:tcPr>
                  <w:tcW w:w="838" w:type="dxa"/>
                  <w:vMerge w:val="continue"/>
                  <w:vAlign w:val="center"/>
                </w:tcPr>
                <w:p>
                  <w:pPr>
                    <w:rPr>
                      <w:szCs w:val="21"/>
                    </w:rPr>
                  </w:pPr>
                </w:p>
              </w:tc>
              <w:tc>
                <w:tcPr>
                  <w:tcW w:w="2938" w:type="dxa"/>
                  <w:vMerge w:val="continue"/>
                  <w:vAlign w:val="center"/>
                </w:tcPr>
                <w:p>
                  <w:pPr>
                    <w:rPr>
                      <w:szCs w:val="21"/>
                    </w:rPr>
                  </w:pPr>
                </w:p>
              </w:tc>
            </w:tr>
            <w:tr>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108" w:type="dxa"/>
                  <w:bottom w:w="0" w:type="dxa"/>
                  <w:right w:w="108" w:type="dxa"/>
                </w:tblCellMar>
              </w:tblPrEx>
              <w:trPr>
                <w:trHeight w:val="337" w:hRule="atLeast"/>
                <w:jc w:val="center"/>
              </w:trPr>
              <w:tc>
                <w:tcPr>
                  <w:tcW w:w="921" w:type="dxa"/>
                  <w:vAlign w:val="center"/>
                </w:tcPr>
                <w:p>
                  <w:pPr>
                    <w:spacing w:line="320" w:lineRule="exact"/>
                    <w:jc w:val="center"/>
                    <w:rPr>
                      <w:szCs w:val="21"/>
                    </w:rPr>
                  </w:pPr>
                  <w:r>
                    <w:rPr>
                      <w:rFonts w:hint="eastAsia"/>
                      <w:szCs w:val="21"/>
                    </w:rPr>
                    <w:t>非甲烷</w:t>
                  </w:r>
                  <w:r>
                    <w:rPr>
                      <w:szCs w:val="21"/>
                    </w:rPr>
                    <w:t>总烃</w:t>
                  </w:r>
                </w:p>
              </w:tc>
              <w:tc>
                <w:tcPr>
                  <w:tcW w:w="1983" w:type="dxa"/>
                  <w:vAlign w:val="center"/>
                </w:tcPr>
                <w:p>
                  <w:pPr>
                    <w:spacing w:line="320" w:lineRule="exact"/>
                    <w:jc w:val="center"/>
                    <w:rPr>
                      <w:szCs w:val="21"/>
                    </w:rPr>
                  </w:pPr>
                  <w:r>
                    <w:rPr>
                      <w:szCs w:val="21"/>
                    </w:rPr>
                    <w:t>1小时平均</w:t>
                  </w:r>
                </w:p>
              </w:tc>
              <w:tc>
                <w:tcPr>
                  <w:tcW w:w="1135" w:type="dxa"/>
                  <w:vAlign w:val="center"/>
                </w:tcPr>
                <w:p>
                  <w:pPr>
                    <w:spacing w:line="320" w:lineRule="exact"/>
                    <w:jc w:val="center"/>
                    <w:rPr>
                      <w:szCs w:val="21"/>
                    </w:rPr>
                  </w:pPr>
                  <w:r>
                    <w:rPr>
                      <w:szCs w:val="21"/>
                    </w:rPr>
                    <w:t>2.</w:t>
                  </w:r>
                  <w:r>
                    <w:rPr>
                      <w:rFonts w:hint="eastAsia"/>
                      <w:szCs w:val="21"/>
                    </w:rPr>
                    <w:t>0</w:t>
                  </w:r>
                </w:p>
              </w:tc>
              <w:tc>
                <w:tcPr>
                  <w:tcW w:w="838" w:type="dxa"/>
                  <w:vAlign w:val="center"/>
                </w:tcPr>
                <w:p>
                  <w:pPr>
                    <w:spacing w:line="320" w:lineRule="exact"/>
                    <w:jc w:val="center"/>
                    <w:rPr>
                      <w:szCs w:val="21"/>
                    </w:rPr>
                  </w:pPr>
                  <w:r>
                    <w:rPr>
                      <w:szCs w:val="21"/>
                    </w:rPr>
                    <w:t>m</w:t>
                  </w:r>
                  <w:r>
                    <w:rPr>
                      <w:rFonts w:hint="eastAsia"/>
                      <w:szCs w:val="21"/>
                    </w:rPr>
                    <w:t>g/m</w:t>
                  </w:r>
                  <w:r>
                    <w:rPr>
                      <w:rFonts w:hint="eastAsia"/>
                      <w:szCs w:val="21"/>
                      <w:vertAlign w:val="superscript"/>
                    </w:rPr>
                    <w:t>3</w:t>
                  </w:r>
                </w:p>
              </w:tc>
              <w:tc>
                <w:tcPr>
                  <w:tcW w:w="2938" w:type="dxa"/>
                  <w:vAlign w:val="center"/>
                </w:tcPr>
                <w:p>
                  <w:pPr>
                    <w:spacing w:line="320" w:lineRule="exact"/>
                    <w:jc w:val="center"/>
                  </w:pPr>
                  <w:r>
                    <w:rPr>
                      <w:rFonts w:hint="eastAsia"/>
                      <w:lang w:val="zh-CN"/>
                    </w:rPr>
                    <w:t>《大气污染物综合排放标准》（GBT16297-1996）详解</w:t>
                  </w:r>
                </w:p>
              </w:tc>
            </w:tr>
          </w:tbl>
          <w:p>
            <w:pPr>
              <w:spacing w:line="360" w:lineRule="auto"/>
              <w:ind w:firstLine="470" w:firstLineChars="196"/>
              <w:rPr>
                <w:b/>
                <w:sz w:val="24"/>
                <w:szCs w:val="24"/>
              </w:rPr>
            </w:pPr>
            <w:r>
              <w:rPr>
                <w:b/>
                <w:sz w:val="24"/>
                <w:szCs w:val="24"/>
              </w:rPr>
              <w:t>2、地表水</w:t>
            </w:r>
          </w:p>
          <w:p>
            <w:pPr>
              <w:spacing w:line="360" w:lineRule="auto"/>
              <w:ind w:firstLine="480" w:firstLineChars="200"/>
              <w:rPr>
                <w:sz w:val="24"/>
              </w:rPr>
            </w:pPr>
            <w:r>
              <w:rPr>
                <w:sz w:val="24"/>
              </w:rPr>
              <w:t>根据《常州市地表水（环境）功能区划》（2003年6月），尧塘河执行</w:t>
            </w:r>
            <w:r>
              <w:rPr>
                <w:rFonts w:hint="eastAsia" w:ascii="宋体" w:hAnsi="宋体" w:cs="宋体"/>
                <w:sz w:val="24"/>
              </w:rPr>
              <w:t>Ⅳ</w:t>
            </w:r>
            <w:r>
              <w:rPr>
                <w:sz w:val="24"/>
              </w:rPr>
              <w:t>类水域功能，因此尧塘河水域环境质量执行《地表水环境质量标准》（GB3838-2002）中</w:t>
            </w:r>
            <w:r>
              <w:rPr>
                <w:rFonts w:hint="eastAsia" w:ascii="宋体" w:hAnsi="宋体" w:cs="宋体"/>
                <w:sz w:val="24"/>
              </w:rPr>
              <w:t>Ⅳ</w:t>
            </w:r>
            <w:r>
              <w:rPr>
                <w:sz w:val="24"/>
              </w:rPr>
              <w:t>类水质标准，SS执行水利部试行标准《地表水资源质量标准》（SL63-94）中四级标准。</w:t>
            </w:r>
          </w:p>
          <w:p>
            <w:pPr>
              <w:tabs>
                <w:tab w:val="left" w:pos="960"/>
              </w:tabs>
              <w:spacing w:before="93" w:beforeLines="30"/>
              <w:jc w:val="center"/>
              <w:rPr>
                <w:b/>
                <w:bCs/>
                <w:spacing w:val="-4"/>
                <w:szCs w:val="21"/>
              </w:rPr>
            </w:pPr>
            <w:r>
              <w:rPr>
                <w:b/>
                <w:bCs/>
                <w:spacing w:val="-4"/>
                <w:szCs w:val="21"/>
              </w:rPr>
              <w:t>表4-2  地表水环境质量评价标准  单位：mg/L，pH无量纲</w:t>
            </w:r>
          </w:p>
          <w:tbl>
            <w:tblPr>
              <w:tblStyle w:val="56"/>
              <w:tblW w:w="7815" w:type="dxa"/>
              <w:jc w:val="center"/>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Layout w:type="fixed"/>
              <w:tblCellMar>
                <w:top w:w="0" w:type="dxa"/>
                <w:left w:w="108" w:type="dxa"/>
                <w:bottom w:w="0" w:type="dxa"/>
                <w:right w:w="108" w:type="dxa"/>
              </w:tblCellMar>
            </w:tblPr>
            <w:tblGrid>
              <w:gridCol w:w="1123"/>
              <w:gridCol w:w="1691"/>
              <w:gridCol w:w="1958"/>
              <w:gridCol w:w="3043"/>
            </w:tblGrid>
            <w:tr>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108" w:type="dxa"/>
                  <w:bottom w:w="0" w:type="dxa"/>
                  <w:right w:w="108" w:type="dxa"/>
                </w:tblCellMar>
              </w:tblPrEx>
              <w:trPr>
                <w:cantSplit/>
                <w:trHeight w:val="340" w:hRule="atLeast"/>
                <w:jc w:val="center"/>
              </w:trPr>
              <w:tc>
                <w:tcPr>
                  <w:tcW w:w="1123" w:type="dxa"/>
                  <w:vAlign w:val="center"/>
                </w:tcPr>
                <w:p>
                  <w:pPr>
                    <w:adjustRightInd w:val="0"/>
                    <w:snapToGrid w:val="0"/>
                    <w:jc w:val="center"/>
                    <w:rPr>
                      <w:b/>
                      <w:szCs w:val="21"/>
                    </w:rPr>
                  </w:pPr>
                  <w:r>
                    <w:rPr>
                      <w:b/>
                      <w:szCs w:val="21"/>
                    </w:rPr>
                    <w:t>序号</w:t>
                  </w:r>
                </w:p>
              </w:tc>
              <w:tc>
                <w:tcPr>
                  <w:tcW w:w="1691" w:type="dxa"/>
                  <w:vAlign w:val="center"/>
                </w:tcPr>
                <w:p>
                  <w:pPr>
                    <w:adjustRightInd w:val="0"/>
                    <w:snapToGrid w:val="0"/>
                    <w:jc w:val="center"/>
                    <w:rPr>
                      <w:b/>
                      <w:szCs w:val="21"/>
                    </w:rPr>
                  </w:pPr>
                  <w:r>
                    <w:rPr>
                      <w:b/>
                      <w:szCs w:val="21"/>
                    </w:rPr>
                    <w:t>项  目</w:t>
                  </w:r>
                </w:p>
              </w:tc>
              <w:tc>
                <w:tcPr>
                  <w:tcW w:w="1958" w:type="dxa"/>
                  <w:vAlign w:val="center"/>
                </w:tcPr>
                <w:p>
                  <w:pPr>
                    <w:adjustRightInd w:val="0"/>
                    <w:snapToGrid w:val="0"/>
                    <w:jc w:val="center"/>
                    <w:rPr>
                      <w:b/>
                      <w:szCs w:val="21"/>
                    </w:rPr>
                  </w:pPr>
                  <w:r>
                    <w:rPr>
                      <w:rFonts w:hint="eastAsia" w:cs="宋体"/>
                      <w:b/>
                      <w:szCs w:val="21"/>
                    </w:rPr>
                    <w:t>Ⅳ</w:t>
                  </w:r>
                  <w:r>
                    <w:rPr>
                      <w:b/>
                      <w:szCs w:val="21"/>
                    </w:rPr>
                    <w:t>类（mg/L）</w:t>
                  </w:r>
                </w:p>
              </w:tc>
              <w:tc>
                <w:tcPr>
                  <w:tcW w:w="3043" w:type="dxa"/>
                  <w:vAlign w:val="center"/>
                </w:tcPr>
                <w:p>
                  <w:pPr>
                    <w:adjustRightInd w:val="0"/>
                    <w:snapToGrid w:val="0"/>
                    <w:jc w:val="center"/>
                    <w:rPr>
                      <w:b/>
                      <w:szCs w:val="21"/>
                    </w:rPr>
                  </w:pPr>
                  <w:r>
                    <w:rPr>
                      <w:b/>
                      <w:szCs w:val="21"/>
                    </w:rPr>
                    <w:t>标准来源</w:t>
                  </w:r>
                </w:p>
              </w:tc>
            </w:tr>
            <w:tr>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108" w:type="dxa"/>
                  <w:bottom w:w="0" w:type="dxa"/>
                  <w:right w:w="108" w:type="dxa"/>
                </w:tblCellMar>
              </w:tblPrEx>
              <w:trPr>
                <w:cantSplit/>
                <w:trHeight w:val="340" w:hRule="atLeast"/>
                <w:jc w:val="center"/>
              </w:trPr>
              <w:tc>
                <w:tcPr>
                  <w:tcW w:w="1123" w:type="dxa"/>
                  <w:vAlign w:val="center"/>
                </w:tcPr>
                <w:p>
                  <w:pPr>
                    <w:adjustRightInd w:val="0"/>
                    <w:snapToGrid w:val="0"/>
                    <w:jc w:val="center"/>
                    <w:rPr>
                      <w:szCs w:val="21"/>
                    </w:rPr>
                  </w:pPr>
                  <w:r>
                    <w:rPr>
                      <w:szCs w:val="21"/>
                    </w:rPr>
                    <w:t>1</w:t>
                  </w:r>
                </w:p>
              </w:tc>
              <w:tc>
                <w:tcPr>
                  <w:tcW w:w="1691" w:type="dxa"/>
                  <w:vAlign w:val="center"/>
                </w:tcPr>
                <w:p>
                  <w:pPr>
                    <w:adjustRightInd w:val="0"/>
                    <w:snapToGrid w:val="0"/>
                    <w:jc w:val="center"/>
                    <w:rPr>
                      <w:szCs w:val="21"/>
                    </w:rPr>
                  </w:pPr>
                  <w:r>
                    <w:rPr>
                      <w:szCs w:val="21"/>
                    </w:rPr>
                    <w:t xml:space="preserve">pH值 </w:t>
                  </w:r>
                </w:p>
              </w:tc>
              <w:tc>
                <w:tcPr>
                  <w:tcW w:w="1958" w:type="dxa"/>
                  <w:vAlign w:val="center"/>
                </w:tcPr>
                <w:p>
                  <w:pPr>
                    <w:adjustRightInd w:val="0"/>
                    <w:snapToGrid w:val="0"/>
                    <w:jc w:val="center"/>
                    <w:rPr>
                      <w:szCs w:val="21"/>
                    </w:rPr>
                  </w:pPr>
                  <w:r>
                    <w:rPr>
                      <w:szCs w:val="21"/>
                    </w:rPr>
                    <w:t>6～9（无量纲）</w:t>
                  </w:r>
                </w:p>
              </w:tc>
              <w:tc>
                <w:tcPr>
                  <w:tcW w:w="3043" w:type="dxa"/>
                  <w:vMerge w:val="restart"/>
                  <w:vAlign w:val="center"/>
                </w:tcPr>
                <w:p>
                  <w:pPr>
                    <w:adjustRightInd w:val="0"/>
                    <w:snapToGrid w:val="0"/>
                    <w:jc w:val="center"/>
                    <w:rPr>
                      <w:szCs w:val="21"/>
                    </w:rPr>
                  </w:pPr>
                  <w:r>
                    <w:rPr>
                      <w:szCs w:val="21"/>
                    </w:rPr>
                    <w:t>《地表水环境质量标准》（GB3838–2002）</w:t>
                  </w:r>
                  <w:r>
                    <w:rPr>
                      <w:rFonts w:hint="eastAsia" w:cs="宋体"/>
                      <w:szCs w:val="21"/>
                    </w:rPr>
                    <w:t>Ⅳ</w:t>
                  </w:r>
                  <w:r>
                    <w:rPr>
                      <w:szCs w:val="21"/>
                    </w:rPr>
                    <w:t>类</w:t>
                  </w:r>
                </w:p>
              </w:tc>
            </w:tr>
            <w:tr>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108" w:type="dxa"/>
                  <w:bottom w:w="0" w:type="dxa"/>
                  <w:right w:w="108" w:type="dxa"/>
                </w:tblCellMar>
              </w:tblPrEx>
              <w:trPr>
                <w:cantSplit/>
                <w:trHeight w:val="90" w:hRule="atLeast"/>
                <w:jc w:val="center"/>
              </w:trPr>
              <w:tc>
                <w:tcPr>
                  <w:tcW w:w="1123" w:type="dxa"/>
                  <w:vAlign w:val="center"/>
                </w:tcPr>
                <w:p>
                  <w:pPr>
                    <w:adjustRightInd w:val="0"/>
                    <w:snapToGrid w:val="0"/>
                    <w:jc w:val="center"/>
                    <w:rPr>
                      <w:szCs w:val="21"/>
                    </w:rPr>
                  </w:pPr>
                  <w:r>
                    <w:rPr>
                      <w:szCs w:val="21"/>
                    </w:rPr>
                    <w:t>2</w:t>
                  </w:r>
                </w:p>
              </w:tc>
              <w:tc>
                <w:tcPr>
                  <w:tcW w:w="1691" w:type="dxa"/>
                  <w:vAlign w:val="center"/>
                </w:tcPr>
                <w:p>
                  <w:pPr>
                    <w:adjustRightInd w:val="0"/>
                    <w:snapToGrid w:val="0"/>
                    <w:jc w:val="center"/>
                    <w:rPr>
                      <w:szCs w:val="21"/>
                    </w:rPr>
                  </w:pPr>
                  <w:r>
                    <w:rPr>
                      <w:szCs w:val="21"/>
                    </w:rPr>
                    <w:t>COD</w:t>
                  </w:r>
                </w:p>
              </w:tc>
              <w:tc>
                <w:tcPr>
                  <w:tcW w:w="1958" w:type="dxa"/>
                  <w:vAlign w:val="center"/>
                </w:tcPr>
                <w:p>
                  <w:pPr>
                    <w:adjustRightInd w:val="0"/>
                    <w:snapToGrid w:val="0"/>
                    <w:jc w:val="center"/>
                    <w:rPr>
                      <w:szCs w:val="21"/>
                    </w:rPr>
                  </w:pPr>
                  <w:r>
                    <w:rPr>
                      <w:szCs w:val="21"/>
                    </w:rPr>
                    <w:t>≤30</w:t>
                  </w:r>
                </w:p>
              </w:tc>
              <w:tc>
                <w:tcPr>
                  <w:tcW w:w="3043" w:type="dxa"/>
                  <w:vMerge w:val="continue"/>
                  <w:vAlign w:val="center"/>
                </w:tcPr>
                <w:p/>
              </w:tc>
            </w:tr>
            <w:tr>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108" w:type="dxa"/>
                  <w:bottom w:w="0" w:type="dxa"/>
                  <w:right w:w="108" w:type="dxa"/>
                </w:tblCellMar>
              </w:tblPrEx>
              <w:trPr>
                <w:cantSplit/>
                <w:trHeight w:val="340" w:hRule="atLeast"/>
                <w:jc w:val="center"/>
              </w:trPr>
              <w:tc>
                <w:tcPr>
                  <w:tcW w:w="1123" w:type="dxa"/>
                  <w:vAlign w:val="center"/>
                </w:tcPr>
                <w:p>
                  <w:pPr>
                    <w:adjustRightInd w:val="0"/>
                    <w:snapToGrid w:val="0"/>
                    <w:jc w:val="center"/>
                    <w:rPr>
                      <w:szCs w:val="21"/>
                    </w:rPr>
                  </w:pPr>
                  <w:r>
                    <w:rPr>
                      <w:szCs w:val="21"/>
                    </w:rPr>
                    <w:t>3</w:t>
                  </w:r>
                </w:p>
              </w:tc>
              <w:tc>
                <w:tcPr>
                  <w:tcW w:w="1691" w:type="dxa"/>
                  <w:vAlign w:val="center"/>
                </w:tcPr>
                <w:p>
                  <w:pPr>
                    <w:adjustRightInd w:val="0"/>
                    <w:snapToGrid w:val="0"/>
                    <w:jc w:val="center"/>
                    <w:rPr>
                      <w:szCs w:val="21"/>
                    </w:rPr>
                  </w:pPr>
                  <w:r>
                    <w:rPr>
                      <w:szCs w:val="21"/>
                    </w:rPr>
                    <w:t>BOD</w:t>
                  </w:r>
                  <w:r>
                    <w:rPr>
                      <w:szCs w:val="21"/>
                      <w:vertAlign w:val="subscript"/>
                    </w:rPr>
                    <w:t>5</w:t>
                  </w:r>
                </w:p>
              </w:tc>
              <w:tc>
                <w:tcPr>
                  <w:tcW w:w="1958" w:type="dxa"/>
                  <w:vAlign w:val="center"/>
                </w:tcPr>
                <w:p>
                  <w:pPr>
                    <w:adjustRightInd w:val="0"/>
                    <w:snapToGrid w:val="0"/>
                    <w:jc w:val="center"/>
                    <w:rPr>
                      <w:szCs w:val="21"/>
                    </w:rPr>
                  </w:pPr>
                  <w:r>
                    <w:rPr>
                      <w:szCs w:val="21"/>
                    </w:rPr>
                    <w:t>≤6</w:t>
                  </w:r>
                </w:p>
              </w:tc>
              <w:tc>
                <w:tcPr>
                  <w:tcW w:w="3043" w:type="dxa"/>
                  <w:vMerge w:val="continue"/>
                  <w:vAlign w:val="center"/>
                </w:tcPr>
                <w:p/>
              </w:tc>
            </w:tr>
            <w:tr>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108" w:type="dxa"/>
                  <w:bottom w:w="0" w:type="dxa"/>
                  <w:right w:w="108" w:type="dxa"/>
                </w:tblCellMar>
              </w:tblPrEx>
              <w:trPr>
                <w:cantSplit/>
                <w:trHeight w:val="340" w:hRule="atLeast"/>
                <w:jc w:val="center"/>
              </w:trPr>
              <w:tc>
                <w:tcPr>
                  <w:tcW w:w="1123" w:type="dxa"/>
                  <w:vAlign w:val="center"/>
                </w:tcPr>
                <w:p>
                  <w:pPr>
                    <w:adjustRightInd w:val="0"/>
                    <w:snapToGrid w:val="0"/>
                    <w:jc w:val="center"/>
                    <w:rPr>
                      <w:szCs w:val="21"/>
                    </w:rPr>
                  </w:pPr>
                  <w:r>
                    <w:rPr>
                      <w:szCs w:val="21"/>
                    </w:rPr>
                    <w:t>4</w:t>
                  </w:r>
                </w:p>
              </w:tc>
              <w:tc>
                <w:tcPr>
                  <w:tcW w:w="1691" w:type="dxa"/>
                  <w:vAlign w:val="center"/>
                </w:tcPr>
                <w:p>
                  <w:pPr>
                    <w:adjustRightInd w:val="0"/>
                    <w:snapToGrid w:val="0"/>
                    <w:jc w:val="center"/>
                    <w:rPr>
                      <w:szCs w:val="21"/>
                    </w:rPr>
                  </w:pPr>
                  <w:r>
                    <w:rPr>
                      <w:szCs w:val="21"/>
                    </w:rPr>
                    <w:t>NH</w:t>
                  </w:r>
                  <w:r>
                    <w:rPr>
                      <w:szCs w:val="21"/>
                      <w:vertAlign w:val="subscript"/>
                    </w:rPr>
                    <w:t>3</w:t>
                  </w:r>
                  <w:r>
                    <w:rPr>
                      <w:szCs w:val="21"/>
                    </w:rPr>
                    <w:t>-N</w:t>
                  </w:r>
                </w:p>
              </w:tc>
              <w:tc>
                <w:tcPr>
                  <w:tcW w:w="1958" w:type="dxa"/>
                  <w:vAlign w:val="center"/>
                </w:tcPr>
                <w:p>
                  <w:pPr>
                    <w:adjustRightInd w:val="0"/>
                    <w:snapToGrid w:val="0"/>
                    <w:jc w:val="center"/>
                    <w:rPr>
                      <w:szCs w:val="21"/>
                    </w:rPr>
                  </w:pPr>
                  <w:r>
                    <w:rPr>
                      <w:szCs w:val="21"/>
                    </w:rPr>
                    <w:t>≤1.5</w:t>
                  </w:r>
                </w:p>
              </w:tc>
              <w:tc>
                <w:tcPr>
                  <w:tcW w:w="3043" w:type="dxa"/>
                  <w:vMerge w:val="continue"/>
                  <w:vAlign w:val="center"/>
                </w:tcPr>
                <w:p/>
              </w:tc>
            </w:tr>
            <w:tr>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108" w:type="dxa"/>
                  <w:bottom w:w="0" w:type="dxa"/>
                  <w:right w:w="108" w:type="dxa"/>
                </w:tblCellMar>
              </w:tblPrEx>
              <w:trPr>
                <w:cantSplit/>
                <w:trHeight w:val="340" w:hRule="atLeast"/>
                <w:jc w:val="center"/>
              </w:trPr>
              <w:tc>
                <w:tcPr>
                  <w:tcW w:w="1123" w:type="dxa"/>
                  <w:vAlign w:val="center"/>
                </w:tcPr>
                <w:p>
                  <w:pPr>
                    <w:adjustRightInd w:val="0"/>
                    <w:snapToGrid w:val="0"/>
                    <w:jc w:val="center"/>
                    <w:rPr>
                      <w:szCs w:val="21"/>
                    </w:rPr>
                  </w:pPr>
                  <w:r>
                    <w:rPr>
                      <w:rFonts w:hint="eastAsia"/>
                      <w:szCs w:val="21"/>
                    </w:rPr>
                    <w:t>5</w:t>
                  </w:r>
                </w:p>
              </w:tc>
              <w:tc>
                <w:tcPr>
                  <w:tcW w:w="1691" w:type="dxa"/>
                  <w:vAlign w:val="center"/>
                </w:tcPr>
                <w:p>
                  <w:pPr>
                    <w:adjustRightInd w:val="0"/>
                    <w:snapToGrid w:val="0"/>
                    <w:jc w:val="center"/>
                    <w:rPr>
                      <w:szCs w:val="21"/>
                    </w:rPr>
                  </w:pPr>
                  <w:r>
                    <w:rPr>
                      <w:szCs w:val="21"/>
                    </w:rPr>
                    <w:t>TP</w:t>
                  </w:r>
                </w:p>
              </w:tc>
              <w:tc>
                <w:tcPr>
                  <w:tcW w:w="1958" w:type="dxa"/>
                  <w:vAlign w:val="center"/>
                </w:tcPr>
                <w:p>
                  <w:pPr>
                    <w:adjustRightInd w:val="0"/>
                    <w:snapToGrid w:val="0"/>
                    <w:jc w:val="center"/>
                    <w:rPr>
                      <w:szCs w:val="21"/>
                    </w:rPr>
                  </w:pPr>
                  <w:r>
                    <w:rPr>
                      <w:szCs w:val="21"/>
                    </w:rPr>
                    <w:t>≤0.</w:t>
                  </w:r>
                  <w:r>
                    <w:rPr>
                      <w:rFonts w:hint="eastAsia"/>
                      <w:szCs w:val="21"/>
                    </w:rPr>
                    <w:t>3</w:t>
                  </w:r>
                </w:p>
              </w:tc>
              <w:tc>
                <w:tcPr>
                  <w:tcW w:w="3043" w:type="dxa"/>
                  <w:vMerge w:val="continue"/>
                  <w:vAlign w:val="center"/>
                </w:tcPr>
                <w:p/>
              </w:tc>
            </w:tr>
            <w:tr>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108" w:type="dxa"/>
                  <w:bottom w:w="0" w:type="dxa"/>
                  <w:right w:w="108" w:type="dxa"/>
                </w:tblCellMar>
              </w:tblPrEx>
              <w:trPr>
                <w:cantSplit/>
                <w:trHeight w:val="340" w:hRule="atLeast"/>
                <w:jc w:val="center"/>
              </w:trPr>
              <w:tc>
                <w:tcPr>
                  <w:tcW w:w="1123" w:type="dxa"/>
                  <w:vAlign w:val="center"/>
                </w:tcPr>
                <w:p>
                  <w:pPr>
                    <w:adjustRightInd w:val="0"/>
                    <w:snapToGrid w:val="0"/>
                    <w:jc w:val="center"/>
                    <w:rPr>
                      <w:szCs w:val="21"/>
                    </w:rPr>
                  </w:pPr>
                  <w:r>
                    <w:rPr>
                      <w:rFonts w:hint="eastAsia"/>
                      <w:szCs w:val="21"/>
                    </w:rPr>
                    <w:t>6</w:t>
                  </w:r>
                </w:p>
              </w:tc>
              <w:tc>
                <w:tcPr>
                  <w:tcW w:w="1691" w:type="dxa"/>
                  <w:vAlign w:val="center"/>
                </w:tcPr>
                <w:p>
                  <w:pPr>
                    <w:adjustRightInd w:val="0"/>
                    <w:snapToGrid w:val="0"/>
                    <w:jc w:val="center"/>
                    <w:rPr>
                      <w:szCs w:val="21"/>
                    </w:rPr>
                  </w:pPr>
                  <w:r>
                    <w:rPr>
                      <w:rFonts w:hint="eastAsia"/>
                      <w:szCs w:val="21"/>
                    </w:rPr>
                    <w:t>TN</w:t>
                  </w:r>
                </w:p>
              </w:tc>
              <w:tc>
                <w:tcPr>
                  <w:tcW w:w="1958" w:type="dxa"/>
                  <w:vAlign w:val="center"/>
                </w:tcPr>
                <w:p>
                  <w:pPr>
                    <w:adjustRightInd w:val="0"/>
                    <w:snapToGrid w:val="0"/>
                    <w:jc w:val="center"/>
                    <w:rPr>
                      <w:szCs w:val="21"/>
                    </w:rPr>
                  </w:pPr>
                  <w:r>
                    <w:rPr>
                      <w:rFonts w:hint="eastAsia"/>
                      <w:szCs w:val="21"/>
                    </w:rPr>
                    <w:t>1.5</w:t>
                  </w:r>
                </w:p>
              </w:tc>
              <w:tc>
                <w:tcPr>
                  <w:tcW w:w="3043" w:type="dxa"/>
                  <w:vMerge w:val="continue"/>
                  <w:vAlign w:val="center"/>
                </w:tcPr>
                <w:p/>
              </w:tc>
            </w:tr>
            <w:tr>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108" w:type="dxa"/>
                  <w:bottom w:w="0" w:type="dxa"/>
                  <w:right w:w="108" w:type="dxa"/>
                </w:tblCellMar>
              </w:tblPrEx>
              <w:trPr>
                <w:cantSplit/>
                <w:trHeight w:val="340" w:hRule="atLeast"/>
                <w:jc w:val="center"/>
              </w:trPr>
              <w:tc>
                <w:tcPr>
                  <w:tcW w:w="1123" w:type="dxa"/>
                  <w:vAlign w:val="center"/>
                </w:tcPr>
                <w:p>
                  <w:pPr>
                    <w:adjustRightInd w:val="0"/>
                    <w:snapToGrid w:val="0"/>
                    <w:jc w:val="center"/>
                    <w:rPr>
                      <w:szCs w:val="21"/>
                    </w:rPr>
                  </w:pPr>
                  <w:r>
                    <w:rPr>
                      <w:rFonts w:hint="eastAsia"/>
                      <w:szCs w:val="21"/>
                    </w:rPr>
                    <w:t>7</w:t>
                  </w:r>
                </w:p>
              </w:tc>
              <w:tc>
                <w:tcPr>
                  <w:tcW w:w="1691" w:type="dxa"/>
                  <w:vAlign w:val="center"/>
                </w:tcPr>
                <w:p>
                  <w:pPr>
                    <w:adjustRightInd w:val="0"/>
                    <w:snapToGrid w:val="0"/>
                    <w:jc w:val="center"/>
                    <w:rPr>
                      <w:szCs w:val="21"/>
                    </w:rPr>
                  </w:pPr>
                  <w:r>
                    <w:rPr>
                      <w:rFonts w:hint="eastAsia"/>
                      <w:szCs w:val="21"/>
                    </w:rPr>
                    <w:t>石油类</w:t>
                  </w:r>
                </w:p>
              </w:tc>
              <w:tc>
                <w:tcPr>
                  <w:tcW w:w="1958" w:type="dxa"/>
                  <w:vAlign w:val="center"/>
                </w:tcPr>
                <w:p>
                  <w:pPr>
                    <w:adjustRightInd w:val="0"/>
                    <w:snapToGrid w:val="0"/>
                    <w:jc w:val="center"/>
                    <w:rPr>
                      <w:szCs w:val="21"/>
                    </w:rPr>
                  </w:pPr>
                  <w:r>
                    <w:rPr>
                      <w:szCs w:val="21"/>
                    </w:rPr>
                    <w:t>≤0.</w:t>
                  </w:r>
                  <w:r>
                    <w:rPr>
                      <w:rFonts w:hint="eastAsia"/>
                      <w:szCs w:val="21"/>
                    </w:rPr>
                    <w:t>5</w:t>
                  </w:r>
                </w:p>
              </w:tc>
              <w:tc>
                <w:tcPr>
                  <w:tcW w:w="3043" w:type="dxa"/>
                  <w:vMerge w:val="continue"/>
                  <w:vAlign w:val="center"/>
                </w:tcPr>
                <w:p/>
              </w:tc>
            </w:tr>
            <w:tr>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108" w:type="dxa"/>
                  <w:bottom w:w="0" w:type="dxa"/>
                  <w:right w:w="108" w:type="dxa"/>
                </w:tblCellMar>
              </w:tblPrEx>
              <w:trPr>
                <w:cantSplit/>
                <w:trHeight w:val="530" w:hRule="atLeast"/>
                <w:jc w:val="center"/>
              </w:trPr>
              <w:tc>
                <w:tcPr>
                  <w:tcW w:w="1123" w:type="dxa"/>
                  <w:vAlign w:val="center"/>
                </w:tcPr>
                <w:p>
                  <w:pPr>
                    <w:adjustRightInd w:val="0"/>
                    <w:snapToGrid w:val="0"/>
                    <w:jc w:val="center"/>
                    <w:rPr>
                      <w:szCs w:val="21"/>
                    </w:rPr>
                  </w:pPr>
                  <w:r>
                    <w:rPr>
                      <w:rFonts w:hint="eastAsia"/>
                      <w:szCs w:val="21"/>
                    </w:rPr>
                    <w:t>8</w:t>
                  </w:r>
                </w:p>
              </w:tc>
              <w:tc>
                <w:tcPr>
                  <w:tcW w:w="1691" w:type="dxa"/>
                  <w:vAlign w:val="center"/>
                </w:tcPr>
                <w:p>
                  <w:pPr>
                    <w:adjustRightInd w:val="0"/>
                    <w:snapToGrid w:val="0"/>
                    <w:jc w:val="center"/>
                    <w:rPr>
                      <w:szCs w:val="21"/>
                    </w:rPr>
                  </w:pPr>
                  <w:r>
                    <w:rPr>
                      <w:szCs w:val="21"/>
                    </w:rPr>
                    <w:t>SS</w:t>
                  </w:r>
                </w:p>
              </w:tc>
              <w:tc>
                <w:tcPr>
                  <w:tcW w:w="1958" w:type="dxa"/>
                  <w:vAlign w:val="center"/>
                </w:tcPr>
                <w:p>
                  <w:pPr>
                    <w:adjustRightInd w:val="0"/>
                    <w:snapToGrid w:val="0"/>
                    <w:jc w:val="center"/>
                    <w:rPr>
                      <w:szCs w:val="21"/>
                    </w:rPr>
                  </w:pPr>
                  <w:r>
                    <w:rPr>
                      <w:szCs w:val="21"/>
                    </w:rPr>
                    <w:t>≤60</w:t>
                  </w:r>
                </w:p>
              </w:tc>
              <w:tc>
                <w:tcPr>
                  <w:tcW w:w="3043" w:type="dxa"/>
                  <w:vAlign w:val="center"/>
                </w:tcPr>
                <w:p>
                  <w:pPr>
                    <w:adjustRightInd w:val="0"/>
                    <w:snapToGrid w:val="0"/>
                    <w:jc w:val="center"/>
                    <w:rPr>
                      <w:szCs w:val="21"/>
                    </w:rPr>
                  </w:pPr>
                  <w:r>
                    <w:rPr>
                      <w:szCs w:val="21"/>
                    </w:rPr>
                    <w:t>参考水利部《地表水资源质量标准》（SL63-94）四级</w:t>
                  </w:r>
                </w:p>
              </w:tc>
            </w:tr>
          </w:tbl>
          <w:p>
            <w:pPr>
              <w:spacing w:line="440" w:lineRule="exact"/>
              <w:ind w:firstLine="480" w:firstLineChars="200"/>
              <w:rPr>
                <w:b/>
                <w:sz w:val="24"/>
                <w:szCs w:val="24"/>
              </w:rPr>
            </w:pPr>
            <w:r>
              <w:rPr>
                <w:b/>
                <w:sz w:val="24"/>
                <w:szCs w:val="24"/>
              </w:rPr>
              <w:t>3、声环境</w:t>
            </w:r>
          </w:p>
          <w:p>
            <w:pPr>
              <w:spacing w:line="360" w:lineRule="auto"/>
              <w:ind w:firstLine="480" w:firstLineChars="200"/>
              <w:rPr>
                <w:sz w:val="24"/>
              </w:rPr>
            </w:pPr>
            <w:r>
              <w:rPr>
                <w:rFonts w:hint="eastAsia"/>
                <w:sz w:val="24"/>
              </w:rPr>
              <w:t>根据《金坛区中心城区声环境功能区划》，本项目位于3类声功能区，因此</w:t>
            </w:r>
            <w:r>
              <w:rPr>
                <w:sz w:val="24"/>
              </w:rPr>
              <w:t>项目</w:t>
            </w:r>
            <w:r>
              <w:rPr>
                <w:rFonts w:hint="eastAsia"/>
                <w:sz w:val="24"/>
                <w:lang w:eastAsia="zh-CN"/>
              </w:rPr>
              <w:t>厂房</w:t>
            </w:r>
            <w:r>
              <w:rPr>
                <w:sz w:val="24"/>
              </w:rPr>
              <w:t>厂界声环境执行《声环境质量标准》（GB3096-2008）中的</w:t>
            </w:r>
            <w:r>
              <w:rPr>
                <w:rFonts w:hint="eastAsia"/>
                <w:sz w:val="24"/>
              </w:rPr>
              <w:t>3</w:t>
            </w:r>
            <w:r>
              <w:rPr>
                <w:sz w:val="24"/>
              </w:rPr>
              <w:t>类区</w:t>
            </w:r>
            <w:r>
              <w:rPr>
                <w:rFonts w:hint="eastAsia"/>
                <w:sz w:val="24"/>
              </w:rPr>
              <w:t>限值，敏感点</w:t>
            </w:r>
            <w:r>
              <w:rPr>
                <w:rFonts w:hint="eastAsia"/>
                <w:sz w:val="24"/>
                <w:lang w:eastAsia="zh-CN"/>
              </w:rPr>
              <w:t>珑庭花园</w:t>
            </w:r>
            <w:r>
              <w:rPr>
                <w:rFonts w:hint="eastAsia"/>
                <w:sz w:val="24"/>
                <w:szCs w:val="24"/>
              </w:rPr>
              <w:t>声环境</w:t>
            </w:r>
            <w:r>
              <w:rPr>
                <w:sz w:val="24"/>
                <w:szCs w:val="24"/>
              </w:rPr>
              <w:t>执行《声环境质量标准》（GB3096-2008）中的2类区标准</w:t>
            </w:r>
            <w:r>
              <w:rPr>
                <w:rFonts w:hint="eastAsia"/>
                <w:sz w:val="24"/>
              </w:rPr>
              <w:t>。</w:t>
            </w:r>
            <w:r>
              <w:rPr>
                <w:sz w:val="24"/>
              </w:rPr>
              <w:t>具体标准值见表4-3。</w:t>
            </w:r>
          </w:p>
          <w:p>
            <w:pPr>
              <w:tabs>
                <w:tab w:val="left" w:pos="960"/>
              </w:tabs>
              <w:jc w:val="center"/>
              <w:rPr>
                <w:b/>
                <w:bCs/>
                <w:spacing w:val="-4"/>
                <w:szCs w:val="21"/>
              </w:rPr>
            </w:pPr>
            <w:r>
              <w:rPr>
                <w:b/>
                <w:bCs/>
                <w:spacing w:val="-4"/>
                <w:szCs w:val="21"/>
              </w:rPr>
              <w:t>表4-3  声环境质量标准    单位：dB(A)</w:t>
            </w:r>
          </w:p>
          <w:tbl>
            <w:tblPr>
              <w:tblStyle w:val="56"/>
              <w:tblW w:w="7815" w:type="dxa"/>
              <w:jc w:val="center"/>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Layout w:type="fixed"/>
              <w:tblCellMar>
                <w:top w:w="0" w:type="dxa"/>
                <w:left w:w="108" w:type="dxa"/>
                <w:bottom w:w="0" w:type="dxa"/>
                <w:right w:w="108" w:type="dxa"/>
              </w:tblCellMar>
            </w:tblPr>
            <w:tblGrid>
              <w:gridCol w:w="1538"/>
              <w:gridCol w:w="1336"/>
              <w:gridCol w:w="1449"/>
              <w:gridCol w:w="3492"/>
            </w:tblGrid>
            <w:tr>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108" w:type="dxa"/>
                  <w:bottom w:w="0" w:type="dxa"/>
                  <w:right w:w="108" w:type="dxa"/>
                </w:tblCellMar>
              </w:tblPrEx>
              <w:trPr>
                <w:cantSplit/>
                <w:trHeight w:val="404" w:hRule="atLeast"/>
                <w:jc w:val="center"/>
              </w:trPr>
              <w:tc>
                <w:tcPr>
                  <w:tcW w:w="1538" w:type="dxa"/>
                  <w:vAlign w:val="center"/>
                </w:tcPr>
                <w:p>
                  <w:pPr>
                    <w:jc w:val="center"/>
                    <w:rPr>
                      <w:b/>
                      <w:szCs w:val="21"/>
                    </w:rPr>
                  </w:pPr>
                  <w:r>
                    <w:rPr>
                      <w:b/>
                      <w:szCs w:val="21"/>
                    </w:rPr>
                    <w:t>评价标准</w:t>
                  </w:r>
                </w:p>
              </w:tc>
              <w:tc>
                <w:tcPr>
                  <w:tcW w:w="1336" w:type="dxa"/>
                  <w:vAlign w:val="center"/>
                </w:tcPr>
                <w:p>
                  <w:pPr>
                    <w:jc w:val="center"/>
                    <w:rPr>
                      <w:b/>
                      <w:szCs w:val="21"/>
                    </w:rPr>
                  </w:pPr>
                  <w:r>
                    <w:rPr>
                      <w:b/>
                      <w:szCs w:val="21"/>
                    </w:rPr>
                    <w:t>昼间</w:t>
                  </w:r>
                </w:p>
              </w:tc>
              <w:tc>
                <w:tcPr>
                  <w:tcW w:w="1449" w:type="dxa"/>
                  <w:vAlign w:val="center"/>
                </w:tcPr>
                <w:p>
                  <w:pPr>
                    <w:jc w:val="center"/>
                    <w:rPr>
                      <w:b/>
                      <w:szCs w:val="21"/>
                    </w:rPr>
                  </w:pPr>
                  <w:r>
                    <w:rPr>
                      <w:b/>
                      <w:szCs w:val="21"/>
                    </w:rPr>
                    <w:t>夜间</w:t>
                  </w:r>
                </w:p>
              </w:tc>
              <w:tc>
                <w:tcPr>
                  <w:tcW w:w="3492" w:type="dxa"/>
                  <w:vAlign w:val="center"/>
                </w:tcPr>
                <w:p>
                  <w:pPr>
                    <w:jc w:val="center"/>
                    <w:rPr>
                      <w:b/>
                      <w:szCs w:val="21"/>
                    </w:rPr>
                  </w:pPr>
                  <w:r>
                    <w:rPr>
                      <w:rFonts w:hint="eastAsia"/>
                      <w:b/>
                      <w:szCs w:val="21"/>
                    </w:rPr>
                    <w:t>限值</w:t>
                  </w:r>
                  <w:r>
                    <w:rPr>
                      <w:b/>
                      <w:szCs w:val="21"/>
                    </w:rPr>
                    <w:t>来源</w:t>
                  </w:r>
                </w:p>
              </w:tc>
            </w:tr>
            <w:tr>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108" w:type="dxa"/>
                  <w:bottom w:w="0" w:type="dxa"/>
                  <w:right w:w="108" w:type="dxa"/>
                </w:tblCellMar>
              </w:tblPrEx>
              <w:trPr>
                <w:cantSplit/>
                <w:trHeight w:val="404" w:hRule="atLeast"/>
                <w:jc w:val="center"/>
              </w:trPr>
              <w:tc>
                <w:tcPr>
                  <w:tcW w:w="1538" w:type="dxa"/>
                  <w:vAlign w:val="center"/>
                </w:tcPr>
                <w:p>
                  <w:pPr>
                    <w:jc w:val="center"/>
                    <w:rPr>
                      <w:szCs w:val="21"/>
                    </w:rPr>
                  </w:pPr>
                  <w:r>
                    <w:rPr>
                      <w:rFonts w:hint="eastAsia"/>
                      <w:szCs w:val="21"/>
                    </w:rPr>
                    <w:t>2</w:t>
                  </w:r>
                  <w:r>
                    <w:rPr>
                      <w:szCs w:val="21"/>
                    </w:rPr>
                    <w:t>类</w:t>
                  </w:r>
                  <w:r>
                    <w:rPr>
                      <w:rFonts w:hint="eastAsia"/>
                      <w:szCs w:val="21"/>
                    </w:rPr>
                    <w:t>区</w:t>
                  </w:r>
                </w:p>
              </w:tc>
              <w:tc>
                <w:tcPr>
                  <w:tcW w:w="1336" w:type="dxa"/>
                  <w:vAlign w:val="center"/>
                </w:tcPr>
                <w:p>
                  <w:pPr>
                    <w:jc w:val="center"/>
                    <w:rPr>
                      <w:szCs w:val="21"/>
                    </w:rPr>
                  </w:pPr>
                  <w:r>
                    <w:rPr>
                      <w:rFonts w:hint="eastAsia"/>
                      <w:szCs w:val="21"/>
                    </w:rPr>
                    <w:t>60</w:t>
                  </w:r>
                </w:p>
              </w:tc>
              <w:tc>
                <w:tcPr>
                  <w:tcW w:w="1449" w:type="dxa"/>
                  <w:vAlign w:val="center"/>
                </w:tcPr>
                <w:p>
                  <w:pPr>
                    <w:jc w:val="center"/>
                    <w:rPr>
                      <w:szCs w:val="21"/>
                    </w:rPr>
                  </w:pPr>
                  <w:r>
                    <w:rPr>
                      <w:rFonts w:hint="eastAsia"/>
                      <w:szCs w:val="21"/>
                    </w:rPr>
                    <w:t>50</w:t>
                  </w:r>
                </w:p>
              </w:tc>
              <w:tc>
                <w:tcPr>
                  <w:tcW w:w="3492" w:type="dxa"/>
                  <w:vMerge w:val="restart"/>
                  <w:vAlign w:val="center"/>
                </w:tcPr>
                <w:p>
                  <w:pPr>
                    <w:jc w:val="center"/>
                    <w:rPr>
                      <w:szCs w:val="21"/>
                    </w:rPr>
                  </w:pPr>
                  <w:r>
                    <w:rPr>
                      <w:szCs w:val="21"/>
                    </w:rPr>
                    <w:t>《声环境质量标准》（GB3096-2008）</w:t>
                  </w:r>
                </w:p>
              </w:tc>
            </w:tr>
            <w:tr>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108" w:type="dxa"/>
                  <w:bottom w:w="0" w:type="dxa"/>
                  <w:right w:w="108" w:type="dxa"/>
                </w:tblCellMar>
              </w:tblPrEx>
              <w:trPr>
                <w:cantSplit/>
                <w:trHeight w:val="404" w:hRule="atLeast"/>
                <w:jc w:val="center"/>
              </w:trPr>
              <w:tc>
                <w:tcPr>
                  <w:tcW w:w="1538" w:type="dxa"/>
                  <w:vAlign w:val="center"/>
                </w:tcPr>
                <w:p>
                  <w:pPr>
                    <w:jc w:val="center"/>
                    <w:rPr>
                      <w:szCs w:val="21"/>
                    </w:rPr>
                  </w:pPr>
                  <w:r>
                    <w:rPr>
                      <w:rFonts w:hint="eastAsia"/>
                      <w:szCs w:val="21"/>
                    </w:rPr>
                    <w:t>3类区</w:t>
                  </w:r>
                </w:p>
              </w:tc>
              <w:tc>
                <w:tcPr>
                  <w:tcW w:w="1336" w:type="dxa"/>
                  <w:vAlign w:val="center"/>
                </w:tcPr>
                <w:p>
                  <w:pPr>
                    <w:jc w:val="center"/>
                    <w:rPr>
                      <w:szCs w:val="21"/>
                    </w:rPr>
                  </w:pPr>
                  <w:r>
                    <w:rPr>
                      <w:rFonts w:hint="eastAsia"/>
                      <w:szCs w:val="21"/>
                    </w:rPr>
                    <w:t>65</w:t>
                  </w:r>
                </w:p>
              </w:tc>
              <w:tc>
                <w:tcPr>
                  <w:tcW w:w="1449" w:type="dxa"/>
                  <w:vAlign w:val="center"/>
                </w:tcPr>
                <w:p>
                  <w:pPr>
                    <w:jc w:val="center"/>
                    <w:rPr>
                      <w:szCs w:val="21"/>
                    </w:rPr>
                  </w:pPr>
                  <w:r>
                    <w:rPr>
                      <w:rFonts w:hint="eastAsia"/>
                      <w:szCs w:val="21"/>
                    </w:rPr>
                    <w:t>55</w:t>
                  </w:r>
                </w:p>
              </w:tc>
              <w:tc>
                <w:tcPr>
                  <w:tcW w:w="3492" w:type="dxa"/>
                  <w:vMerge w:val="continue"/>
                  <w:vAlign w:val="center"/>
                </w:tcPr>
                <w:p>
                  <w:pPr>
                    <w:jc w:val="center"/>
                    <w:rPr>
                      <w:szCs w:val="21"/>
                    </w:rPr>
                  </w:pPr>
                </w:p>
              </w:tc>
            </w:tr>
          </w:tbl>
          <w:p>
            <w:pPr>
              <w:snapToGrid w:val="0"/>
              <w:jc w:val="center"/>
              <w:rPr>
                <w:b/>
                <w:szCs w:val="21"/>
              </w:rPr>
            </w:pPr>
          </w:p>
          <w:p>
            <w:pPr>
              <w:snapToGrid w:val="0"/>
              <w:rPr>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3735" w:hRule="atLeast"/>
          <w:jc w:val="center"/>
        </w:trPr>
        <w:tc>
          <w:tcPr>
            <w:tcW w:w="497" w:type="dxa"/>
            <w:vAlign w:val="center"/>
          </w:tcPr>
          <w:p>
            <w:pPr>
              <w:snapToGrid w:val="0"/>
              <w:jc w:val="center"/>
              <w:rPr>
                <w:sz w:val="24"/>
              </w:rPr>
            </w:pPr>
            <w:r>
              <w:rPr>
                <w:sz w:val="24"/>
              </w:rPr>
              <w:t>污</w:t>
            </w:r>
          </w:p>
          <w:p>
            <w:pPr>
              <w:snapToGrid w:val="0"/>
              <w:jc w:val="center"/>
              <w:rPr>
                <w:sz w:val="24"/>
              </w:rPr>
            </w:pPr>
          </w:p>
          <w:p>
            <w:pPr>
              <w:snapToGrid w:val="0"/>
              <w:jc w:val="center"/>
              <w:rPr>
                <w:sz w:val="24"/>
              </w:rPr>
            </w:pPr>
            <w:r>
              <w:rPr>
                <w:sz w:val="24"/>
              </w:rPr>
              <w:t>染</w:t>
            </w:r>
          </w:p>
          <w:p>
            <w:pPr>
              <w:snapToGrid w:val="0"/>
              <w:jc w:val="center"/>
              <w:rPr>
                <w:sz w:val="24"/>
              </w:rPr>
            </w:pPr>
          </w:p>
          <w:p>
            <w:pPr>
              <w:snapToGrid w:val="0"/>
              <w:jc w:val="center"/>
              <w:rPr>
                <w:sz w:val="24"/>
              </w:rPr>
            </w:pPr>
            <w:r>
              <w:rPr>
                <w:sz w:val="24"/>
              </w:rPr>
              <w:t>物</w:t>
            </w:r>
          </w:p>
          <w:p>
            <w:pPr>
              <w:snapToGrid w:val="0"/>
              <w:jc w:val="center"/>
              <w:rPr>
                <w:sz w:val="24"/>
              </w:rPr>
            </w:pPr>
          </w:p>
          <w:p>
            <w:pPr>
              <w:snapToGrid w:val="0"/>
              <w:jc w:val="center"/>
              <w:rPr>
                <w:sz w:val="24"/>
              </w:rPr>
            </w:pPr>
            <w:r>
              <w:rPr>
                <w:sz w:val="24"/>
              </w:rPr>
              <w:t>排</w:t>
            </w:r>
          </w:p>
          <w:p>
            <w:pPr>
              <w:snapToGrid w:val="0"/>
              <w:jc w:val="center"/>
              <w:rPr>
                <w:sz w:val="24"/>
              </w:rPr>
            </w:pPr>
          </w:p>
          <w:p>
            <w:pPr>
              <w:snapToGrid w:val="0"/>
              <w:jc w:val="center"/>
              <w:rPr>
                <w:sz w:val="24"/>
              </w:rPr>
            </w:pPr>
            <w:r>
              <w:rPr>
                <w:sz w:val="24"/>
              </w:rPr>
              <w:t>放</w:t>
            </w:r>
          </w:p>
          <w:p>
            <w:pPr>
              <w:snapToGrid w:val="0"/>
              <w:jc w:val="center"/>
              <w:rPr>
                <w:sz w:val="24"/>
              </w:rPr>
            </w:pPr>
          </w:p>
          <w:p>
            <w:pPr>
              <w:snapToGrid w:val="0"/>
              <w:jc w:val="center"/>
              <w:rPr>
                <w:sz w:val="24"/>
              </w:rPr>
            </w:pPr>
            <w:r>
              <w:rPr>
                <w:sz w:val="24"/>
              </w:rPr>
              <w:t>标</w:t>
            </w:r>
          </w:p>
          <w:p>
            <w:pPr>
              <w:snapToGrid w:val="0"/>
              <w:jc w:val="center"/>
              <w:rPr>
                <w:sz w:val="24"/>
              </w:rPr>
            </w:pPr>
          </w:p>
          <w:p>
            <w:pPr>
              <w:snapToGrid w:val="0"/>
              <w:jc w:val="center"/>
              <w:rPr>
                <w:sz w:val="24"/>
              </w:rPr>
            </w:pPr>
            <w:r>
              <w:rPr>
                <w:sz w:val="24"/>
              </w:rPr>
              <w:t>准</w:t>
            </w:r>
          </w:p>
        </w:tc>
        <w:tc>
          <w:tcPr>
            <w:tcW w:w="8031" w:type="dxa"/>
            <w:vAlign w:val="center"/>
          </w:tcPr>
          <w:p>
            <w:pPr>
              <w:spacing w:line="360" w:lineRule="auto"/>
              <w:ind w:firstLine="480" w:firstLineChars="200"/>
              <w:rPr>
                <w:b/>
                <w:color w:val="FF0000"/>
                <w:sz w:val="24"/>
                <w:szCs w:val="24"/>
              </w:rPr>
            </w:pPr>
            <w:r>
              <w:rPr>
                <w:b/>
                <w:color w:val="FF0000"/>
                <w:sz w:val="24"/>
                <w:szCs w:val="24"/>
              </w:rPr>
              <w:t>1、废气排放标准</w:t>
            </w:r>
          </w:p>
          <w:p>
            <w:pPr>
              <w:spacing w:line="360" w:lineRule="auto"/>
              <w:ind w:firstLine="480" w:firstLineChars="200"/>
              <w:rPr>
                <w:rFonts w:hint="eastAsia"/>
                <w:sz w:val="24"/>
              </w:rPr>
            </w:pPr>
            <w:r>
              <w:rPr>
                <w:rFonts w:hint="eastAsia"/>
                <w:sz w:val="24"/>
              </w:rPr>
              <w:t>本项目有组织颗粒物、非甲烷总烃排放执行《合成树脂工业污染物排放标准》（DB37/2375-2013）中表</w:t>
            </w:r>
            <w:r>
              <w:rPr>
                <w:rFonts w:hint="eastAsia"/>
                <w:sz w:val="24"/>
                <w:lang w:val="en-US" w:eastAsia="zh-CN"/>
              </w:rPr>
              <w:t>5中</w:t>
            </w:r>
            <w:r>
              <w:rPr>
                <w:rFonts w:hint="eastAsia"/>
                <w:sz w:val="24"/>
              </w:rPr>
              <w:t>标准；无组织排放颗粒物、非甲烷总烃执行《合成树脂工业污染物排放标准》（GB31572-2015）表9中企业边界大气污染物浓度限值；厂区内非甲烷总烃无组织排放执行《挥发性有机物无组织排放控制标准》中附录A表A.1中特别排放限值；详见表4-4和表4-5。</w:t>
            </w:r>
          </w:p>
          <w:p>
            <w:pPr>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表4-4  大气污染物排放限值表</w:t>
            </w:r>
          </w:p>
          <w:tbl>
            <w:tblPr>
              <w:tblStyle w:val="56"/>
              <w:tblW w:w="7815" w:type="dxa"/>
              <w:jc w:val="center"/>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Layout w:type="fixed"/>
              <w:tblCellMar>
                <w:top w:w="0" w:type="dxa"/>
                <w:left w:w="28" w:type="dxa"/>
                <w:bottom w:w="0" w:type="dxa"/>
                <w:right w:w="28" w:type="dxa"/>
              </w:tblCellMar>
            </w:tblPr>
            <w:tblGrid>
              <w:gridCol w:w="917"/>
              <w:gridCol w:w="1070"/>
              <w:gridCol w:w="840"/>
              <w:gridCol w:w="810"/>
              <w:gridCol w:w="1143"/>
              <w:gridCol w:w="858"/>
              <w:gridCol w:w="2177"/>
            </w:tblGrid>
            <w:tr>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28" w:type="dxa"/>
                  <w:bottom w:w="0" w:type="dxa"/>
                  <w:right w:w="28" w:type="dxa"/>
                </w:tblCellMar>
              </w:tblPrEx>
              <w:trPr>
                <w:trHeight w:val="443" w:hRule="atLeast"/>
                <w:jc w:val="center"/>
              </w:trPr>
              <w:tc>
                <w:tcPr>
                  <w:tcW w:w="917" w:type="dxa"/>
                  <w:vMerge w:val="restart"/>
                  <w:vAlign w:val="center"/>
                </w:tcPr>
                <w:p>
                  <w:pPr>
                    <w:adjustRightInd w:val="0"/>
                    <w:snapToGrid w:val="0"/>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污染物</w:t>
                  </w:r>
                </w:p>
              </w:tc>
              <w:tc>
                <w:tcPr>
                  <w:tcW w:w="1070" w:type="dxa"/>
                  <w:vMerge w:val="restart"/>
                  <w:vAlign w:val="center"/>
                </w:tcPr>
                <w:p>
                  <w:pPr>
                    <w:adjustRightInd w:val="0"/>
                    <w:snapToGrid w:val="0"/>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最高允许排放浓度mg/m</w:t>
                  </w:r>
                  <w:r>
                    <w:rPr>
                      <w:b/>
                      <w:color w:val="000000" w:themeColor="text1"/>
                      <w:szCs w:val="21"/>
                      <w:vertAlign w:val="superscript"/>
                      <w14:textFill>
                        <w14:solidFill>
                          <w14:schemeClr w14:val="tx1"/>
                        </w14:solidFill>
                      </w14:textFill>
                    </w:rPr>
                    <w:t>3</w:t>
                  </w:r>
                </w:p>
              </w:tc>
              <w:tc>
                <w:tcPr>
                  <w:tcW w:w="1650" w:type="dxa"/>
                  <w:gridSpan w:val="2"/>
                  <w:vAlign w:val="center"/>
                </w:tcPr>
                <w:p>
                  <w:pPr>
                    <w:adjustRightInd w:val="0"/>
                    <w:snapToGrid w:val="0"/>
                    <w:jc w:val="center"/>
                    <w:rPr>
                      <w:b/>
                      <w:color w:val="000000" w:themeColor="text1"/>
                      <w:szCs w:val="21"/>
                      <w:vertAlign w:val="superscript"/>
                      <w14:textFill>
                        <w14:solidFill>
                          <w14:schemeClr w14:val="tx1"/>
                        </w14:solidFill>
                      </w14:textFill>
                    </w:rPr>
                  </w:pPr>
                  <w:r>
                    <w:rPr>
                      <w:b/>
                      <w:color w:val="000000" w:themeColor="text1"/>
                      <w:szCs w:val="21"/>
                      <w14:textFill>
                        <w14:solidFill>
                          <w14:schemeClr w14:val="tx1"/>
                        </w14:solidFill>
                      </w14:textFill>
                    </w:rPr>
                    <w:t>最高允许排放速率kg/h</w:t>
                  </w:r>
                </w:p>
              </w:tc>
              <w:tc>
                <w:tcPr>
                  <w:tcW w:w="2001" w:type="dxa"/>
                  <w:gridSpan w:val="2"/>
                  <w:vAlign w:val="center"/>
                </w:tcPr>
                <w:p>
                  <w:pPr>
                    <w:adjustRightInd w:val="0"/>
                    <w:snapToGrid w:val="0"/>
                    <w:jc w:val="center"/>
                    <w:rPr>
                      <w:b/>
                      <w:color w:val="000000" w:themeColor="text1"/>
                      <w:szCs w:val="21"/>
                      <w:vertAlign w:val="superscript"/>
                      <w14:textFill>
                        <w14:solidFill>
                          <w14:schemeClr w14:val="tx1"/>
                        </w14:solidFill>
                      </w14:textFill>
                    </w:rPr>
                  </w:pPr>
                  <w:r>
                    <w:rPr>
                      <w:b/>
                      <w:color w:val="000000" w:themeColor="text1"/>
                      <w:szCs w:val="21"/>
                      <w14:textFill>
                        <w14:solidFill>
                          <w14:schemeClr w14:val="tx1"/>
                        </w14:solidFill>
                      </w14:textFill>
                    </w:rPr>
                    <w:t>无组织排放监控浓度限值</w:t>
                  </w:r>
                </w:p>
              </w:tc>
              <w:tc>
                <w:tcPr>
                  <w:tcW w:w="2177" w:type="dxa"/>
                  <w:vMerge w:val="restart"/>
                  <w:vAlign w:val="center"/>
                </w:tcPr>
                <w:p>
                  <w:pPr>
                    <w:adjustRightInd w:val="0"/>
                    <w:snapToGrid w:val="0"/>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标准来源</w:t>
                  </w:r>
                </w:p>
              </w:tc>
            </w:tr>
            <w:tr>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28" w:type="dxa"/>
                  <w:bottom w:w="0" w:type="dxa"/>
                  <w:right w:w="28" w:type="dxa"/>
                </w:tblCellMar>
              </w:tblPrEx>
              <w:trPr>
                <w:trHeight w:val="442" w:hRule="atLeast"/>
                <w:jc w:val="center"/>
              </w:trPr>
              <w:tc>
                <w:tcPr>
                  <w:tcW w:w="917" w:type="dxa"/>
                  <w:vMerge w:val="continue"/>
                  <w:vAlign w:val="center"/>
                </w:tcPr>
                <w:p>
                  <w:pPr>
                    <w:rPr>
                      <w:color w:val="000000" w:themeColor="text1"/>
                      <w14:textFill>
                        <w14:solidFill>
                          <w14:schemeClr w14:val="tx1"/>
                        </w14:solidFill>
                      </w14:textFill>
                    </w:rPr>
                  </w:pPr>
                </w:p>
              </w:tc>
              <w:tc>
                <w:tcPr>
                  <w:tcW w:w="1070" w:type="dxa"/>
                  <w:vMerge w:val="continue"/>
                  <w:vAlign w:val="center"/>
                </w:tcPr>
                <w:p>
                  <w:pPr>
                    <w:rPr>
                      <w:color w:val="000000" w:themeColor="text1"/>
                      <w14:textFill>
                        <w14:solidFill>
                          <w14:schemeClr w14:val="tx1"/>
                        </w14:solidFill>
                      </w14:textFill>
                    </w:rPr>
                  </w:pPr>
                </w:p>
              </w:tc>
              <w:tc>
                <w:tcPr>
                  <w:tcW w:w="840" w:type="dxa"/>
                  <w:vAlign w:val="center"/>
                </w:tcPr>
                <w:p>
                  <w:pPr>
                    <w:adjustRightInd w:val="0"/>
                    <w:snapToGrid w:val="0"/>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排气筒</w:t>
                  </w:r>
                </w:p>
              </w:tc>
              <w:tc>
                <w:tcPr>
                  <w:tcW w:w="810" w:type="dxa"/>
                  <w:vAlign w:val="center"/>
                </w:tcPr>
                <w:p>
                  <w:pPr>
                    <w:adjustRightInd w:val="0"/>
                    <w:snapToGrid w:val="0"/>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二级</w:t>
                  </w:r>
                </w:p>
              </w:tc>
              <w:tc>
                <w:tcPr>
                  <w:tcW w:w="1143" w:type="dxa"/>
                  <w:vAlign w:val="center"/>
                </w:tcPr>
                <w:p>
                  <w:pPr>
                    <w:adjustRightInd w:val="0"/>
                    <w:snapToGrid w:val="0"/>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监控点</w:t>
                  </w:r>
                </w:p>
              </w:tc>
              <w:tc>
                <w:tcPr>
                  <w:tcW w:w="858" w:type="dxa"/>
                  <w:vAlign w:val="center"/>
                </w:tcPr>
                <w:p>
                  <w:pPr>
                    <w:adjustRightInd w:val="0"/>
                    <w:snapToGrid w:val="0"/>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浓度mg/m</w:t>
                  </w:r>
                  <w:r>
                    <w:rPr>
                      <w:b/>
                      <w:color w:val="000000" w:themeColor="text1"/>
                      <w:szCs w:val="21"/>
                      <w:vertAlign w:val="superscript"/>
                      <w14:textFill>
                        <w14:solidFill>
                          <w14:schemeClr w14:val="tx1"/>
                        </w14:solidFill>
                      </w14:textFill>
                    </w:rPr>
                    <w:t>3</w:t>
                  </w:r>
                </w:p>
              </w:tc>
              <w:tc>
                <w:tcPr>
                  <w:tcW w:w="2177" w:type="dxa"/>
                  <w:vMerge w:val="continue"/>
                  <w:vAlign w:val="center"/>
                </w:tcPr>
                <w:p>
                  <w:pPr>
                    <w:rPr>
                      <w:color w:val="000000" w:themeColor="text1"/>
                      <w14:textFill>
                        <w14:solidFill>
                          <w14:schemeClr w14:val="tx1"/>
                        </w14:solidFill>
                      </w14:textFill>
                    </w:rPr>
                  </w:pPr>
                </w:p>
              </w:tc>
            </w:tr>
            <w:tr>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28" w:type="dxa"/>
                  <w:bottom w:w="0" w:type="dxa"/>
                  <w:right w:w="28" w:type="dxa"/>
                </w:tblCellMar>
              </w:tblPrEx>
              <w:trPr>
                <w:trHeight w:val="340" w:hRule="atLeast"/>
                <w:jc w:val="center"/>
              </w:trPr>
              <w:tc>
                <w:tcPr>
                  <w:tcW w:w="917" w:type="dxa"/>
                  <w:vAlign w:val="center"/>
                </w:tcPr>
                <w:p>
                  <w:pPr>
                    <w:adjustRightInd w:val="0"/>
                    <w:snapToGrid w:val="0"/>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颗粒物</w:t>
                  </w:r>
                </w:p>
              </w:tc>
              <w:tc>
                <w:tcPr>
                  <w:tcW w:w="1070" w:type="dxa"/>
                  <w:vAlign w:val="center"/>
                </w:tcPr>
                <w:p>
                  <w:pPr>
                    <w:adjustRightInd w:val="0"/>
                    <w:snapToGrid w:val="0"/>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20</w:t>
                  </w:r>
                </w:p>
              </w:tc>
              <w:tc>
                <w:tcPr>
                  <w:tcW w:w="840" w:type="dxa"/>
                  <w:vAlign w:val="center"/>
                </w:tcPr>
                <w:p>
                  <w:pPr>
                    <w:snapToGrid w:val="0"/>
                    <w:ind w:left="-105" w:leftChars="-50" w:right="-105" w:rightChars="-50"/>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15</w:t>
                  </w:r>
                </w:p>
              </w:tc>
              <w:tc>
                <w:tcPr>
                  <w:tcW w:w="810" w:type="dxa"/>
                  <w:vAlign w:val="center"/>
                </w:tcPr>
                <w:p>
                  <w:pPr>
                    <w:adjustRightInd w:val="0"/>
                    <w:snapToGrid w:val="0"/>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w:t>
                  </w:r>
                </w:p>
              </w:tc>
              <w:tc>
                <w:tcPr>
                  <w:tcW w:w="1143" w:type="dxa"/>
                  <w:vAlign w:val="center"/>
                </w:tcPr>
                <w:p>
                  <w:pPr>
                    <w:snapToGrid w:val="0"/>
                    <w:ind w:left="-105" w:leftChars="-50" w:right="-105" w:rightChars="-50"/>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周界外浓</w:t>
                  </w:r>
                </w:p>
                <w:p>
                  <w:pPr>
                    <w:snapToGrid w:val="0"/>
                    <w:ind w:left="-105" w:leftChars="-50" w:right="-105" w:rightChars="-50"/>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度最高点</w:t>
                  </w:r>
                </w:p>
              </w:tc>
              <w:tc>
                <w:tcPr>
                  <w:tcW w:w="858" w:type="dxa"/>
                  <w:vAlign w:val="center"/>
                </w:tcPr>
                <w:p>
                  <w:pPr>
                    <w:adjustRightInd w:val="0"/>
                    <w:snapToGrid w:val="0"/>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1.0</w:t>
                  </w:r>
                </w:p>
              </w:tc>
              <w:tc>
                <w:tcPr>
                  <w:tcW w:w="2177" w:type="dxa"/>
                  <w:vMerge w:val="restart"/>
                  <w:vAlign w:val="center"/>
                </w:tcPr>
                <w:p>
                  <w:pPr>
                    <w:adjustRightInd w:val="0"/>
                    <w:snapToGrid w:val="0"/>
                    <w:rPr>
                      <w:color w:val="000000" w:themeColor="text1"/>
                      <w:szCs w:val="21"/>
                      <w14:textFill>
                        <w14:solidFill>
                          <w14:schemeClr w14:val="tx1"/>
                        </w14:solidFill>
                      </w14:textFill>
                    </w:rPr>
                  </w:pPr>
                  <w:r>
                    <w:rPr>
                      <w:color w:val="000000" w:themeColor="text1"/>
                      <w:szCs w:val="21"/>
                      <w14:textFill>
                        <w14:solidFill>
                          <w14:schemeClr w14:val="tx1"/>
                        </w14:solidFill>
                      </w14:textFill>
                    </w:rPr>
                    <w:t>《合成树脂工业污染物排放标准》（GB31572- 2015）中表5和表9标准限值</w:t>
                  </w:r>
                </w:p>
              </w:tc>
            </w:tr>
            <w:tr>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28" w:type="dxa"/>
                  <w:bottom w:w="0" w:type="dxa"/>
                  <w:right w:w="28" w:type="dxa"/>
                </w:tblCellMar>
              </w:tblPrEx>
              <w:trPr>
                <w:trHeight w:val="340" w:hRule="atLeast"/>
                <w:jc w:val="center"/>
              </w:trPr>
              <w:tc>
                <w:tcPr>
                  <w:tcW w:w="917" w:type="dxa"/>
                  <w:vAlign w:val="center"/>
                </w:tcPr>
                <w:p>
                  <w:pPr>
                    <w:adjustRightInd w:val="0"/>
                    <w:snapToGrid w:val="0"/>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非甲烷总烃</w:t>
                  </w:r>
                </w:p>
              </w:tc>
              <w:tc>
                <w:tcPr>
                  <w:tcW w:w="1070" w:type="dxa"/>
                  <w:vAlign w:val="center"/>
                </w:tcPr>
                <w:p>
                  <w:pPr>
                    <w:adjustRightInd w:val="0"/>
                    <w:snapToGrid w:val="0"/>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60</w:t>
                  </w:r>
                </w:p>
              </w:tc>
              <w:tc>
                <w:tcPr>
                  <w:tcW w:w="840" w:type="dxa"/>
                  <w:vAlign w:val="center"/>
                </w:tcPr>
                <w:p>
                  <w:pPr>
                    <w:snapToGrid w:val="0"/>
                    <w:ind w:left="-105" w:leftChars="-50" w:right="-105" w:rightChars="-50"/>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15</w:t>
                  </w:r>
                </w:p>
              </w:tc>
              <w:tc>
                <w:tcPr>
                  <w:tcW w:w="810" w:type="dxa"/>
                  <w:vAlign w:val="center"/>
                </w:tcPr>
                <w:p>
                  <w:pPr>
                    <w:adjustRightInd w:val="0"/>
                    <w:snapToGrid w:val="0"/>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w:t>
                  </w:r>
                </w:p>
              </w:tc>
              <w:tc>
                <w:tcPr>
                  <w:tcW w:w="1143" w:type="dxa"/>
                  <w:vAlign w:val="center"/>
                </w:tcPr>
                <w:p>
                  <w:pPr>
                    <w:snapToGrid w:val="0"/>
                    <w:ind w:left="-105" w:leftChars="-50" w:right="-105" w:rightChars="-50"/>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周界外浓</w:t>
                  </w:r>
                </w:p>
                <w:p>
                  <w:pPr>
                    <w:snapToGrid w:val="0"/>
                    <w:ind w:left="-105" w:leftChars="-50" w:right="-105" w:rightChars="-50"/>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度最高点</w:t>
                  </w:r>
                </w:p>
              </w:tc>
              <w:tc>
                <w:tcPr>
                  <w:tcW w:w="858" w:type="dxa"/>
                  <w:vAlign w:val="center"/>
                </w:tcPr>
                <w:p>
                  <w:pPr>
                    <w:adjustRightInd w:val="0"/>
                    <w:snapToGrid w:val="0"/>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4.0</w:t>
                  </w:r>
                </w:p>
              </w:tc>
              <w:tc>
                <w:tcPr>
                  <w:tcW w:w="2177" w:type="dxa"/>
                  <w:vMerge w:val="continue"/>
                  <w:vAlign w:val="center"/>
                </w:tcPr>
                <w:p>
                  <w:pPr>
                    <w:adjustRightInd w:val="0"/>
                    <w:snapToGrid w:val="0"/>
                    <w:rPr>
                      <w:color w:val="000000" w:themeColor="text1"/>
                      <w:szCs w:val="21"/>
                      <w14:textFill>
                        <w14:solidFill>
                          <w14:schemeClr w14:val="tx1"/>
                        </w14:solidFill>
                      </w14:textFill>
                    </w:rPr>
                  </w:pPr>
                </w:p>
              </w:tc>
            </w:tr>
            <w:tr>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28" w:type="dxa"/>
                  <w:bottom w:w="0" w:type="dxa"/>
                  <w:right w:w="28" w:type="dxa"/>
                </w:tblCellMar>
              </w:tblPrEx>
              <w:trPr>
                <w:trHeight w:val="340" w:hRule="atLeast"/>
                <w:jc w:val="center"/>
              </w:trPr>
              <w:tc>
                <w:tcPr>
                  <w:tcW w:w="917" w:type="dxa"/>
                  <w:vAlign w:val="center"/>
                </w:tcPr>
                <w:p>
                  <w:pPr>
                    <w:adjustRightInd w:val="0"/>
                    <w:snapToGrid w:val="0"/>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单位产品非甲烷总烃排放量kg/t</w:t>
                  </w:r>
                </w:p>
              </w:tc>
              <w:tc>
                <w:tcPr>
                  <w:tcW w:w="4721" w:type="dxa"/>
                  <w:gridSpan w:val="5"/>
                  <w:vAlign w:val="center"/>
                </w:tcPr>
                <w:p>
                  <w:pPr>
                    <w:adjustRightInd w:val="0"/>
                    <w:snapToGrid w:val="0"/>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0.3</w:t>
                  </w:r>
                </w:p>
              </w:tc>
              <w:tc>
                <w:tcPr>
                  <w:tcW w:w="2177" w:type="dxa"/>
                  <w:vMerge w:val="continue"/>
                  <w:vAlign w:val="center"/>
                </w:tcPr>
                <w:p>
                  <w:pPr>
                    <w:adjustRightInd w:val="0"/>
                    <w:snapToGrid w:val="0"/>
                    <w:rPr>
                      <w:color w:val="000000" w:themeColor="text1"/>
                      <w:szCs w:val="21"/>
                      <w14:textFill>
                        <w14:solidFill>
                          <w14:schemeClr w14:val="tx1"/>
                        </w14:solidFill>
                      </w14:textFill>
                    </w:rPr>
                  </w:pPr>
                </w:p>
              </w:tc>
            </w:tr>
            <w:tr>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28" w:type="dxa"/>
                  <w:bottom w:w="0" w:type="dxa"/>
                  <w:right w:w="28" w:type="dxa"/>
                </w:tblCellMar>
              </w:tblPrEx>
              <w:trPr>
                <w:trHeight w:val="340" w:hRule="atLeast"/>
                <w:jc w:val="center"/>
              </w:trPr>
              <w:tc>
                <w:tcPr>
                  <w:tcW w:w="917" w:type="dxa"/>
                  <w:vAlign w:val="center"/>
                </w:tcPr>
                <w:p>
                  <w:pPr>
                    <w:adjustRightInd w:val="0"/>
                    <w:snapToGrid w:val="0"/>
                    <w:jc w:val="center"/>
                    <w:rPr>
                      <w:rFonts w:hint="eastAsia"/>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单位产品</w:t>
                  </w:r>
                  <w:r>
                    <w:rPr>
                      <w:rFonts w:hint="eastAsia"/>
                      <w:color w:val="000000" w:themeColor="text1"/>
                      <w:szCs w:val="21"/>
                      <w:lang w:eastAsia="zh-CN"/>
                      <w14:textFill>
                        <w14:solidFill>
                          <w14:schemeClr w14:val="tx1"/>
                        </w14:solidFill>
                      </w14:textFill>
                    </w:rPr>
                    <w:t>氯化氢</w:t>
                  </w:r>
                  <w:r>
                    <w:rPr>
                      <w:rFonts w:hint="eastAsia"/>
                      <w:color w:val="000000" w:themeColor="text1"/>
                      <w:szCs w:val="21"/>
                      <w14:textFill>
                        <w14:solidFill>
                          <w14:schemeClr w14:val="tx1"/>
                        </w14:solidFill>
                      </w14:textFill>
                    </w:rPr>
                    <w:t>排放量kg/t</w:t>
                  </w:r>
                </w:p>
              </w:tc>
              <w:tc>
                <w:tcPr>
                  <w:tcW w:w="4721" w:type="dxa"/>
                  <w:gridSpan w:val="5"/>
                  <w:vAlign w:val="center"/>
                </w:tcPr>
                <w:p>
                  <w:pPr>
                    <w:adjustRightInd w:val="0"/>
                    <w:snapToGrid w:val="0"/>
                    <w:jc w:val="center"/>
                    <w:rPr>
                      <w:rFonts w:hint="default" w:eastAsia="宋体"/>
                      <w:color w:val="000000" w:themeColor="text1"/>
                      <w:szCs w:val="21"/>
                      <w:lang w:val="en-US" w:eastAsia="zh-CN"/>
                      <w14:textFill>
                        <w14:solidFill>
                          <w14:schemeClr w14:val="tx1"/>
                        </w14:solidFill>
                      </w14:textFill>
                    </w:rPr>
                  </w:pPr>
                  <w:r>
                    <w:rPr>
                      <w:rFonts w:hint="eastAsia"/>
                      <w:color w:val="000000" w:themeColor="text1"/>
                      <w:szCs w:val="21"/>
                      <w:lang w:val="en-US" w:eastAsia="zh-CN"/>
                      <w14:textFill>
                        <w14:solidFill>
                          <w14:schemeClr w14:val="tx1"/>
                        </w14:solidFill>
                      </w14:textFill>
                    </w:rPr>
                    <w:t>0.1</w:t>
                  </w:r>
                </w:p>
              </w:tc>
              <w:tc>
                <w:tcPr>
                  <w:tcW w:w="2177" w:type="dxa"/>
                  <w:vMerge w:val="continue"/>
                  <w:vAlign w:val="center"/>
                </w:tcPr>
                <w:p>
                  <w:pPr>
                    <w:adjustRightInd w:val="0"/>
                    <w:snapToGrid w:val="0"/>
                    <w:rPr>
                      <w:color w:val="000000" w:themeColor="text1"/>
                      <w:szCs w:val="21"/>
                      <w14:textFill>
                        <w14:solidFill>
                          <w14:schemeClr w14:val="tx1"/>
                        </w14:solidFill>
                      </w14:textFill>
                    </w:rPr>
                  </w:pPr>
                </w:p>
              </w:tc>
            </w:tr>
          </w:tbl>
          <w:p>
            <w:pPr>
              <w:jc w:val="center"/>
              <w:rPr>
                <w:b/>
                <w:color w:val="000000" w:themeColor="text1"/>
                <w:szCs w:val="21"/>
                <w14:textFill>
                  <w14:solidFill>
                    <w14:schemeClr w14:val="tx1"/>
                  </w14:solidFill>
                </w14:textFill>
              </w:rPr>
            </w:pPr>
            <w:r>
              <w:rPr>
                <w:rFonts w:hint="eastAsia"/>
                <w:b/>
                <w:color w:val="000000" w:themeColor="text1"/>
                <w:szCs w:val="21"/>
                <w14:textFill>
                  <w14:solidFill>
                    <w14:schemeClr w14:val="tx1"/>
                  </w14:solidFill>
                </w14:textFill>
              </w:rPr>
              <w:t>表4-5 厂区内VOCs无组织排放限值   单位：</w:t>
            </w:r>
            <w:r>
              <w:rPr>
                <w:b/>
                <w:color w:val="000000" w:themeColor="text1"/>
                <w:szCs w:val="21"/>
                <w14:textFill>
                  <w14:solidFill>
                    <w14:schemeClr w14:val="tx1"/>
                  </w14:solidFill>
                </w14:textFill>
              </w:rPr>
              <w:t>mg/m</w:t>
            </w:r>
            <w:r>
              <w:rPr>
                <w:b/>
                <w:color w:val="000000" w:themeColor="text1"/>
                <w:szCs w:val="21"/>
                <w:vertAlign w:val="superscript"/>
                <w14:textFill>
                  <w14:solidFill>
                    <w14:schemeClr w14:val="tx1"/>
                  </w14:solidFill>
                </w14:textFill>
              </w:rPr>
              <w:t>3</w:t>
            </w:r>
          </w:p>
          <w:tbl>
            <w:tblPr>
              <w:tblStyle w:val="57"/>
              <w:tblW w:w="7815" w:type="dxa"/>
              <w:tblInd w:w="5" w:type="dxa"/>
              <w:tblBorders>
                <w:top w:val="single" w:color="auto" w:sz="12" w:space="0"/>
                <w:left w:val="none" w:color="auto" w:sz="0" w:space="0"/>
                <w:bottom w:val="single" w:color="auto" w:sz="12"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
            <w:tblGrid>
              <w:gridCol w:w="1453"/>
              <w:gridCol w:w="1770"/>
              <w:gridCol w:w="2638"/>
              <w:gridCol w:w="1954"/>
            </w:tblGrid>
            <w:tr>
              <w:tblPrEx>
                <w:tblBorders>
                  <w:top w:val="single" w:color="auto" w:sz="12" w:space="0"/>
                  <w:left w:val="none" w:color="auto" w:sz="0" w:space="0"/>
                  <w:bottom w:val="single" w:color="auto" w:sz="12" w:space="0"/>
                  <w:right w:val="none" w:color="auto" w:sz="0" w:space="0"/>
                  <w:insideH w:val="single" w:color="auto" w:sz="2" w:space="0"/>
                  <w:insideV w:val="single" w:color="auto" w:sz="2" w:space="0"/>
                </w:tblBorders>
              </w:tblPrEx>
              <w:tc>
                <w:tcPr>
                  <w:tcW w:w="1453" w:type="dxa"/>
                  <w:tcBorders>
                    <w:tl2br w:val="nil"/>
                    <w:tr2bl w:val="nil"/>
                  </w:tcBorders>
                  <w:vAlign w:val="center"/>
                </w:tcPr>
                <w:p>
                  <w:pPr>
                    <w:pStyle w:val="21"/>
                    <w:spacing w:after="0"/>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污染物项目</w:t>
                  </w:r>
                </w:p>
              </w:tc>
              <w:tc>
                <w:tcPr>
                  <w:tcW w:w="1770" w:type="dxa"/>
                  <w:tcBorders>
                    <w:tl2br w:val="nil"/>
                    <w:tr2bl w:val="nil"/>
                  </w:tcBorders>
                  <w:vAlign w:val="center"/>
                </w:tcPr>
                <w:p>
                  <w:pPr>
                    <w:pStyle w:val="21"/>
                    <w:spacing w:after="0"/>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特别排放限值</w:t>
                  </w:r>
                </w:p>
              </w:tc>
              <w:tc>
                <w:tcPr>
                  <w:tcW w:w="2638" w:type="dxa"/>
                  <w:tcBorders>
                    <w:tl2br w:val="nil"/>
                    <w:tr2bl w:val="nil"/>
                  </w:tcBorders>
                  <w:vAlign w:val="center"/>
                </w:tcPr>
                <w:p>
                  <w:pPr>
                    <w:pStyle w:val="21"/>
                    <w:spacing w:after="0"/>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限值含义</w:t>
                  </w:r>
                </w:p>
              </w:tc>
              <w:tc>
                <w:tcPr>
                  <w:tcW w:w="1954" w:type="dxa"/>
                  <w:tcBorders>
                    <w:tl2br w:val="nil"/>
                    <w:tr2bl w:val="nil"/>
                  </w:tcBorders>
                  <w:vAlign w:val="center"/>
                </w:tcPr>
                <w:p>
                  <w:pPr>
                    <w:pStyle w:val="21"/>
                    <w:spacing w:after="0"/>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无组织排放监控点</w:t>
                  </w:r>
                </w:p>
              </w:tc>
            </w:tr>
            <w:tr>
              <w:tblPrEx>
                <w:tblBorders>
                  <w:top w:val="single" w:color="auto" w:sz="12" w:space="0"/>
                  <w:left w:val="none" w:color="auto" w:sz="0" w:space="0"/>
                  <w:bottom w:val="single" w:color="auto" w:sz="12"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90" w:hRule="atLeast"/>
              </w:trPr>
              <w:tc>
                <w:tcPr>
                  <w:tcW w:w="1453" w:type="dxa"/>
                  <w:vMerge w:val="restart"/>
                  <w:tcBorders>
                    <w:tl2br w:val="nil"/>
                    <w:tr2bl w:val="nil"/>
                  </w:tcBorders>
                  <w:vAlign w:val="center"/>
                </w:tcPr>
                <w:p>
                  <w:pPr>
                    <w:pStyle w:val="21"/>
                    <w:spacing w:after="0"/>
                    <w:jc w:val="center"/>
                    <w:rPr>
                      <w:bCs/>
                      <w:color w:val="000000" w:themeColor="text1"/>
                      <w:szCs w:val="21"/>
                      <w14:textFill>
                        <w14:solidFill>
                          <w14:schemeClr w14:val="tx1"/>
                        </w14:solidFill>
                      </w14:textFill>
                    </w:rPr>
                  </w:pPr>
                  <w:r>
                    <w:rPr>
                      <w:bCs/>
                      <w:color w:val="000000" w:themeColor="text1"/>
                      <w:szCs w:val="21"/>
                      <w14:textFill>
                        <w14:solidFill>
                          <w14:schemeClr w14:val="tx1"/>
                        </w14:solidFill>
                      </w14:textFill>
                    </w:rPr>
                    <w:t>非甲烷总烃（NMHC）</w:t>
                  </w:r>
                </w:p>
              </w:tc>
              <w:tc>
                <w:tcPr>
                  <w:tcW w:w="1770" w:type="dxa"/>
                  <w:tcBorders>
                    <w:tl2br w:val="nil"/>
                    <w:tr2bl w:val="nil"/>
                  </w:tcBorders>
                  <w:vAlign w:val="center"/>
                </w:tcPr>
                <w:p>
                  <w:pPr>
                    <w:pStyle w:val="21"/>
                    <w:spacing w:after="0"/>
                    <w:jc w:val="center"/>
                    <w:rPr>
                      <w:bCs/>
                      <w:color w:val="000000" w:themeColor="text1"/>
                      <w:szCs w:val="21"/>
                      <w14:textFill>
                        <w14:solidFill>
                          <w14:schemeClr w14:val="tx1"/>
                        </w14:solidFill>
                      </w14:textFill>
                    </w:rPr>
                  </w:pPr>
                  <w:r>
                    <w:rPr>
                      <w:bCs/>
                      <w:color w:val="000000" w:themeColor="text1"/>
                      <w:szCs w:val="21"/>
                      <w14:textFill>
                        <w14:solidFill>
                          <w14:schemeClr w14:val="tx1"/>
                        </w14:solidFill>
                      </w14:textFill>
                    </w:rPr>
                    <w:t>6</w:t>
                  </w:r>
                </w:p>
              </w:tc>
              <w:tc>
                <w:tcPr>
                  <w:tcW w:w="2638" w:type="dxa"/>
                  <w:tcBorders>
                    <w:tl2br w:val="nil"/>
                    <w:tr2bl w:val="nil"/>
                  </w:tcBorders>
                  <w:vAlign w:val="center"/>
                </w:tcPr>
                <w:p>
                  <w:pPr>
                    <w:pStyle w:val="21"/>
                    <w:spacing w:after="0"/>
                    <w:jc w:val="center"/>
                    <w:rPr>
                      <w:bCs/>
                      <w:color w:val="000000" w:themeColor="text1"/>
                      <w:szCs w:val="21"/>
                      <w14:textFill>
                        <w14:solidFill>
                          <w14:schemeClr w14:val="tx1"/>
                        </w14:solidFill>
                      </w14:textFill>
                    </w:rPr>
                  </w:pPr>
                  <w:r>
                    <w:rPr>
                      <w:bCs/>
                      <w:color w:val="000000" w:themeColor="text1"/>
                      <w:szCs w:val="21"/>
                      <w14:textFill>
                        <w14:solidFill>
                          <w14:schemeClr w14:val="tx1"/>
                        </w14:solidFill>
                      </w14:textFill>
                    </w:rPr>
                    <w:t>监控点处1h平均浓度值</w:t>
                  </w:r>
                </w:p>
              </w:tc>
              <w:tc>
                <w:tcPr>
                  <w:tcW w:w="1954" w:type="dxa"/>
                  <w:vMerge w:val="restart"/>
                  <w:tcBorders>
                    <w:tl2br w:val="nil"/>
                    <w:tr2bl w:val="nil"/>
                  </w:tcBorders>
                  <w:vAlign w:val="center"/>
                </w:tcPr>
                <w:p>
                  <w:pPr>
                    <w:pStyle w:val="21"/>
                    <w:spacing w:after="0"/>
                    <w:jc w:val="center"/>
                    <w:rPr>
                      <w:bCs/>
                      <w:color w:val="000000" w:themeColor="text1"/>
                      <w:szCs w:val="21"/>
                      <w14:textFill>
                        <w14:solidFill>
                          <w14:schemeClr w14:val="tx1"/>
                        </w14:solidFill>
                      </w14:textFill>
                    </w:rPr>
                  </w:pPr>
                  <w:r>
                    <w:rPr>
                      <w:bCs/>
                      <w:color w:val="000000" w:themeColor="text1"/>
                      <w:szCs w:val="21"/>
                      <w14:textFill>
                        <w14:solidFill>
                          <w14:schemeClr w14:val="tx1"/>
                        </w14:solidFill>
                      </w14:textFill>
                    </w:rPr>
                    <w:t>厂房外设置监控点</w:t>
                  </w:r>
                </w:p>
              </w:tc>
            </w:tr>
            <w:tr>
              <w:tblPrEx>
                <w:tblBorders>
                  <w:top w:val="single" w:color="auto" w:sz="12" w:space="0"/>
                  <w:left w:val="none" w:color="auto" w:sz="0" w:space="0"/>
                  <w:bottom w:val="single" w:color="auto" w:sz="12" w:space="0"/>
                  <w:right w:val="none" w:color="auto" w:sz="0" w:space="0"/>
                  <w:insideH w:val="single" w:color="auto" w:sz="2" w:space="0"/>
                  <w:insideV w:val="single" w:color="auto" w:sz="2" w:space="0"/>
                </w:tblBorders>
                <w:tblCellMar>
                  <w:top w:w="0" w:type="dxa"/>
                  <w:left w:w="108" w:type="dxa"/>
                  <w:bottom w:w="0" w:type="dxa"/>
                  <w:right w:w="108" w:type="dxa"/>
                </w:tblCellMar>
              </w:tblPrEx>
              <w:tc>
                <w:tcPr>
                  <w:tcW w:w="1453" w:type="dxa"/>
                  <w:vMerge w:val="continue"/>
                  <w:tcBorders>
                    <w:tl2br w:val="nil"/>
                    <w:tr2bl w:val="nil"/>
                  </w:tcBorders>
                  <w:vAlign w:val="center"/>
                </w:tcPr>
                <w:p>
                  <w:pPr>
                    <w:pStyle w:val="21"/>
                    <w:spacing w:after="0"/>
                    <w:jc w:val="center"/>
                    <w:rPr>
                      <w:bCs/>
                      <w:color w:val="000000" w:themeColor="text1"/>
                      <w:szCs w:val="21"/>
                      <w14:textFill>
                        <w14:solidFill>
                          <w14:schemeClr w14:val="tx1"/>
                        </w14:solidFill>
                      </w14:textFill>
                    </w:rPr>
                  </w:pPr>
                </w:p>
              </w:tc>
              <w:tc>
                <w:tcPr>
                  <w:tcW w:w="1770" w:type="dxa"/>
                  <w:tcBorders>
                    <w:tl2br w:val="nil"/>
                    <w:tr2bl w:val="nil"/>
                  </w:tcBorders>
                  <w:vAlign w:val="center"/>
                </w:tcPr>
                <w:p>
                  <w:pPr>
                    <w:pStyle w:val="21"/>
                    <w:spacing w:after="0"/>
                    <w:jc w:val="center"/>
                    <w:rPr>
                      <w:bCs/>
                      <w:color w:val="000000" w:themeColor="text1"/>
                      <w:szCs w:val="21"/>
                      <w14:textFill>
                        <w14:solidFill>
                          <w14:schemeClr w14:val="tx1"/>
                        </w14:solidFill>
                      </w14:textFill>
                    </w:rPr>
                  </w:pPr>
                  <w:r>
                    <w:rPr>
                      <w:bCs/>
                      <w:color w:val="000000" w:themeColor="text1"/>
                      <w:szCs w:val="21"/>
                      <w14:textFill>
                        <w14:solidFill>
                          <w14:schemeClr w14:val="tx1"/>
                        </w14:solidFill>
                      </w14:textFill>
                    </w:rPr>
                    <w:t>20</w:t>
                  </w:r>
                </w:p>
              </w:tc>
              <w:tc>
                <w:tcPr>
                  <w:tcW w:w="2638" w:type="dxa"/>
                  <w:tcBorders>
                    <w:tl2br w:val="nil"/>
                    <w:tr2bl w:val="nil"/>
                  </w:tcBorders>
                  <w:vAlign w:val="center"/>
                </w:tcPr>
                <w:p>
                  <w:pPr>
                    <w:pStyle w:val="21"/>
                    <w:spacing w:after="0"/>
                    <w:jc w:val="center"/>
                    <w:rPr>
                      <w:bCs/>
                      <w:color w:val="000000" w:themeColor="text1"/>
                      <w:szCs w:val="21"/>
                      <w14:textFill>
                        <w14:solidFill>
                          <w14:schemeClr w14:val="tx1"/>
                        </w14:solidFill>
                      </w14:textFill>
                    </w:rPr>
                  </w:pPr>
                  <w:r>
                    <w:rPr>
                      <w:bCs/>
                      <w:color w:val="000000" w:themeColor="text1"/>
                      <w:szCs w:val="21"/>
                      <w14:textFill>
                        <w14:solidFill>
                          <w14:schemeClr w14:val="tx1"/>
                        </w14:solidFill>
                      </w14:textFill>
                    </w:rPr>
                    <w:t>监控点处任意一次浓度值</w:t>
                  </w:r>
                </w:p>
              </w:tc>
              <w:tc>
                <w:tcPr>
                  <w:tcW w:w="1954" w:type="dxa"/>
                  <w:vMerge w:val="continue"/>
                  <w:tcBorders>
                    <w:tl2br w:val="nil"/>
                    <w:tr2bl w:val="nil"/>
                  </w:tcBorders>
                  <w:vAlign w:val="center"/>
                </w:tcPr>
                <w:p>
                  <w:pPr>
                    <w:pStyle w:val="21"/>
                    <w:spacing w:after="0"/>
                    <w:jc w:val="center"/>
                    <w:rPr>
                      <w:bCs/>
                      <w:color w:val="000000" w:themeColor="text1"/>
                      <w:szCs w:val="21"/>
                      <w14:textFill>
                        <w14:solidFill>
                          <w14:schemeClr w14:val="tx1"/>
                        </w14:solidFill>
                      </w14:textFill>
                    </w:rPr>
                  </w:pPr>
                </w:p>
              </w:tc>
            </w:tr>
          </w:tbl>
          <w:p>
            <w:pPr>
              <w:spacing w:line="360" w:lineRule="auto"/>
              <w:ind w:firstLine="480" w:firstLineChars="200"/>
              <w:rPr>
                <w:b/>
                <w:sz w:val="24"/>
                <w:szCs w:val="24"/>
              </w:rPr>
            </w:pPr>
            <w:r>
              <w:rPr>
                <w:b/>
                <w:sz w:val="24"/>
                <w:szCs w:val="24"/>
              </w:rPr>
              <w:t>2、废水排放标准</w:t>
            </w:r>
          </w:p>
          <w:p>
            <w:pPr>
              <w:spacing w:line="360" w:lineRule="auto"/>
              <w:ind w:firstLine="480" w:firstLineChars="200"/>
              <w:rPr>
                <w:kern w:val="0"/>
                <w:sz w:val="24"/>
              </w:rPr>
            </w:pPr>
            <w:r>
              <w:rPr>
                <w:bCs/>
                <w:sz w:val="24"/>
              </w:rPr>
              <w:t>本项目生活污水经化粪池预处理后，</w:t>
            </w:r>
            <w:r>
              <w:rPr>
                <w:sz w:val="24"/>
              </w:rPr>
              <w:t>废水达到金坛区第二污水处理厂接管限值和《污水排入城镇下水道水质标准》（GB/T31962-2015）表1中B等级标准</w:t>
            </w:r>
            <w:r>
              <w:rPr>
                <w:sz w:val="24"/>
                <w:szCs w:val="24"/>
              </w:rPr>
              <w:t>，</w:t>
            </w:r>
            <w:r>
              <w:rPr>
                <w:sz w:val="24"/>
              </w:rPr>
              <w:t>最终排入金坛区第二污水处理厂处理达标后排放</w:t>
            </w:r>
            <w:r>
              <w:rPr>
                <w:kern w:val="0"/>
                <w:sz w:val="24"/>
              </w:rPr>
              <w:t>。</w:t>
            </w:r>
          </w:p>
          <w:p>
            <w:pPr>
              <w:tabs>
                <w:tab w:val="left" w:pos="960"/>
              </w:tabs>
              <w:spacing w:before="93" w:beforeLines="30"/>
              <w:jc w:val="center"/>
              <w:rPr>
                <w:b/>
                <w:bCs/>
                <w:spacing w:val="-4"/>
                <w:szCs w:val="21"/>
              </w:rPr>
            </w:pPr>
            <w:r>
              <w:rPr>
                <w:b/>
                <w:bCs/>
                <w:spacing w:val="-4"/>
                <w:szCs w:val="21"/>
              </w:rPr>
              <w:t>表4-</w:t>
            </w:r>
            <w:r>
              <w:rPr>
                <w:rFonts w:hint="eastAsia"/>
                <w:b/>
                <w:bCs/>
                <w:spacing w:val="-4"/>
                <w:szCs w:val="21"/>
              </w:rPr>
              <w:t>6</w:t>
            </w:r>
            <w:r>
              <w:rPr>
                <w:b/>
                <w:bCs/>
                <w:spacing w:val="-4"/>
                <w:szCs w:val="21"/>
              </w:rPr>
              <w:t xml:space="preserve">  </w:t>
            </w:r>
            <w:r>
              <w:rPr>
                <w:rFonts w:hint="eastAsia"/>
                <w:b/>
                <w:bCs/>
                <w:spacing w:val="-4"/>
                <w:szCs w:val="21"/>
              </w:rPr>
              <w:t>废</w:t>
            </w:r>
            <w:r>
              <w:rPr>
                <w:b/>
                <w:bCs/>
                <w:spacing w:val="-4"/>
                <w:szCs w:val="21"/>
              </w:rPr>
              <w:t>水污染物排放执行标准  单位：mg/L，pH无量纲</w:t>
            </w:r>
          </w:p>
          <w:tbl>
            <w:tblPr>
              <w:tblStyle w:val="56"/>
              <w:tblW w:w="7815" w:type="dxa"/>
              <w:jc w:val="center"/>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Layout w:type="fixed"/>
              <w:tblCellMar>
                <w:top w:w="0" w:type="dxa"/>
                <w:left w:w="108" w:type="dxa"/>
                <w:bottom w:w="0" w:type="dxa"/>
                <w:right w:w="108" w:type="dxa"/>
              </w:tblCellMar>
            </w:tblPr>
            <w:tblGrid>
              <w:gridCol w:w="1465"/>
              <w:gridCol w:w="2010"/>
              <w:gridCol w:w="4340"/>
            </w:tblGrid>
            <w:tr>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465" w:type="dxa"/>
                  <w:vAlign w:val="center"/>
                </w:tcPr>
                <w:p>
                  <w:pPr>
                    <w:adjustRightInd w:val="0"/>
                    <w:snapToGrid w:val="0"/>
                    <w:spacing w:line="320" w:lineRule="exact"/>
                    <w:jc w:val="center"/>
                    <w:rPr>
                      <w:b/>
                    </w:rPr>
                  </w:pPr>
                  <w:r>
                    <w:rPr>
                      <w:b/>
                    </w:rPr>
                    <w:t>污染物</w:t>
                  </w:r>
                </w:p>
              </w:tc>
              <w:tc>
                <w:tcPr>
                  <w:tcW w:w="2010" w:type="dxa"/>
                  <w:vAlign w:val="center"/>
                </w:tcPr>
                <w:p>
                  <w:pPr>
                    <w:adjustRightInd w:val="0"/>
                    <w:snapToGrid w:val="0"/>
                    <w:spacing w:line="320" w:lineRule="exact"/>
                    <w:jc w:val="center"/>
                    <w:rPr>
                      <w:b/>
                    </w:rPr>
                  </w:pPr>
                  <w:r>
                    <w:rPr>
                      <w:b/>
                      <w:bCs/>
                      <w:szCs w:val="21"/>
                    </w:rPr>
                    <w:t>接管标准浓度限值</w:t>
                  </w:r>
                </w:p>
              </w:tc>
              <w:tc>
                <w:tcPr>
                  <w:tcW w:w="4340" w:type="dxa"/>
                  <w:vAlign w:val="center"/>
                </w:tcPr>
                <w:p>
                  <w:pPr>
                    <w:adjustRightInd w:val="0"/>
                    <w:snapToGrid w:val="0"/>
                    <w:spacing w:line="320" w:lineRule="exact"/>
                    <w:jc w:val="center"/>
                    <w:rPr>
                      <w:b/>
                    </w:rPr>
                  </w:pPr>
                  <w:r>
                    <w:rPr>
                      <w:b/>
                    </w:rPr>
                    <w:t>标准来源</w:t>
                  </w:r>
                </w:p>
              </w:tc>
            </w:tr>
            <w:tr>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465" w:type="dxa"/>
                  <w:vAlign w:val="center"/>
                </w:tcPr>
                <w:p>
                  <w:pPr>
                    <w:adjustRightInd w:val="0"/>
                    <w:snapToGrid w:val="0"/>
                    <w:spacing w:line="320" w:lineRule="exact"/>
                    <w:jc w:val="center"/>
                  </w:pPr>
                  <w:r>
                    <w:t>pH</w:t>
                  </w:r>
                </w:p>
              </w:tc>
              <w:tc>
                <w:tcPr>
                  <w:tcW w:w="2010" w:type="dxa"/>
                  <w:vAlign w:val="center"/>
                </w:tcPr>
                <w:p>
                  <w:pPr>
                    <w:adjustRightInd w:val="0"/>
                    <w:snapToGrid w:val="0"/>
                    <w:spacing w:line="320" w:lineRule="exact"/>
                    <w:jc w:val="center"/>
                  </w:pPr>
                  <w:r>
                    <w:t>6～9</w:t>
                  </w:r>
                </w:p>
              </w:tc>
              <w:tc>
                <w:tcPr>
                  <w:tcW w:w="4340" w:type="dxa"/>
                  <w:vMerge w:val="restart"/>
                  <w:vAlign w:val="center"/>
                </w:tcPr>
                <w:p>
                  <w:pPr>
                    <w:spacing w:line="320" w:lineRule="exact"/>
                    <w:jc w:val="center"/>
                  </w:pPr>
                  <w:r>
                    <w:t>金坛区第二污水处理厂接管</w:t>
                  </w:r>
                </w:p>
                <w:p>
                  <w:pPr>
                    <w:spacing w:line="320" w:lineRule="exact"/>
                    <w:jc w:val="center"/>
                    <w:rPr>
                      <w:szCs w:val="21"/>
                    </w:rPr>
                  </w:pPr>
                  <w:r>
                    <w:t>标准要求</w:t>
                  </w:r>
                </w:p>
              </w:tc>
            </w:tr>
            <w:tr>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465" w:type="dxa"/>
                  <w:vAlign w:val="center"/>
                </w:tcPr>
                <w:p>
                  <w:pPr>
                    <w:adjustRightInd w:val="0"/>
                    <w:snapToGrid w:val="0"/>
                    <w:spacing w:line="320" w:lineRule="exact"/>
                    <w:jc w:val="center"/>
                  </w:pPr>
                  <w:r>
                    <w:t>COD</w:t>
                  </w:r>
                </w:p>
              </w:tc>
              <w:tc>
                <w:tcPr>
                  <w:tcW w:w="2010" w:type="dxa"/>
                  <w:vAlign w:val="center"/>
                </w:tcPr>
                <w:p>
                  <w:pPr>
                    <w:widowControl/>
                    <w:jc w:val="center"/>
                  </w:pPr>
                  <w:r>
                    <w:rPr>
                      <w:szCs w:val="21"/>
                    </w:rPr>
                    <w:t>500</w:t>
                  </w:r>
                </w:p>
              </w:tc>
              <w:tc>
                <w:tcPr>
                  <w:tcW w:w="4340" w:type="dxa"/>
                  <w:vMerge w:val="continue"/>
                  <w:vAlign w:val="center"/>
                </w:tcPr>
                <w:p/>
              </w:tc>
            </w:tr>
            <w:tr>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465" w:type="dxa"/>
                  <w:vAlign w:val="center"/>
                </w:tcPr>
                <w:p>
                  <w:pPr>
                    <w:adjustRightInd w:val="0"/>
                    <w:snapToGrid w:val="0"/>
                    <w:spacing w:line="320" w:lineRule="exact"/>
                    <w:jc w:val="center"/>
                  </w:pPr>
                  <w:r>
                    <w:t>SS</w:t>
                  </w:r>
                </w:p>
              </w:tc>
              <w:tc>
                <w:tcPr>
                  <w:tcW w:w="2010" w:type="dxa"/>
                  <w:vAlign w:val="center"/>
                </w:tcPr>
                <w:p>
                  <w:pPr>
                    <w:jc w:val="center"/>
                  </w:pPr>
                  <w:r>
                    <w:rPr>
                      <w:szCs w:val="21"/>
                    </w:rPr>
                    <w:t>250</w:t>
                  </w:r>
                </w:p>
              </w:tc>
              <w:tc>
                <w:tcPr>
                  <w:tcW w:w="4340" w:type="dxa"/>
                  <w:vMerge w:val="continue"/>
                  <w:vAlign w:val="center"/>
                </w:tcPr>
                <w:p/>
              </w:tc>
            </w:tr>
            <w:tr>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108" w:type="dxa"/>
                  <w:bottom w:w="0" w:type="dxa"/>
                  <w:right w:w="108" w:type="dxa"/>
                </w:tblCellMar>
              </w:tblPrEx>
              <w:trPr>
                <w:cantSplit/>
                <w:trHeight w:val="210" w:hRule="atLeast"/>
                <w:jc w:val="center"/>
              </w:trPr>
              <w:tc>
                <w:tcPr>
                  <w:tcW w:w="1465" w:type="dxa"/>
                  <w:vAlign w:val="center"/>
                </w:tcPr>
                <w:p>
                  <w:pPr>
                    <w:adjustRightInd w:val="0"/>
                    <w:snapToGrid w:val="0"/>
                    <w:spacing w:line="320" w:lineRule="exact"/>
                    <w:jc w:val="center"/>
                  </w:pPr>
                  <w:r>
                    <w:t>氨氮</w:t>
                  </w:r>
                </w:p>
              </w:tc>
              <w:tc>
                <w:tcPr>
                  <w:tcW w:w="2010" w:type="dxa"/>
                  <w:vAlign w:val="center"/>
                </w:tcPr>
                <w:p>
                  <w:pPr>
                    <w:jc w:val="center"/>
                  </w:pPr>
                  <w:r>
                    <w:rPr>
                      <w:szCs w:val="21"/>
                    </w:rPr>
                    <w:t>35</w:t>
                  </w:r>
                </w:p>
              </w:tc>
              <w:tc>
                <w:tcPr>
                  <w:tcW w:w="4340" w:type="dxa"/>
                  <w:vMerge w:val="continue"/>
                  <w:vAlign w:val="center"/>
                </w:tcPr>
                <w:p/>
              </w:tc>
            </w:tr>
            <w:tr>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465" w:type="dxa"/>
                  <w:vAlign w:val="center"/>
                </w:tcPr>
                <w:p>
                  <w:pPr>
                    <w:adjustRightInd w:val="0"/>
                    <w:snapToGrid w:val="0"/>
                    <w:spacing w:line="320" w:lineRule="exact"/>
                    <w:jc w:val="center"/>
                  </w:pPr>
                  <w:r>
                    <w:t>TP</w:t>
                  </w:r>
                </w:p>
              </w:tc>
              <w:tc>
                <w:tcPr>
                  <w:tcW w:w="2010" w:type="dxa"/>
                  <w:vAlign w:val="center"/>
                </w:tcPr>
                <w:p>
                  <w:pPr>
                    <w:jc w:val="center"/>
                  </w:pPr>
                  <w:r>
                    <w:rPr>
                      <w:szCs w:val="21"/>
                    </w:rPr>
                    <w:t>3</w:t>
                  </w:r>
                </w:p>
              </w:tc>
              <w:tc>
                <w:tcPr>
                  <w:tcW w:w="4340" w:type="dxa"/>
                  <w:vMerge w:val="continue"/>
                  <w:vAlign w:val="center"/>
                </w:tcPr>
                <w:p/>
              </w:tc>
            </w:tr>
            <w:tr>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465" w:type="dxa"/>
                  <w:vAlign w:val="center"/>
                </w:tcPr>
                <w:p>
                  <w:pPr>
                    <w:adjustRightInd w:val="0"/>
                    <w:snapToGrid w:val="0"/>
                    <w:spacing w:line="320" w:lineRule="exact"/>
                    <w:jc w:val="center"/>
                  </w:pPr>
                  <w:r>
                    <w:t>TN</w:t>
                  </w:r>
                </w:p>
              </w:tc>
              <w:tc>
                <w:tcPr>
                  <w:tcW w:w="2010" w:type="dxa"/>
                  <w:vAlign w:val="center"/>
                </w:tcPr>
                <w:p>
                  <w:pPr>
                    <w:jc w:val="center"/>
                    <w:rPr>
                      <w:szCs w:val="21"/>
                    </w:rPr>
                  </w:pPr>
                  <w:r>
                    <w:rPr>
                      <w:rFonts w:hint="eastAsia"/>
                      <w:szCs w:val="21"/>
                    </w:rPr>
                    <w:t>50</w:t>
                  </w:r>
                </w:p>
              </w:tc>
              <w:tc>
                <w:tcPr>
                  <w:tcW w:w="4340" w:type="dxa"/>
                  <w:vMerge w:val="continue"/>
                  <w:vAlign w:val="center"/>
                </w:tcPr>
                <w:p/>
              </w:tc>
            </w:tr>
          </w:tbl>
          <w:p>
            <w:pPr>
              <w:spacing w:line="360" w:lineRule="auto"/>
              <w:ind w:firstLine="480" w:firstLineChars="200"/>
              <w:rPr>
                <w:sz w:val="24"/>
              </w:rPr>
            </w:pPr>
            <w:r>
              <w:rPr>
                <w:sz w:val="24"/>
              </w:rPr>
              <w:t>2021年1月1日前，金坛区第二污水处理厂尾水排放执行《太湖地区城镇污水处理厂及重点工业行业主要水污染物排放限值》（DB32/1072-2007）中表2标准及《城镇污水处理厂污染物排放标准》（GB18918-2002）中表1一级A标准；2021年1月1号后金坛区第二污水处理厂尾水排放执行《太湖地区城镇污水处理厂及重点工业行业主要水污染物排放限值》（DB32/1072-20</w:t>
            </w:r>
            <w:r>
              <w:rPr>
                <w:rFonts w:hint="eastAsia"/>
                <w:sz w:val="24"/>
              </w:rPr>
              <w:t>18</w:t>
            </w:r>
            <w:r>
              <w:rPr>
                <w:sz w:val="24"/>
              </w:rPr>
              <w:t>）中表2标准及《城镇污水处理厂污染物排放标准》（GB18918-2002）中表1一级A标准；具体见表4-</w:t>
            </w:r>
            <w:r>
              <w:rPr>
                <w:rFonts w:hint="eastAsia"/>
                <w:sz w:val="24"/>
              </w:rPr>
              <w:t>7</w:t>
            </w:r>
            <w:r>
              <w:rPr>
                <w:sz w:val="24"/>
              </w:rPr>
              <w:t>。</w:t>
            </w:r>
          </w:p>
          <w:p>
            <w:pPr>
              <w:jc w:val="center"/>
              <w:rPr>
                <w:b/>
                <w:sz w:val="24"/>
              </w:rPr>
            </w:pPr>
            <w:r>
              <w:rPr>
                <w:b/>
                <w:sz w:val="24"/>
              </w:rPr>
              <w:t xml:space="preserve"> </w:t>
            </w:r>
            <w:r>
              <w:rPr>
                <w:b/>
                <w:szCs w:val="21"/>
              </w:rPr>
              <w:t>表4-</w:t>
            </w:r>
            <w:r>
              <w:rPr>
                <w:rFonts w:hint="eastAsia"/>
                <w:b/>
                <w:szCs w:val="21"/>
              </w:rPr>
              <w:t>7</w:t>
            </w:r>
            <w:r>
              <w:rPr>
                <w:b/>
                <w:szCs w:val="21"/>
              </w:rPr>
              <w:t xml:space="preserve"> 城镇污水处理厂污染物排放标准    单位：mg/L</w:t>
            </w:r>
            <w:r>
              <w:rPr>
                <w:b/>
                <w:bCs/>
                <w:szCs w:val="21"/>
              </w:rPr>
              <w:t>，pH无量纲</w:t>
            </w:r>
          </w:p>
          <w:tbl>
            <w:tblPr>
              <w:tblStyle w:val="56"/>
              <w:tblW w:w="5000" w:type="pct"/>
              <w:jc w:val="center"/>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Layout w:type="fixed"/>
              <w:tblCellMar>
                <w:top w:w="0" w:type="dxa"/>
                <w:left w:w="108" w:type="dxa"/>
                <w:bottom w:w="0" w:type="dxa"/>
                <w:right w:w="108" w:type="dxa"/>
              </w:tblCellMar>
            </w:tblPr>
            <w:tblGrid>
              <w:gridCol w:w="722"/>
              <w:gridCol w:w="796"/>
              <w:gridCol w:w="974"/>
              <w:gridCol w:w="1078"/>
              <w:gridCol w:w="4245"/>
            </w:tblGrid>
            <w:tr>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108" w:type="dxa"/>
                  <w:bottom w:w="0" w:type="dxa"/>
                  <w:right w:w="108" w:type="dxa"/>
                </w:tblCellMar>
              </w:tblPrEx>
              <w:trPr>
                <w:cantSplit/>
                <w:trHeight w:val="340" w:hRule="atLeast"/>
                <w:jc w:val="center"/>
              </w:trPr>
              <w:tc>
                <w:tcPr>
                  <w:tcW w:w="461" w:type="pct"/>
                  <w:vAlign w:val="center"/>
                </w:tcPr>
                <w:p>
                  <w:pPr>
                    <w:adjustRightInd w:val="0"/>
                    <w:snapToGrid w:val="0"/>
                    <w:jc w:val="center"/>
                    <w:rPr>
                      <w:b/>
                      <w:szCs w:val="21"/>
                    </w:rPr>
                  </w:pPr>
                  <w:r>
                    <w:rPr>
                      <w:b/>
                      <w:szCs w:val="21"/>
                    </w:rPr>
                    <w:t>时间</w:t>
                  </w:r>
                </w:p>
              </w:tc>
              <w:tc>
                <w:tcPr>
                  <w:tcW w:w="509" w:type="pct"/>
                  <w:vAlign w:val="center"/>
                </w:tcPr>
                <w:p>
                  <w:pPr>
                    <w:adjustRightInd w:val="0"/>
                    <w:snapToGrid w:val="0"/>
                    <w:jc w:val="center"/>
                    <w:rPr>
                      <w:szCs w:val="21"/>
                    </w:rPr>
                  </w:pPr>
                  <w:r>
                    <w:rPr>
                      <w:b/>
                      <w:szCs w:val="21"/>
                    </w:rPr>
                    <w:t>序号</w:t>
                  </w:r>
                </w:p>
              </w:tc>
              <w:tc>
                <w:tcPr>
                  <w:tcW w:w="623" w:type="pct"/>
                  <w:vAlign w:val="center"/>
                </w:tcPr>
                <w:p>
                  <w:pPr>
                    <w:adjustRightInd w:val="0"/>
                    <w:snapToGrid w:val="0"/>
                    <w:jc w:val="center"/>
                    <w:rPr>
                      <w:b/>
                      <w:szCs w:val="21"/>
                    </w:rPr>
                  </w:pPr>
                  <w:r>
                    <w:rPr>
                      <w:b/>
                      <w:szCs w:val="21"/>
                    </w:rPr>
                    <w:t>项  目</w:t>
                  </w:r>
                </w:p>
              </w:tc>
              <w:tc>
                <w:tcPr>
                  <w:tcW w:w="690" w:type="pct"/>
                  <w:vAlign w:val="center"/>
                </w:tcPr>
                <w:p>
                  <w:pPr>
                    <w:adjustRightInd w:val="0"/>
                    <w:snapToGrid w:val="0"/>
                    <w:jc w:val="center"/>
                    <w:rPr>
                      <w:b/>
                      <w:szCs w:val="21"/>
                    </w:rPr>
                  </w:pPr>
                  <w:r>
                    <w:rPr>
                      <w:b/>
                      <w:szCs w:val="21"/>
                    </w:rPr>
                    <w:t>浓度</w:t>
                  </w:r>
                </w:p>
              </w:tc>
              <w:tc>
                <w:tcPr>
                  <w:tcW w:w="2714" w:type="pct"/>
                  <w:vAlign w:val="center"/>
                </w:tcPr>
                <w:p>
                  <w:pPr>
                    <w:adjustRightInd w:val="0"/>
                    <w:snapToGrid w:val="0"/>
                    <w:jc w:val="center"/>
                    <w:rPr>
                      <w:b/>
                      <w:szCs w:val="21"/>
                    </w:rPr>
                  </w:pPr>
                  <w:r>
                    <w:rPr>
                      <w:b/>
                      <w:szCs w:val="21"/>
                    </w:rPr>
                    <w:t>标准来源</w:t>
                  </w:r>
                </w:p>
              </w:tc>
            </w:tr>
            <w:tr>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108" w:type="dxa"/>
                  <w:bottom w:w="0" w:type="dxa"/>
                  <w:right w:w="108" w:type="dxa"/>
                </w:tblCellMar>
              </w:tblPrEx>
              <w:trPr>
                <w:cantSplit/>
                <w:trHeight w:val="90" w:hRule="atLeast"/>
                <w:jc w:val="center"/>
              </w:trPr>
              <w:tc>
                <w:tcPr>
                  <w:tcW w:w="461" w:type="pct"/>
                  <w:vMerge w:val="restart"/>
                  <w:vAlign w:val="center"/>
                </w:tcPr>
                <w:p>
                  <w:pPr>
                    <w:adjustRightInd w:val="0"/>
                    <w:snapToGrid w:val="0"/>
                    <w:jc w:val="center"/>
                    <w:rPr>
                      <w:szCs w:val="21"/>
                    </w:rPr>
                  </w:pPr>
                  <w:r>
                    <w:rPr>
                      <w:szCs w:val="21"/>
                    </w:rPr>
                    <w:t>现阶段~2021年1月1日</w:t>
                  </w:r>
                </w:p>
              </w:tc>
              <w:tc>
                <w:tcPr>
                  <w:tcW w:w="509" w:type="pct"/>
                  <w:vAlign w:val="center"/>
                </w:tcPr>
                <w:p>
                  <w:pPr>
                    <w:adjustRightInd w:val="0"/>
                    <w:snapToGrid w:val="0"/>
                    <w:jc w:val="center"/>
                    <w:rPr>
                      <w:szCs w:val="21"/>
                    </w:rPr>
                  </w:pPr>
                  <w:r>
                    <w:rPr>
                      <w:rFonts w:hint="eastAsia"/>
                      <w:szCs w:val="21"/>
                    </w:rPr>
                    <w:t>1</w:t>
                  </w:r>
                </w:p>
              </w:tc>
              <w:tc>
                <w:tcPr>
                  <w:tcW w:w="623" w:type="pct"/>
                  <w:vAlign w:val="center"/>
                </w:tcPr>
                <w:p>
                  <w:pPr>
                    <w:adjustRightInd w:val="0"/>
                    <w:snapToGrid w:val="0"/>
                    <w:jc w:val="center"/>
                  </w:pPr>
                  <w:r>
                    <w:rPr>
                      <w:rFonts w:hint="eastAsia"/>
                    </w:rPr>
                    <w:t>COD</w:t>
                  </w:r>
                </w:p>
              </w:tc>
              <w:tc>
                <w:tcPr>
                  <w:tcW w:w="690" w:type="pct"/>
                  <w:vAlign w:val="center"/>
                </w:tcPr>
                <w:p>
                  <w:pPr>
                    <w:adjustRightInd w:val="0"/>
                    <w:snapToGrid w:val="0"/>
                    <w:jc w:val="center"/>
                  </w:pPr>
                  <w:r>
                    <w:rPr>
                      <w:rFonts w:hint="eastAsia"/>
                    </w:rPr>
                    <w:t>50</w:t>
                  </w:r>
                </w:p>
              </w:tc>
              <w:tc>
                <w:tcPr>
                  <w:tcW w:w="2714" w:type="pct"/>
                  <w:vMerge w:val="restart"/>
                  <w:vAlign w:val="center"/>
                </w:tcPr>
                <w:p>
                  <w:pPr>
                    <w:adjustRightInd w:val="0"/>
                    <w:snapToGrid w:val="0"/>
                    <w:jc w:val="center"/>
                    <w:rPr>
                      <w:szCs w:val="21"/>
                    </w:rPr>
                  </w:pPr>
                  <w:r>
                    <w:rPr>
                      <w:szCs w:val="21"/>
                    </w:rPr>
                    <w:t>《太湖地区镇污水处理厂及重点工业行业主要水污染物排放限值》（DB32/1072—2007）中表2中的标准</w:t>
                  </w:r>
                </w:p>
              </w:tc>
            </w:tr>
            <w:tr>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108" w:type="dxa"/>
                  <w:bottom w:w="0" w:type="dxa"/>
                  <w:right w:w="108" w:type="dxa"/>
                </w:tblCellMar>
              </w:tblPrEx>
              <w:trPr>
                <w:cantSplit/>
                <w:trHeight w:val="90" w:hRule="atLeast"/>
                <w:jc w:val="center"/>
              </w:trPr>
              <w:tc>
                <w:tcPr>
                  <w:tcW w:w="461" w:type="pct"/>
                  <w:vMerge w:val="continue"/>
                  <w:vAlign w:val="center"/>
                </w:tcPr>
                <w:p>
                  <w:pPr>
                    <w:adjustRightInd w:val="0"/>
                    <w:snapToGrid w:val="0"/>
                    <w:jc w:val="center"/>
                    <w:rPr>
                      <w:szCs w:val="21"/>
                    </w:rPr>
                  </w:pPr>
                </w:p>
              </w:tc>
              <w:tc>
                <w:tcPr>
                  <w:tcW w:w="509" w:type="pct"/>
                  <w:vAlign w:val="center"/>
                </w:tcPr>
                <w:p>
                  <w:pPr>
                    <w:adjustRightInd w:val="0"/>
                    <w:snapToGrid w:val="0"/>
                    <w:jc w:val="center"/>
                    <w:rPr>
                      <w:szCs w:val="21"/>
                    </w:rPr>
                  </w:pPr>
                  <w:r>
                    <w:rPr>
                      <w:rFonts w:hint="eastAsia"/>
                    </w:rPr>
                    <w:t>2</w:t>
                  </w:r>
                </w:p>
              </w:tc>
              <w:tc>
                <w:tcPr>
                  <w:tcW w:w="623" w:type="pct"/>
                  <w:vAlign w:val="center"/>
                </w:tcPr>
                <w:p>
                  <w:pPr>
                    <w:adjustRightInd w:val="0"/>
                    <w:snapToGrid w:val="0"/>
                    <w:jc w:val="center"/>
                  </w:pPr>
                  <w:r>
                    <w:rPr>
                      <w:rFonts w:hint="eastAsia"/>
                    </w:rPr>
                    <w:t>TP</w:t>
                  </w:r>
                </w:p>
              </w:tc>
              <w:tc>
                <w:tcPr>
                  <w:tcW w:w="690" w:type="pct"/>
                  <w:vAlign w:val="center"/>
                </w:tcPr>
                <w:p>
                  <w:pPr>
                    <w:adjustRightInd w:val="0"/>
                    <w:snapToGrid w:val="0"/>
                    <w:jc w:val="center"/>
                  </w:pPr>
                  <w:r>
                    <w:rPr>
                      <w:rFonts w:hint="eastAsia"/>
                    </w:rPr>
                    <w:t>0.5</w:t>
                  </w:r>
                </w:p>
              </w:tc>
              <w:tc>
                <w:tcPr>
                  <w:tcW w:w="2714" w:type="pct"/>
                  <w:vMerge w:val="continue"/>
                  <w:vAlign w:val="center"/>
                </w:tcPr>
                <w:p>
                  <w:pPr>
                    <w:adjustRightInd w:val="0"/>
                    <w:snapToGrid w:val="0"/>
                    <w:jc w:val="center"/>
                    <w:rPr>
                      <w:szCs w:val="21"/>
                    </w:rPr>
                  </w:pPr>
                </w:p>
              </w:tc>
            </w:tr>
            <w:tr>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108" w:type="dxa"/>
                  <w:bottom w:w="0" w:type="dxa"/>
                  <w:right w:w="108" w:type="dxa"/>
                </w:tblCellMar>
              </w:tblPrEx>
              <w:trPr>
                <w:cantSplit/>
                <w:trHeight w:val="90" w:hRule="atLeast"/>
                <w:jc w:val="center"/>
              </w:trPr>
              <w:tc>
                <w:tcPr>
                  <w:tcW w:w="461" w:type="pct"/>
                  <w:vMerge w:val="continue"/>
                  <w:vAlign w:val="center"/>
                </w:tcPr>
                <w:p>
                  <w:pPr>
                    <w:adjustRightInd w:val="0"/>
                    <w:snapToGrid w:val="0"/>
                    <w:jc w:val="center"/>
                    <w:rPr>
                      <w:szCs w:val="21"/>
                    </w:rPr>
                  </w:pPr>
                </w:p>
              </w:tc>
              <w:tc>
                <w:tcPr>
                  <w:tcW w:w="509" w:type="pct"/>
                  <w:vAlign w:val="center"/>
                </w:tcPr>
                <w:p>
                  <w:pPr>
                    <w:adjustRightInd w:val="0"/>
                    <w:snapToGrid w:val="0"/>
                    <w:jc w:val="center"/>
                    <w:rPr>
                      <w:szCs w:val="21"/>
                    </w:rPr>
                  </w:pPr>
                  <w:r>
                    <w:rPr>
                      <w:rFonts w:hint="eastAsia"/>
                    </w:rPr>
                    <w:t>3</w:t>
                  </w:r>
                </w:p>
              </w:tc>
              <w:tc>
                <w:tcPr>
                  <w:tcW w:w="623" w:type="pct"/>
                  <w:vAlign w:val="center"/>
                </w:tcPr>
                <w:p>
                  <w:pPr>
                    <w:adjustRightInd w:val="0"/>
                    <w:snapToGrid w:val="0"/>
                    <w:jc w:val="center"/>
                  </w:pPr>
                  <w:r>
                    <w:rPr>
                      <w:rFonts w:hint="eastAsia"/>
                    </w:rPr>
                    <w:t>TN</w:t>
                  </w:r>
                </w:p>
              </w:tc>
              <w:tc>
                <w:tcPr>
                  <w:tcW w:w="690" w:type="pct"/>
                  <w:vAlign w:val="center"/>
                </w:tcPr>
                <w:p>
                  <w:pPr>
                    <w:adjustRightInd w:val="0"/>
                    <w:snapToGrid w:val="0"/>
                    <w:jc w:val="center"/>
                  </w:pPr>
                  <w:r>
                    <w:rPr>
                      <w:rFonts w:hint="eastAsia"/>
                    </w:rPr>
                    <w:t>15</w:t>
                  </w:r>
                </w:p>
              </w:tc>
              <w:tc>
                <w:tcPr>
                  <w:tcW w:w="2714" w:type="pct"/>
                  <w:vMerge w:val="continue"/>
                  <w:vAlign w:val="center"/>
                </w:tcPr>
                <w:p>
                  <w:pPr>
                    <w:adjustRightInd w:val="0"/>
                    <w:snapToGrid w:val="0"/>
                    <w:jc w:val="center"/>
                    <w:rPr>
                      <w:szCs w:val="21"/>
                    </w:rPr>
                  </w:pPr>
                </w:p>
              </w:tc>
            </w:tr>
            <w:tr>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108" w:type="dxa"/>
                  <w:bottom w:w="0" w:type="dxa"/>
                  <w:right w:w="108" w:type="dxa"/>
                </w:tblCellMar>
              </w:tblPrEx>
              <w:trPr>
                <w:cantSplit/>
                <w:trHeight w:val="90" w:hRule="atLeast"/>
                <w:jc w:val="center"/>
              </w:trPr>
              <w:tc>
                <w:tcPr>
                  <w:tcW w:w="461" w:type="pct"/>
                  <w:vMerge w:val="continue"/>
                  <w:vAlign w:val="center"/>
                </w:tcPr>
                <w:p>
                  <w:pPr>
                    <w:adjustRightInd w:val="0"/>
                    <w:snapToGrid w:val="0"/>
                    <w:jc w:val="center"/>
                    <w:rPr>
                      <w:szCs w:val="21"/>
                    </w:rPr>
                  </w:pPr>
                </w:p>
              </w:tc>
              <w:tc>
                <w:tcPr>
                  <w:tcW w:w="509" w:type="pct"/>
                  <w:vAlign w:val="center"/>
                </w:tcPr>
                <w:p>
                  <w:pPr>
                    <w:adjustRightInd w:val="0"/>
                    <w:snapToGrid w:val="0"/>
                    <w:jc w:val="center"/>
                    <w:rPr>
                      <w:szCs w:val="21"/>
                    </w:rPr>
                  </w:pPr>
                  <w:r>
                    <w:rPr>
                      <w:rFonts w:hint="eastAsia"/>
                    </w:rPr>
                    <w:t>4</w:t>
                  </w:r>
                </w:p>
              </w:tc>
              <w:tc>
                <w:tcPr>
                  <w:tcW w:w="623" w:type="pct"/>
                  <w:vAlign w:val="center"/>
                </w:tcPr>
                <w:p>
                  <w:pPr>
                    <w:adjustRightInd w:val="0"/>
                    <w:snapToGrid w:val="0"/>
                    <w:jc w:val="center"/>
                  </w:pPr>
                  <w:r>
                    <w:rPr>
                      <w:rFonts w:hint="eastAsia"/>
                    </w:rPr>
                    <w:t>NH</w:t>
                  </w:r>
                  <w:r>
                    <w:rPr>
                      <w:rFonts w:hint="eastAsia"/>
                      <w:vertAlign w:val="subscript"/>
                    </w:rPr>
                    <w:t>3</w:t>
                  </w:r>
                  <w:r>
                    <w:rPr>
                      <w:rFonts w:hint="eastAsia"/>
                    </w:rPr>
                    <w:t>-H</w:t>
                  </w:r>
                </w:p>
              </w:tc>
              <w:tc>
                <w:tcPr>
                  <w:tcW w:w="690" w:type="pct"/>
                  <w:vAlign w:val="center"/>
                </w:tcPr>
                <w:p>
                  <w:pPr>
                    <w:adjustRightInd w:val="0"/>
                    <w:snapToGrid w:val="0"/>
                    <w:jc w:val="center"/>
                  </w:pPr>
                  <w:r>
                    <w:rPr>
                      <w:rFonts w:hint="eastAsia"/>
                    </w:rPr>
                    <w:t>5（8）*</w:t>
                  </w:r>
                </w:p>
              </w:tc>
              <w:tc>
                <w:tcPr>
                  <w:tcW w:w="2714" w:type="pct"/>
                  <w:vMerge w:val="continue"/>
                  <w:vAlign w:val="center"/>
                </w:tcPr>
                <w:p>
                  <w:pPr>
                    <w:adjustRightInd w:val="0"/>
                    <w:snapToGrid w:val="0"/>
                    <w:jc w:val="center"/>
                    <w:rPr>
                      <w:szCs w:val="21"/>
                    </w:rPr>
                  </w:pPr>
                </w:p>
              </w:tc>
            </w:tr>
            <w:tr>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108" w:type="dxa"/>
                  <w:bottom w:w="0" w:type="dxa"/>
                  <w:right w:w="108" w:type="dxa"/>
                </w:tblCellMar>
              </w:tblPrEx>
              <w:trPr>
                <w:cantSplit/>
                <w:trHeight w:val="90" w:hRule="atLeast"/>
                <w:jc w:val="center"/>
              </w:trPr>
              <w:tc>
                <w:tcPr>
                  <w:tcW w:w="461" w:type="pct"/>
                  <w:vMerge w:val="continue"/>
                  <w:vAlign w:val="center"/>
                </w:tcPr>
                <w:p>
                  <w:pPr>
                    <w:adjustRightInd w:val="0"/>
                    <w:snapToGrid w:val="0"/>
                    <w:jc w:val="center"/>
                    <w:rPr>
                      <w:szCs w:val="21"/>
                    </w:rPr>
                  </w:pPr>
                </w:p>
              </w:tc>
              <w:tc>
                <w:tcPr>
                  <w:tcW w:w="509" w:type="pct"/>
                  <w:vAlign w:val="center"/>
                </w:tcPr>
                <w:p>
                  <w:pPr>
                    <w:widowControl/>
                    <w:jc w:val="center"/>
                    <w:rPr>
                      <w:szCs w:val="21"/>
                    </w:rPr>
                  </w:pPr>
                  <w:r>
                    <w:rPr>
                      <w:rFonts w:hint="eastAsia"/>
                      <w:snapToGrid w:val="0"/>
                      <w:kern w:val="18"/>
                      <w:szCs w:val="21"/>
                    </w:rPr>
                    <w:t>5</w:t>
                  </w:r>
                </w:p>
              </w:tc>
              <w:tc>
                <w:tcPr>
                  <w:tcW w:w="623" w:type="pct"/>
                  <w:vAlign w:val="center"/>
                </w:tcPr>
                <w:p>
                  <w:pPr>
                    <w:widowControl/>
                    <w:jc w:val="center"/>
                  </w:pPr>
                  <w:r>
                    <w:rPr>
                      <w:rFonts w:hint="eastAsia"/>
                      <w:szCs w:val="21"/>
                    </w:rPr>
                    <w:t>SS</w:t>
                  </w:r>
                </w:p>
              </w:tc>
              <w:tc>
                <w:tcPr>
                  <w:tcW w:w="690" w:type="pct"/>
                  <w:vAlign w:val="center"/>
                </w:tcPr>
                <w:p>
                  <w:pPr>
                    <w:widowControl/>
                    <w:jc w:val="center"/>
                  </w:pPr>
                  <w:r>
                    <w:rPr>
                      <w:rFonts w:hint="eastAsia"/>
                      <w:szCs w:val="21"/>
                    </w:rPr>
                    <w:t>10</w:t>
                  </w:r>
                </w:p>
              </w:tc>
              <w:tc>
                <w:tcPr>
                  <w:tcW w:w="2714" w:type="pct"/>
                  <w:vMerge w:val="restart"/>
                  <w:vAlign w:val="center"/>
                </w:tcPr>
                <w:p>
                  <w:pPr>
                    <w:adjustRightInd w:val="0"/>
                    <w:snapToGrid w:val="0"/>
                    <w:jc w:val="center"/>
                    <w:rPr>
                      <w:szCs w:val="21"/>
                    </w:rPr>
                  </w:pPr>
                  <w:r>
                    <w:rPr>
                      <w:snapToGrid w:val="0"/>
                      <w:kern w:val="18"/>
                      <w:szCs w:val="21"/>
                    </w:rPr>
                    <w:t>《城镇污水处理厂污染物排放标准》</w:t>
                  </w:r>
                  <w:r>
                    <w:rPr>
                      <w:szCs w:val="21"/>
                    </w:rPr>
                    <w:t>（</w:t>
                  </w:r>
                  <w:r>
                    <w:rPr>
                      <w:snapToGrid w:val="0"/>
                      <w:kern w:val="18"/>
                      <w:szCs w:val="21"/>
                    </w:rPr>
                    <w:t>GB18918</w:t>
                  </w:r>
                  <w:r>
                    <w:rPr>
                      <w:szCs w:val="21"/>
                    </w:rPr>
                    <w:t>-2002）及其修改单中</w:t>
                  </w:r>
                  <w:r>
                    <w:rPr>
                      <w:snapToGrid w:val="0"/>
                      <w:kern w:val="18"/>
                      <w:szCs w:val="21"/>
                    </w:rPr>
                    <w:t>一级</w:t>
                  </w:r>
                  <w:r>
                    <w:rPr>
                      <w:szCs w:val="21"/>
                    </w:rPr>
                    <w:t>A标准</w:t>
                  </w:r>
                </w:p>
              </w:tc>
            </w:tr>
            <w:tr>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108" w:type="dxa"/>
                  <w:bottom w:w="0" w:type="dxa"/>
                  <w:right w:w="108" w:type="dxa"/>
                </w:tblCellMar>
              </w:tblPrEx>
              <w:trPr>
                <w:cantSplit/>
                <w:trHeight w:val="90" w:hRule="atLeast"/>
                <w:jc w:val="center"/>
              </w:trPr>
              <w:tc>
                <w:tcPr>
                  <w:tcW w:w="461" w:type="pct"/>
                  <w:vMerge w:val="continue"/>
                  <w:vAlign w:val="center"/>
                </w:tcPr>
                <w:p>
                  <w:pPr>
                    <w:adjustRightInd w:val="0"/>
                    <w:snapToGrid w:val="0"/>
                    <w:jc w:val="center"/>
                    <w:rPr>
                      <w:szCs w:val="21"/>
                    </w:rPr>
                  </w:pPr>
                </w:p>
              </w:tc>
              <w:tc>
                <w:tcPr>
                  <w:tcW w:w="509" w:type="pct"/>
                  <w:vAlign w:val="center"/>
                </w:tcPr>
                <w:p>
                  <w:pPr>
                    <w:jc w:val="center"/>
                    <w:rPr>
                      <w:szCs w:val="21"/>
                    </w:rPr>
                  </w:pPr>
                  <w:r>
                    <w:rPr>
                      <w:rFonts w:hint="eastAsia"/>
                    </w:rPr>
                    <w:t>6</w:t>
                  </w:r>
                </w:p>
              </w:tc>
              <w:tc>
                <w:tcPr>
                  <w:tcW w:w="623" w:type="pct"/>
                  <w:vAlign w:val="center"/>
                </w:tcPr>
                <w:p>
                  <w:pPr>
                    <w:jc w:val="center"/>
                  </w:pPr>
                  <w:r>
                    <w:rPr>
                      <w:rFonts w:hint="eastAsia"/>
                      <w:szCs w:val="21"/>
                    </w:rPr>
                    <w:t>pH</w:t>
                  </w:r>
                </w:p>
              </w:tc>
              <w:tc>
                <w:tcPr>
                  <w:tcW w:w="690" w:type="pct"/>
                  <w:vAlign w:val="center"/>
                </w:tcPr>
                <w:p>
                  <w:pPr>
                    <w:jc w:val="center"/>
                  </w:pPr>
                  <w:r>
                    <w:rPr>
                      <w:rFonts w:hint="eastAsia"/>
                      <w:szCs w:val="21"/>
                    </w:rPr>
                    <w:t>6~9</w:t>
                  </w:r>
                </w:p>
              </w:tc>
              <w:tc>
                <w:tcPr>
                  <w:tcW w:w="2714" w:type="pct"/>
                  <w:vMerge w:val="continue"/>
                  <w:vAlign w:val="center"/>
                </w:tcPr>
                <w:p>
                  <w:pPr>
                    <w:adjustRightInd w:val="0"/>
                    <w:snapToGrid w:val="0"/>
                    <w:jc w:val="center"/>
                    <w:rPr>
                      <w:szCs w:val="21"/>
                    </w:rPr>
                  </w:pPr>
                </w:p>
              </w:tc>
            </w:tr>
            <w:tr>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108" w:type="dxa"/>
                  <w:bottom w:w="0" w:type="dxa"/>
                  <w:right w:w="108" w:type="dxa"/>
                </w:tblCellMar>
              </w:tblPrEx>
              <w:trPr>
                <w:cantSplit/>
                <w:trHeight w:val="90" w:hRule="atLeast"/>
                <w:jc w:val="center"/>
              </w:trPr>
              <w:tc>
                <w:tcPr>
                  <w:tcW w:w="461" w:type="pct"/>
                  <w:vMerge w:val="restart"/>
                  <w:vAlign w:val="center"/>
                </w:tcPr>
                <w:p>
                  <w:pPr>
                    <w:adjustRightInd w:val="0"/>
                    <w:snapToGrid w:val="0"/>
                    <w:jc w:val="center"/>
                    <w:rPr>
                      <w:szCs w:val="21"/>
                    </w:rPr>
                  </w:pPr>
                  <w:r>
                    <w:rPr>
                      <w:szCs w:val="21"/>
                    </w:rPr>
                    <w:t>2021年1月1日~以后</w:t>
                  </w:r>
                </w:p>
              </w:tc>
              <w:tc>
                <w:tcPr>
                  <w:tcW w:w="509" w:type="pct"/>
                  <w:vAlign w:val="center"/>
                </w:tcPr>
                <w:p>
                  <w:pPr>
                    <w:adjustRightInd w:val="0"/>
                    <w:snapToGrid w:val="0"/>
                    <w:jc w:val="center"/>
                    <w:rPr>
                      <w:szCs w:val="21"/>
                    </w:rPr>
                  </w:pPr>
                  <w:r>
                    <w:rPr>
                      <w:rFonts w:hint="eastAsia"/>
                      <w:szCs w:val="21"/>
                    </w:rPr>
                    <w:t>1</w:t>
                  </w:r>
                </w:p>
              </w:tc>
              <w:tc>
                <w:tcPr>
                  <w:tcW w:w="623" w:type="pct"/>
                  <w:vAlign w:val="center"/>
                </w:tcPr>
                <w:p>
                  <w:pPr>
                    <w:adjustRightInd w:val="0"/>
                    <w:snapToGrid w:val="0"/>
                    <w:jc w:val="center"/>
                  </w:pPr>
                  <w:r>
                    <w:rPr>
                      <w:rFonts w:hint="eastAsia"/>
                    </w:rPr>
                    <w:t>COD</w:t>
                  </w:r>
                </w:p>
              </w:tc>
              <w:tc>
                <w:tcPr>
                  <w:tcW w:w="690" w:type="pct"/>
                  <w:vAlign w:val="center"/>
                </w:tcPr>
                <w:p>
                  <w:pPr>
                    <w:adjustRightInd w:val="0"/>
                    <w:snapToGrid w:val="0"/>
                    <w:jc w:val="center"/>
                  </w:pPr>
                  <w:r>
                    <w:rPr>
                      <w:rFonts w:hint="eastAsia"/>
                    </w:rPr>
                    <w:t>50</w:t>
                  </w:r>
                </w:p>
              </w:tc>
              <w:tc>
                <w:tcPr>
                  <w:tcW w:w="2714" w:type="pct"/>
                  <w:vMerge w:val="restart"/>
                  <w:vAlign w:val="center"/>
                </w:tcPr>
                <w:p>
                  <w:pPr>
                    <w:adjustRightInd w:val="0"/>
                    <w:snapToGrid w:val="0"/>
                    <w:jc w:val="center"/>
                  </w:pPr>
                  <w:r>
                    <w:rPr>
                      <w:rFonts w:hint="eastAsia"/>
                      <w:szCs w:val="21"/>
                    </w:rPr>
                    <w:t>《太湖地区城镇污水处理厂及重点工业行业主要水污染物排放限值》（DB32/1072—2018）中表2中的标准</w:t>
                  </w:r>
                </w:p>
              </w:tc>
            </w:tr>
            <w:tr>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108" w:type="dxa"/>
                  <w:bottom w:w="0" w:type="dxa"/>
                  <w:right w:w="108" w:type="dxa"/>
                </w:tblCellMar>
              </w:tblPrEx>
              <w:trPr>
                <w:cantSplit/>
                <w:trHeight w:val="511" w:hRule="atLeast"/>
                <w:jc w:val="center"/>
              </w:trPr>
              <w:tc>
                <w:tcPr>
                  <w:tcW w:w="461" w:type="pct"/>
                  <w:vMerge w:val="continue"/>
                  <w:vAlign w:val="center"/>
                </w:tcPr>
                <w:p>
                  <w:pPr>
                    <w:adjustRightInd w:val="0"/>
                    <w:snapToGrid w:val="0"/>
                    <w:jc w:val="center"/>
                  </w:pPr>
                </w:p>
              </w:tc>
              <w:tc>
                <w:tcPr>
                  <w:tcW w:w="509" w:type="pct"/>
                  <w:vAlign w:val="center"/>
                </w:tcPr>
                <w:p>
                  <w:pPr>
                    <w:adjustRightInd w:val="0"/>
                    <w:snapToGrid w:val="0"/>
                    <w:jc w:val="center"/>
                  </w:pPr>
                  <w:r>
                    <w:rPr>
                      <w:rFonts w:hint="eastAsia"/>
                    </w:rPr>
                    <w:t>2</w:t>
                  </w:r>
                </w:p>
              </w:tc>
              <w:tc>
                <w:tcPr>
                  <w:tcW w:w="623" w:type="pct"/>
                  <w:vAlign w:val="center"/>
                </w:tcPr>
                <w:p>
                  <w:pPr>
                    <w:adjustRightInd w:val="0"/>
                    <w:snapToGrid w:val="0"/>
                    <w:jc w:val="center"/>
                  </w:pPr>
                  <w:r>
                    <w:rPr>
                      <w:rFonts w:hint="eastAsia"/>
                    </w:rPr>
                    <w:t>TP</w:t>
                  </w:r>
                </w:p>
              </w:tc>
              <w:tc>
                <w:tcPr>
                  <w:tcW w:w="690" w:type="pct"/>
                  <w:vAlign w:val="center"/>
                </w:tcPr>
                <w:p>
                  <w:pPr>
                    <w:adjustRightInd w:val="0"/>
                    <w:snapToGrid w:val="0"/>
                    <w:jc w:val="center"/>
                  </w:pPr>
                  <w:r>
                    <w:rPr>
                      <w:rFonts w:hint="eastAsia"/>
                    </w:rPr>
                    <w:t>0.5</w:t>
                  </w:r>
                </w:p>
              </w:tc>
              <w:tc>
                <w:tcPr>
                  <w:tcW w:w="2714" w:type="pct"/>
                  <w:vMerge w:val="continue"/>
                  <w:vAlign w:val="center"/>
                </w:tcPr>
                <w:p>
                  <w:pPr>
                    <w:adjustRightInd w:val="0"/>
                    <w:snapToGrid w:val="0"/>
                    <w:jc w:val="center"/>
                  </w:pPr>
                </w:p>
              </w:tc>
            </w:tr>
            <w:tr>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108" w:type="dxa"/>
                  <w:bottom w:w="0" w:type="dxa"/>
                  <w:right w:w="108" w:type="dxa"/>
                </w:tblCellMar>
              </w:tblPrEx>
              <w:trPr>
                <w:cantSplit/>
                <w:trHeight w:val="590" w:hRule="atLeast"/>
                <w:jc w:val="center"/>
              </w:trPr>
              <w:tc>
                <w:tcPr>
                  <w:tcW w:w="461" w:type="pct"/>
                  <w:vMerge w:val="continue"/>
                  <w:vAlign w:val="center"/>
                </w:tcPr>
                <w:p>
                  <w:pPr>
                    <w:adjustRightInd w:val="0"/>
                    <w:snapToGrid w:val="0"/>
                    <w:jc w:val="center"/>
                  </w:pPr>
                </w:p>
              </w:tc>
              <w:tc>
                <w:tcPr>
                  <w:tcW w:w="509" w:type="pct"/>
                  <w:vAlign w:val="center"/>
                </w:tcPr>
                <w:p>
                  <w:pPr>
                    <w:adjustRightInd w:val="0"/>
                    <w:snapToGrid w:val="0"/>
                    <w:jc w:val="center"/>
                  </w:pPr>
                  <w:r>
                    <w:rPr>
                      <w:rFonts w:hint="eastAsia"/>
                    </w:rPr>
                    <w:t>3</w:t>
                  </w:r>
                </w:p>
              </w:tc>
              <w:tc>
                <w:tcPr>
                  <w:tcW w:w="623" w:type="pct"/>
                  <w:vAlign w:val="center"/>
                </w:tcPr>
                <w:p>
                  <w:pPr>
                    <w:adjustRightInd w:val="0"/>
                    <w:snapToGrid w:val="0"/>
                    <w:jc w:val="center"/>
                  </w:pPr>
                  <w:r>
                    <w:rPr>
                      <w:rFonts w:hint="eastAsia"/>
                    </w:rPr>
                    <w:t>TN</w:t>
                  </w:r>
                </w:p>
              </w:tc>
              <w:tc>
                <w:tcPr>
                  <w:tcW w:w="690" w:type="pct"/>
                  <w:vAlign w:val="center"/>
                </w:tcPr>
                <w:p>
                  <w:pPr>
                    <w:adjustRightInd w:val="0"/>
                    <w:snapToGrid w:val="0"/>
                    <w:jc w:val="center"/>
                  </w:pPr>
                  <w:r>
                    <w:rPr>
                      <w:rFonts w:hint="eastAsia"/>
                    </w:rPr>
                    <w:t>12（15）*</w:t>
                  </w:r>
                </w:p>
              </w:tc>
              <w:tc>
                <w:tcPr>
                  <w:tcW w:w="2714" w:type="pct"/>
                  <w:vMerge w:val="continue"/>
                  <w:vAlign w:val="center"/>
                </w:tcPr>
                <w:p>
                  <w:pPr>
                    <w:adjustRightInd w:val="0"/>
                    <w:snapToGrid w:val="0"/>
                    <w:jc w:val="center"/>
                  </w:pPr>
                </w:p>
              </w:tc>
            </w:tr>
            <w:tr>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108" w:type="dxa"/>
                  <w:bottom w:w="0" w:type="dxa"/>
                  <w:right w:w="108" w:type="dxa"/>
                </w:tblCellMar>
              </w:tblPrEx>
              <w:trPr>
                <w:cantSplit/>
                <w:trHeight w:val="804" w:hRule="atLeast"/>
                <w:jc w:val="center"/>
              </w:trPr>
              <w:tc>
                <w:tcPr>
                  <w:tcW w:w="461" w:type="pct"/>
                  <w:vMerge w:val="continue"/>
                  <w:vAlign w:val="center"/>
                </w:tcPr>
                <w:p>
                  <w:pPr>
                    <w:adjustRightInd w:val="0"/>
                    <w:snapToGrid w:val="0"/>
                    <w:jc w:val="center"/>
                  </w:pPr>
                </w:p>
              </w:tc>
              <w:tc>
                <w:tcPr>
                  <w:tcW w:w="509" w:type="pct"/>
                  <w:vAlign w:val="center"/>
                </w:tcPr>
                <w:p>
                  <w:pPr>
                    <w:adjustRightInd w:val="0"/>
                    <w:snapToGrid w:val="0"/>
                    <w:jc w:val="center"/>
                  </w:pPr>
                  <w:r>
                    <w:rPr>
                      <w:rFonts w:hint="eastAsia"/>
                    </w:rPr>
                    <w:t>4</w:t>
                  </w:r>
                </w:p>
              </w:tc>
              <w:tc>
                <w:tcPr>
                  <w:tcW w:w="623" w:type="pct"/>
                  <w:vAlign w:val="center"/>
                </w:tcPr>
                <w:p>
                  <w:pPr>
                    <w:adjustRightInd w:val="0"/>
                    <w:snapToGrid w:val="0"/>
                    <w:jc w:val="center"/>
                  </w:pPr>
                  <w:r>
                    <w:rPr>
                      <w:rFonts w:hint="eastAsia"/>
                    </w:rPr>
                    <w:t>NH</w:t>
                  </w:r>
                  <w:r>
                    <w:rPr>
                      <w:rFonts w:hint="eastAsia"/>
                      <w:vertAlign w:val="subscript"/>
                    </w:rPr>
                    <w:t>3</w:t>
                  </w:r>
                  <w:r>
                    <w:rPr>
                      <w:rFonts w:hint="eastAsia"/>
                    </w:rPr>
                    <w:t>-H</w:t>
                  </w:r>
                </w:p>
              </w:tc>
              <w:tc>
                <w:tcPr>
                  <w:tcW w:w="690" w:type="pct"/>
                  <w:vAlign w:val="center"/>
                </w:tcPr>
                <w:p>
                  <w:pPr>
                    <w:adjustRightInd w:val="0"/>
                    <w:snapToGrid w:val="0"/>
                    <w:jc w:val="center"/>
                  </w:pPr>
                  <w:r>
                    <w:rPr>
                      <w:rFonts w:hint="eastAsia"/>
                    </w:rPr>
                    <w:t>4（6）*</w:t>
                  </w:r>
                </w:p>
              </w:tc>
              <w:tc>
                <w:tcPr>
                  <w:tcW w:w="2714" w:type="pct"/>
                  <w:vMerge w:val="continue"/>
                  <w:vAlign w:val="center"/>
                </w:tcPr>
                <w:p>
                  <w:pPr>
                    <w:adjustRightInd w:val="0"/>
                    <w:snapToGrid w:val="0"/>
                    <w:jc w:val="center"/>
                  </w:pPr>
                </w:p>
              </w:tc>
            </w:tr>
            <w:tr>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108" w:type="dxa"/>
                  <w:bottom w:w="0" w:type="dxa"/>
                  <w:right w:w="108" w:type="dxa"/>
                </w:tblCellMar>
              </w:tblPrEx>
              <w:trPr>
                <w:cantSplit/>
                <w:trHeight w:val="410" w:hRule="atLeast"/>
                <w:jc w:val="center"/>
              </w:trPr>
              <w:tc>
                <w:tcPr>
                  <w:tcW w:w="461" w:type="pct"/>
                  <w:vMerge w:val="continue"/>
                  <w:vAlign w:val="center"/>
                </w:tcPr>
                <w:p>
                  <w:pPr>
                    <w:widowControl/>
                    <w:jc w:val="center"/>
                    <w:rPr>
                      <w:snapToGrid w:val="0"/>
                      <w:kern w:val="18"/>
                      <w:szCs w:val="21"/>
                    </w:rPr>
                  </w:pPr>
                </w:p>
              </w:tc>
              <w:tc>
                <w:tcPr>
                  <w:tcW w:w="509" w:type="pct"/>
                  <w:vAlign w:val="center"/>
                </w:tcPr>
                <w:p>
                  <w:pPr>
                    <w:widowControl/>
                    <w:jc w:val="center"/>
                    <w:rPr>
                      <w:snapToGrid w:val="0"/>
                      <w:kern w:val="18"/>
                      <w:szCs w:val="21"/>
                    </w:rPr>
                  </w:pPr>
                  <w:r>
                    <w:rPr>
                      <w:rFonts w:hint="eastAsia"/>
                      <w:snapToGrid w:val="0"/>
                      <w:kern w:val="18"/>
                      <w:szCs w:val="21"/>
                    </w:rPr>
                    <w:t>5</w:t>
                  </w:r>
                </w:p>
              </w:tc>
              <w:tc>
                <w:tcPr>
                  <w:tcW w:w="623" w:type="pct"/>
                  <w:vAlign w:val="center"/>
                </w:tcPr>
                <w:p>
                  <w:pPr>
                    <w:widowControl/>
                    <w:jc w:val="center"/>
                    <w:rPr>
                      <w:szCs w:val="21"/>
                    </w:rPr>
                  </w:pPr>
                  <w:r>
                    <w:rPr>
                      <w:rFonts w:hint="eastAsia"/>
                      <w:szCs w:val="21"/>
                    </w:rPr>
                    <w:t>SS</w:t>
                  </w:r>
                </w:p>
              </w:tc>
              <w:tc>
                <w:tcPr>
                  <w:tcW w:w="690" w:type="pct"/>
                  <w:vAlign w:val="center"/>
                </w:tcPr>
                <w:p>
                  <w:pPr>
                    <w:widowControl/>
                    <w:jc w:val="center"/>
                    <w:rPr>
                      <w:szCs w:val="21"/>
                    </w:rPr>
                  </w:pPr>
                  <w:r>
                    <w:rPr>
                      <w:rFonts w:hint="eastAsia"/>
                      <w:szCs w:val="21"/>
                    </w:rPr>
                    <w:t>10</w:t>
                  </w:r>
                </w:p>
              </w:tc>
              <w:tc>
                <w:tcPr>
                  <w:tcW w:w="2714" w:type="pct"/>
                  <w:vMerge w:val="restart"/>
                  <w:vAlign w:val="center"/>
                </w:tcPr>
                <w:p>
                  <w:pPr>
                    <w:widowControl/>
                    <w:jc w:val="center"/>
                    <w:rPr>
                      <w:szCs w:val="21"/>
                    </w:rPr>
                  </w:pPr>
                  <w:r>
                    <w:rPr>
                      <w:snapToGrid w:val="0"/>
                      <w:kern w:val="18"/>
                      <w:szCs w:val="21"/>
                    </w:rPr>
                    <w:t>《城镇污水处理厂污染物排放标准》</w:t>
                  </w:r>
                  <w:r>
                    <w:rPr>
                      <w:szCs w:val="21"/>
                    </w:rPr>
                    <w:t>（</w:t>
                  </w:r>
                  <w:r>
                    <w:rPr>
                      <w:snapToGrid w:val="0"/>
                      <w:kern w:val="18"/>
                      <w:szCs w:val="21"/>
                    </w:rPr>
                    <w:t>GB18918</w:t>
                  </w:r>
                  <w:r>
                    <w:rPr>
                      <w:szCs w:val="21"/>
                    </w:rPr>
                    <w:t>-2002）及其修改单中</w:t>
                  </w:r>
                  <w:r>
                    <w:rPr>
                      <w:snapToGrid w:val="0"/>
                      <w:kern w:val="18"/>
                      <w:szCs w:val="21"/>
                    </w:rPr>
                    <w:t>一级</w:t>
                  </w:r>
                  <w:r>
                    <w:rPr>
                      <w:szCs w:val="21"/>
                    </w:rPr>
                    <w:t>A标准</w:t>
                  </w:r>
                </w:p>
              </w:tc>
            </w:tr>
            <w:tr>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108" w:type="dxa"/>
                  <w:bottom w:w="0" w:type="dxa"/>
                  <w:right w:w="108" w:type="dxa"/>
                </w:tblCellMar>
              </w:tblPrEx>
              <w:trPr>
                <w:cantSplit/>
                <w:jc w:val="center"/>
              </w:trPr>
              <w:tc>
                <w:tcPr>
                  <w:tcW w:w="461" w:type="pct"/>
                  <w:vMerge w:val="continue"/>
                  <w:vAlign w:val="center"/>
                </w:tcPr>
                <w:p>
                  <w:pPr>
                    <w:jc w:val="center"/>
                  </w:pPr>
                </w:p>
              </w:tc>
              <w:tc>
                <w:tcPr>
                  <w:tcW w:w="509" w:type="pct"/>
                  <w:vAlign w:val="center"/>
                </w:tcPr>
                <w:p>
                  <w:pPr>
                    <w:jc w:val="center"/>
                  </w:pPr>
                  <w:r>
                    <w:rPr>
                      <w:rFonts w:hint="eastAsia"/>
                    </w:rPr>
                    <w:t>6</w:t>
                  </w:r>
                </w:p>
              </w:tc>
              <w:tc>
                <w:tcPr>
                  <w:tcW w:w="623" w:type="pct"/>
                  <w:vAlign w:val="center"/>
                </w:tcPr>
                <w:p>
                  <w:pPr>
                    <w:jc w:val="center"/>
                    <w:rPr>
                      <w:szCs w:val="21"/>
                    </w:rPr>
                  </w:pPr>
                  <w:r>
                    <w:rPr>
                      <w:rFonts w:hint="eastAsia"/>
                      <w:szCs w:val="21"/>
                    </w:rPr>
                    <w:t>pH</w:t>
                  </w:r>
                </w:p>
              </w:tc>
              <w:tc>
                <w:tcPr>
                  <w:tcW w:w="690" w:type="pct"/>
                  <w:vAlign w:val="center"/>
                </w:tcPr>
                <w:p>
                  <w:pPr>
                    <w:jc w:val="center"/>
                    <w:rPr>
                      <w:szCs w:val="21"/>
                    </w:rPr>
                  </w:pPr>
                  <w:r>
                    <w:rPr>
                      <w:rFonts w:hint="eastAsia"/>
                      <w:szCs w:val="21"/>
                    </w:rPr>
                    <w:t>6~9</w:t>
                  </w:r>
                </w:p>
              </w:tc>
              <w:tc>
                <w:tcPr>
                  <w:tcW w:w="2714" w:type="pct"/>
                  <w:vMerge w:val="continue"/>
                  <w:vAlign w:val="center"/>
                </w:tcPr>
                <w:p>
                  <w:pPr>
                    <w:jc w:val="center"/>
                    <w:rPr>
                      <w:szCs w:val="21"/>
                    </w:rPr>
                  </w:pPr>
                </w:p>
              </w:tc>
            </w:tr>
          </w:tbl>
          <w:p>
            <w:pPr>
              <w:ind w:firstLine="360" w:firstLineChars="200"/>
              <w:rPr>
                <w:b/>
                <w:bCs/>
                <w:sz w:val="18"/>
                <w:szCs w:val="18"/>
              </w:rPr>
            </w:pPr>
            <w:r>
              <w:rPr>
                <w:b/>
                <w:bCs/>
                <w:sz w:val="18"/>
                <w:szCs w:val="18"/>
              </w:rPr>
              <w:t>注*：括号外数值为水温＞12℃时的控制指标，括号内数值为水温≤12℃时的控制指标。</w:t>
            </w:r>
          </w:p>
          <w:p>
            <w:pPr>
              <w:spacing w:line="360" w:lineRule="auto"/>
              <w:ind w:firstLine="480" w:firstLineChars="200"/>
              <w:rPr>
                <w:b/>
                <w:sz w:val="24"/>
                <w:szCs w:val="24"/>
              </w:rPr>
            </w:pPr>
            <w:r>
              <w:rPr>
                <w:b/>
                <w:sz w:val="24"/>
                <w:szCs w:val="24"/>
              </w:rPr>
              <w:t>3、噪声排放标准</w:t>
            </w:r>
          </w:p>
          <w:p>
            <w:pPr>
              <w:snapToGrid w:val="0"/>
              <w:spacing w:line="360" w:lineRule="auto"/>
              <w:ind w:firstLine="600" w:firstLineChars="250"/>
              <w:rPr>
                <w:sz w:val="24"/>
              </w:rPr>
            </w:pPr>
            <w:r>
              <w:rPr>
                <w:sz w:val="24"/>
              </w:rPr>
              <w:t>本项目</w:t>
            </w:r>
            <w:r>
              <w:rPr>
                <w:rFonts w:hint="eastAsia"/>
                <w:spacing w:val="-6"/>
                <w:sz w:val="24"/>
              </w:rPr>
              <w:t>营运期</w:t>
            </w:r>
            <w:r>
              <w:rPr>
                <w:spacing w:val="-6"/>
                <w:sz w:val="24"/>
              </w:rPr>
              <w:t>项目厂界</w:t>
            </w:r>
            <w:r>
              <w:rPr>
                <w:rFonts w:hint="eastAsia"/>
                <w:spacing w:val="-6"/>
                <w:sz w:val="24"/>
              </w:rPr>
              <w:t>噪声</w:t>
            </w:r>
            <w:r>
              <w:rPr>
                <w:spacing w:val="-6"/>
                <w:sz w:val="24"/>
              </w:rPr>
              <w:t>执行《工业企业厂界环境噪声排放标准》（GB12348-2008）表1中</w:t>
            </w:r>
            <w:r>
              <w:rPr>
                <w:rFonts w:hint="eastAsia"/>
                <w:spacing w:val="-6"/>
                <w:sz w:val="24"/>
              </w:rPr>
              <w:t>3</w:t>
            </w:r>
            <w:r>
              <w:rPr>
                <w:spacing w:val="-6"/>
                <w:sz w:val="24"/>
              </w:rPr>
              <w:t>类区</w:t>
            </w:r>
            <w:r>
              <w:rPr>
                <w:rFonts w:hint="eastAsia"/>
                <w:spacing w:val="-6"/>
                <w:sz w:val="24"/>
              </w:rPr>
              <w:t>限值。</w:t>
            </w:r>
            <w:r>
              <w:rPr>
                <w:spacing w:val="-6"/>
                <w:sz w:val="24"/>
              </w:rPr>
              <w:t>具体</w:t>
            </w:r>
            <w:r>
              <w:rPr>
                <w:rFonts w:hint="eastAsia"/>
                <w:spacing w:val="-6"/>
                <w:sz w:val="24"/>
              </w:rPr>
              <w:t>限值</w:t>
            </w:r>
            <w:r>
              <w:rPr>
                <w:spacing w:val="-6"/>
                <w:sz w:val="24"/>
              </w:rPr>
              <w:t>见</w:t>
            </w:r>
            <w:r>
              <w:rPr>
                <w:sz w:val="24"/>
              </w:rPr>
              <w:t>表4-</w:t>
            </w:r>
            <w:r>
              <w:rPr>
                <w:rFonts w:hint="eastAsia"/>
                <w:sz w:val="24"/>
              </w:rPr>
              <w:t>8</w:t>
            </w:r>
            <w:r>
              <w:rPr>
                <w:sz w:val="24"/>
              </w:rPr>
              <w:t>。</w:t>
            </w:r>
          </w:p>
          <w:p>
            <w:pPr>
              <w:snapToGrid w:val="0"/>
              <w:ind w:firstLine="495" w:firstLineChars="250"/>
              <w:jc w:val="center"/>
              <w:rPr>
                <w:b/>
                <w:spacing w:val="-6"/>
                <w:szCs w:val="21"/>
              </w:rPr>
            </w:pPr>
            <w:r>
              <w:rPr>
                <w:b/>
                <w:spacing w:val="-6"/>
                <w:szCs w:val="21"/>
              </w:rPr>
              <w:t>表4-</w:t>
            </w:r>
            <w:r>
              <w:rPr>
                <w:rFonts w:hint="eastAsia"/>
                <w:b/>
                <w:spacing w:val="-6"/>
                <w:szCs w:val="21"/>
              </w:rPr>
              <w:t xml:space="preserve">8 </w:t>
            </w:r>
            <w:r>
              <w:rPr>
                <w:b/>
                <w:spacing w:val="-6"/>
                <w:szCs w:val="21"/>
              </w:rPr>
              <w:t xml:space="preserve"> 工业企业厂界噪声排放</w:t>
            </w:r>
            <w:r>
              <w:rPr>
                <w:rStyle w:val="75"/>
                <w:rFonts w:hint="eastAsia"/>
                <w:b/>
                <w:bCs/>
              </w:rPr>
              <w:t>限值</w:t>
            </w:r>
            <w:r>
              <w:rPr>
                <w:spacing w:val="-6"/>
                <w:szCs w:val="21"/>
              </w:rPr>
              <w:t xml:space="preserve">  </w:t>
            </w:r>
            <w:r>
              <w:rPr>
                <w:b/>
                <w:spacing w:val="-6"/>
                <w:szCs w:val="21"/>
              </w:rPr>
              <w:t xml:space="preserve">     单位：dB(A)</w:t>
            </w:r>
          </w:p>
          <w:tbl>
            <w:tblPr>
              <w:tblStyle w:val="56"/>
              <w:tblW w:w="7815" w:type="dxa"/>
              <w:jc w:val="center"/>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Layout w:type="fixed"/>
              <w:tblCellMar>
                <w:top w:w="0" w:type="dxa"/>
                <w:left w:w="108" w:type="dxa"/>
                <w:bottom w:w="0" w:type="dxa"/>
                <w:right w:w="108" w:type="dxa"/>
              </w:tblCellMar>
            </w:tblPr>
            <w:tblGrid>
              <w:gridCol w:w="1043"/>
              <w:gridCol w:w="885"/>
              <w:gridCol w:w="915"/>
              <w:gridCol w:w="4972"/>
            </w:tblGrid>
            <w:tr>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108" w:type="dxa"/>
                  <w:bottom w:w="0" w:type="dxa"/>
                  <w:right w:w="108" w:type="dxa"/>
                </w:tblCellMar>
              </w:tblPrEx>
              <w:trPr>
                <w:cantSplit/>
                <w:trHeight w:val="340" w:hRule="atLeast"/>
                <w:jc w:val="center"/>
              </w:trPr>
              <w:tc>
                <w:tcPr>
                  <w:tcW w:w="1043" w:type="dxa"/>
                  <w:vAlign w:val="center"/>
                </w:tcPr>
                <w:p>
                  <w:pPr>
                    <w:snapToGrid w:val="0"/>
                    <w:jc w:val="center"/>
                    <w:rPr>
                      <w:b/>
                      <w:spacing w:val="-6"/>
                      <w:szCs w:val="21"/>
                    </w:rPr>
                  </w:pPr>
                  <w:r>
                    <w:rPr>
                      <w:b/>
                      <w:spacing w:val="-6"/>
                      <w:szCs w:val="21"/>
                    </w:rPr>
                    <w:t>评价</w:t>
                  </w:r>
                  <w:r>
                    <w:rPr>
                      <w:rFonts w:hint="eastAsia"/>
                      <w:b/>
                      <w:spacing w:val="-6"/>
                      <w:szCs w:val="21"/>
                    </w:rPr>
                    <w:t>限值</w:t>
                  </w:r>
                </w:p>
              </w:tc>
              <w:tc>
                <w:tcPr>
                  <w:tcW w:w="885" w:type="dxa"/>
                  <w:vAlign w:val="center"/>
                </w:tcPr>
                <w:p>
                  <w:pPr>
                    <w:snapToGrid w:val="0"/>
                    <w:jc w:val="center"/>
                    <w:rPr>
                      <w:b/>
                      <w:spacing w:val="-6"/>
                      <w:szCs w:val="21"/>
                    </w:rPr>
                  </w:pPr>
                  <w:r>
                    <w:rPr>
                      <w:b/>
                      <w:spacing w:val="-6"/>
                      <w:szCs w:val="21"/>
                    </w:rPr>
                    <w:t>昼间</w:t>
                  </w:r>
                </w:p>
              </w:tc>
              <w:tc>
                <w:tcPr>
                  <w:tcW w:w="915" w:type="dxa"/>
                  <w:vAlign w:val="center"/>
                </w:tcPr>
                <w:p>
                  <w:pPr>
                    <w:snapToGrid w:val="0"/>
                    <w:jc w:val="center"/>
                    <w:rPr>
                      <w:b/>
                      <w:spacing w:val="-6"/>
                      <w:szCs w:val="21"/>
                    </w:rPr>
                  </w:pPr>
                  <w:r>
                    <w:rPr>
                      <w:b/>
                      <w:spacing w:val="-6"/>
                      <w:szCs w:val="21"/>
                    </w:rPr>
                    <w:t>夜间</w:t>
                  </w:r>
                </w:p>
              </w:tc>
              <w:tc>
                <w:tcPr>
                  <w:tcW w:w="4972" w:type="dxa"/>
                  <w:vAlign w:val="center"/>
                </w:tcPr>
                <w:p>
                  <w:pPr>
                    <w:snapToGrid w:val="0"/>
                    <w:jc w:val="center"/>
                    <w:rPr>
                      <w:b/>
                      <w:spacing w:val="-6"/>
                      <w:szCs w:val="21"/>
                    </w:rPr>
                  </w:pPr>
                  <w:r>
                    <w:rPr>
                      <w:rFonts w:hint="eastAsia"/>
                      <w:b/>
                      <w:spacing w:val="-6"/>
                      <w:szCs w:val="21"/>
                    </w:rPr>
                    <w:t>限值来源</w:t>
                  </w:r>
                </w:p>
              </w:tc>
            </w:tr>
            <w:tr>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108" w:type="dxa"/>
                  <w:bottom w:w="0" w:type="dxa"/>
                  <w:right w:w="108" w:type="dxa"/>
                </w:tblCellMar>
              </w:tblPrEx>
              <w:trPr>
                <w:cantSplit/>
                <w:trHeight w:val="340" w:hRule="atLeast"/>
                <w:jc w:val="center"/>
              </w:trPr>
              <w:tc>
                <w:tcPr>
                  <w:tcW w:w="1043" w:type="dxa"/>
                  <w:vAlign w:val="center"/>
                </w:tcPr>
                <w:p>
                  <w:pPr>
                    <w:jc w:val="center"/>
                    <w:rPr>
                      <w:szCs w:val="21"/>
                    </w:rPr>
                  </w:pPr>
                  <w:r>
                    <w:rPr>
                      <w:rFonts w:hint="eastAsia"/>
                      <w:szCs w:val="21"/>
                    </w:rPr>
                    <w:t>3类区</w:t>
                  </w:r>
                </w:p>
              </w:tc>
              <w:tc>
                <w:tcPr>
                  <w:tcW w:w="885" w:type="dxa"/>
                  <w:vAlign w:val="center"/>
                </w:tcPr>
                <w:p>
                  <w:pPr>
                    <w:jc w:val="center"/>
                    <w:rPr>
                      <w:szCs w:val="21"/>
                    </w:rPr>
                  </w:pPr>
                  <w:r>
                    <w:rPr>
                      <w:rFonts w:hint="eastAsia"/>
                      <w:szCs w:val="21"/>
                    </w:rPr>
                    <w:t>65</w:t>
                  </w:r>
                </w:p>
              </w:tc>
              <w:tc>
                <w:tcPr>
                  <w:tcW w:w="915" w:type="dxa"/>
                  <w:vAlign w:val="center"/>
                </w:tcPr>
                <w:p>
                  <w:pPr>
                    <w:jc w:val="center"/>
                    <w:rPr>
                      <w:szCs w:val="21"/>
                    </w:rPr>
                  </w:pPr>
                  <w:r>
                    <w:rPr>
                      <w:rFonts w:hint="eastAsia"/>
                      <w:szCs w:val="21"/>
                    </w:rPr>
                    <w:t>55</w:t>
                  </w:r>
                </w:p>
              </w:tc>
              <w:tc>
                <w:tcPr>
                  <w:tcW w:w="4972" w:type="dxa"/>
                  <w:vAlign w:val="center"/>
                </w:tcPr>
                <w:p>
                  <w:pPr>
                    <w:rPr>
                      <w:szCs w:val="21"/>
                    </w:rPr>
                  </w:pPr>
                  <w:r>
                    <w:rPr>
                      <w:szCs w:val="21"/>
                    </w:rPr>
                    <w:t>《工业企业厂界环境噪声排放标准》（GB12348-2008）</w:t>
                  </w:r>
                </w:p>
              </w:tc>
            </w:tr>
          </w:tbl>
          <w:p>
            <w:pPr>
              <w:spacing w:line="360" w:lineRule="auto"/>
              <w:ind w:firstLine="480" w:firstLineChars="200"/>
              <w:rPr>
                <w:b/>
                <w:sz w:val="24"/>
                <w:szCs w:val="24"/>
              </w:rPr>
            </w:pPr>
            <w:r>
              <w:rPr>
                <w:b/>
                <w:sz w:val="24"/>
                <w:szCs w:val="24"/>
              </w:rPr>
              <w:t>4、固废</w:t>
            </w:r>
          </w:p>
          <w:p>
            <w:pPr>
              <w:adjustRightInd w:val="0"/>
              <w:snapToGrid w:val="0"/>
              <w:spacing w:line="360" w:lineRule="auto"/>
              <w:ind w:firstLine="480" w:firstLineChars="200"/>
              <w:rPr>
                <w:sz w:val="24"/>
                <w:szCs w:val="24"/>
              </w:rPr>
            </w:pPr>
            <w:r>
              <w:rPr>
                <w:sz w:val="24"/>
              </w:rPr>
              <w:t>本项目一般性固体废物执行《一般工业固体废物贮存、处置场污染物控制标准》（GB18599-2001）及修改单（环保部公告2013年第36号）中标准要求</w:t>
            </w:r>
            <w:r>
              <w:rPr>
                <w:rFonts w:hint="eastAsia"/>
                <w:sz w:val="24"/>
              </w:rPr>
              <w:t>；</w:t>
            </w:r>
            <w:r>
              <w:rPr>
                <w:sz w:val="24"/>
              </w:rPr>
              <w:t>危险废物执行《危险废物贮存污染控制标准》（GB18597-2001）及修改单（环保部公告2013年第36号）中标准要求。</w:t>
            </w:r>
          </w:p>
          <w:p>
            <w:pPr>
              <w:rPr>
                <w:sz w:val="24"/>
                <w:szCs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3735" w:hRule="atLeast"/>
          <w:jc w:val="center"/>
        </w:trPr>
        <w:tc>
          <w:tcPr>
            <w:tcW w:w="497" w:type="dxa"/>
            <w:vAlign w:val="center"/>
          </w:tcPr>
          <w:p>
            <w:pPr>
              <w:snapToGrid w:val="0"/>
              <w:jc w:val="center"/>
              <w:rPr>
                <w:sz w:val="24"/>
              </w:rPr>
            </w:pPr>
            <w:r>
              <w:rPr>
                <w:sz w:val="24"/>
              </w:rPr>
              <w:t>总量控制</w:t>
            </w:r>
          </w:p>
          <w:p>
            <w:pPr>
              <w:snapToGrid w:val="0"/>
              <w:jc w:val="center"/>
              <w:rPr>
                <w:sz w:val="24"/>
              </w:rPr>
            </w:pPr>
            <w:r>
              <w:rPr>
                <w:sz w:val="24"/>
              </w:rPr>
              <w:t>指标</w:t>
            </w:r>
          </w:p>
        </w:tc>
        <w:tc>
          <w:tcPr>
            <w:tcW w:w="8031" w:type="dxa"/>
          </w:tcPr>
          <w:p>
            <w:pPr>
              <w:tabs>
                <w:tab w:val="left" w:pos="1367"/>
              </w:tabs>
              <w:spacing w:line="360" w:lineRule="auto"/>
              <w:ind w:firstLine="480" w:firstLineChars="200"/>
              <w:rPr>
                <w:b/>
                <w:sz w:val="24"/>
              </w:rPr>
            </w:pPr>
            <w:r>
              <w:rPr>
                <w:b/>
                <w:sz w:val="24"/>
              </w:rPr>
              <w:t>1、项目污染物总量排放情况</w:t>
            </w:r>
          </w:p>
          <w:p>
            <w:pPr>
              <w:tabs>
                <w:tab w:val="left" w:pos="1367"/>
              </w:tabs>
              <w:spacing w:line="360" w:lineRule="auto"/>
              <w:ind w:firstLine="480" w:firstLineChars="200"/>
              <w:rPr>
                <w:sz w:val="24"/>
              </w:rPr>
            </w:pPr>
            <w:r>
              <w:rPr>
                <w:sz w:val="24"/>
              </w:rPr>
              <w:t>根据《江苏省排放污染物总量控制暂行规定》（省政府38号令）、《江苏省建设项目主要污染物排放总量区域平衡方案审核管理办法》（苏环办[2011]71号）及《关于加强建设项目烟粉尘、挥发性有机物准入审核的通知》（苏环办[2014]148号）等有关规定要求，结合项目排污特征，确定总量控制因子为：</w:t>
            </w:r>
          </w:p>
          <w:p>
            <w:pPr>
              <w:tabs>
                <w:tab w:val="left" w:pos="1367"/>
              </w:tabs>
              <w:spacing w:line="360" w:lineRule="auto"/>
              <w:ind w:firstLine="480" w:firstLineChars="200"/>
              <w:rPr>
                <w:sz w:val="24"/>
              </w:rPr>
            </w:pPr>
            <w:r>
              <w:rPr>
                <w:rFonts w:hint="eastAsia"/>
                <w:sz w:val="24"/>
              </w:rPr>
              <w:t>废气：</w:t>
            </w:r>
            <w:r>
              <w:rPr>
                <w:rFonts w:hint="eastAsia"/>
                <w:sz w:val="24"/>
                <w:lang w:eastAsia="zh-CN"/>
              </w:rPr>
              <w:t>颗粒物（粉尘）、非甲烷总烃</w:t>
            </w:r>
            <w:r>
              <w:rPr>
                <w:rFonts w:hint="eastAsia"/>
                <w:sz w:val="24"/>
              </w:rPr>
              <w:t>；</w:t>
            </w:r>
          </w:p>
          <w:p>
            <w:pPr>
              <w:tabs>
                <w:tab w:val="left" w:pos="1367"/>
              </w:tabs>
              <w:spacing w:line="360" w:lineRule="auto"/>
              <w:ind w:firstLine="480" w:firstLineChars="200"/>
              <w:rPr>
                <w:sz w:val="24"/>
              </w:rPr>
            </w:pPr>
            <w:r>
              <w:rPr>
                <w:sz w:val="24"/>
              </w:rPr>
              <w:t>废水：总量控制因子：COD、NH</w:t>
            </w:r>
            <w:r>
              <w:rPr>
                <w:sz w:val="24"/>
                <w:vertAlign w:val="subscript"/>
              </w:rPr>
              <w:t>3</w:t>
            </w:r>
            <w:r>
              <w:rPr>
                <w:sz w:val="24"/>
              </w:rPr>
              <w:t>-N、TP、TN；特征考核因子：SS；</w:t>
            </w:r>
          </w:p>
          <w:p>
            <w:pPr>
              <w:tabs>
                <w:tab w:val="left" w:pos="1367"/>
              </w:tabs>
              <w:spacing w:line="360" w:lineRule="auto"/>
              <w:ind w:firstLine="480" w:firstLineChars="200"/>
              <w:rPr>
                <w:sz w:val="24"/>
              </w:rPr>
            </w:pPr>
            <w:r>
              <w:rPr>
                <w:sz w:val="24"/>
              </w:rPr>
              <w:t>固废：工业固体废物排放量。</w:t>
            </w:r>
          </w:p>
          <w:p>
            <w:pPr>
              <w:tabs>
                <w:tab w:val="left" w:pos="1367"/>
              </w:tabs>
              <w:spacing w:line="360" w:lineRule="auto"/>
              <w:ind w:firstLine="480" w:firstLineChars="200"/>
              <w:rPr>
                <w:sz w:val="24"/>
              </w:rPr>
            </w:pPr>
            <w:r>
              <w:rPr>
                <w:sz w:val="24"/>
              </w:rPr>
              <w:t>项目污染物排放量总量详见下表：</w:t>
            </w:r>
          </w:p>
          <w:p>
            <w:pPr>
              <w:tabs>
                <w:tab w:val="left" w:pos="1367"/>
              </w:tabs>
              <w:ind w:firstLine="420" w:firstLineChars="200"/>
              <w:jc w:val="center"/>
              <w:rPr>
                <w:b/>
                <w:kern w:val="0"/>
                <w:szCs w:val="21"/>
                <w:lang w:bidi="ar"/>
              </w:rPr>
            </w:pPr>
            <w:r>
              <w:rPr>
                <w:b/>
                <w:kern w:val="0"/>
                <w:szCs w:val="21"/>
                <w:lang w:bidi="ar"/>
              </w:rPr>
              <w:t>表4-</w:t>
            </w:r>
            <w:r>
              <w:rPr>
                <w:rFonts w:hint="eastAsia"/>
                <w:b/>
                <w:kern w:val="0"/>
                <w:szCs w:val="21"/>
                <w:lang w:bidi="ar"/>
              </w:rPr>
              <w:t>9</w:t>
            </w:r>
            <w:r>
              <w:rPr>
                <w:b/>
                <w:kern w:val="0"/>
                <w:szCs w:val="21"/>
                <w:lang w:bidi="ar"/>
              </w:rPr>
              <w:t>污染物总量排放一览表  （t/a）</w:t>
            </w:r>
          </w:p>
          <w:tbl>
            <w:tblPr>
              <w:tblStyle w:val="56"/>
              <w:tblW w:w="4998" w:type="pct"/>
              <w:jc w:val="center"/>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587"/>
              <w:gridCol w:w="866"/>
              <w:gridCol w:w="1755"/>
              <w:gridCol w:w="1144"/>
              <w:gridCol w:w="1133"/>
              <w:gridCol w:w="1161"/>
              <w:gridCol w:w="1166"/>
            </w:tblGrid>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tblHeader/>
                <w:jc w:val="center"/>
              </w:trPr>
              <w:tc>
                <w:tcPr>
                  <w:tcW w:w="375" w:type="pct"/>
                  <w:vAlign w:val="center"/>
                </w:tcPr>
                <w:p>
                  <w:pPr>
                    <w:jc w:val="center"/>
                    <w:rPr>
                      <w:b/>
                      <w:szCs w:val="21"/>
                    </w:rPr>
                  </w:pPr>
                  <w:r>
                    <w:rPr>
                      <w:b/>
                      <w:szCs w:val="21"/>
                    </w:rPr>
                    <w:t>分类</w:t>
                  </w:r>
                </w:p>
              </w:tc>
              <w:tc>
                <w:tcPr>
                  <w:tcW w:w="1677" w:type="pct"/>
                  <w:gridSpan w:val="2"/>
                  <w:vAlign w:val="center"/>
                </w:tcPr>
                <w:p>
                  <w:pPr>
                    <w:jc w:val="center"/>
                    <w:rPr>
                      <w:b/>
                      <w:szCs w:val="21"/>
                    </w:rPr>
                  </w:pPr>
                  <w:r>
                    <w:rPr>
                      <w:b/>
                      <w:szCs w:val="21"/>
                    </w:rPr>
                    <w:t>污染物</w:t>
                  </w:r>
                </w:p>
              </w:tc>
              <w:tc>
                <w:tcPr>
                  <w:tcW w:w="732" w:type="pct"/>
                  <w:vAlign w:val="center"/>
                </w:tcPr>
                <w:p>
                  <w:pPr>
                    <w:jc w:val="center"/>
                    <w:rPr>
                      <w:b/>
                      <w:szCs w:val="21"/>
                    </w:rPr>
                  </w:pPr>
                  <w:r>
                    <w:rPr>
                      <w:b/>
                      <w:szCs w:val="21"/>
                    </w:rPr>
                    <w:t>产生量</w:t>
                  </w:r>
                </w:p>
              </w:tc>
              <w:tc>
                <w:tcPr>
                  <w:tcW w:w="725" w:type="pct"/>
                  <w:vAlign w:val="center"/>
                </w:tcPr>
                <w:p>
                  <w:pPr>
                    <w:jc w:val="center"/>
                    <w:rPr>
                      <w:b/>
                      <w:szCs w:val="21"/>
                    </w:rPr>
                  </w:pPr>
                  <w:r>
                    <w:rPr>
                      <w:b/>
                      <w:szCs w:val="21"/>
                    </w:rPr>
                    <w:t>削减量</w:t>
                  </w:r>
                </w:p>
              </w:tc>
              <w:tc>
                <w:tcPr>
                  <w:tcW w:w="743" w:type="pct"/>
                  <w:vAlign w:val="center"/>
                </w:tcPr>
                <w:p>
                  <w:pPr>
                    <w:jc w:val="center"/>
                    <w:rPr>
                      <w:b/>
                      <w:szCs w:val="21"/>
                    </w:rPr>
                  </w:pPr>
                  <w:r>
                    <w:rPr>
                      <w:rFonts w:hint="eastAsia"/>
                      <w:b/>
                      <w:szCs w:val="21"/>
                    </w:rPr>
                    <w:t>接管</w:t>
                  </w:r>
                  <w:r>
                    <w:rPr>
                      <w:b/>
                      <w:szCs w:val="21"/>
                    </w:rPr>
                    <w:t>量</w:t>
                  </w:r>
                </w:p>
              </w:tc>
              <w:tc>
                <w:tcPr>
                  <w:tcW w:w="746" w:type="pct"/>
                  <w:vAlign w:val="center"/>
                </w:tcPr>
                <w:p>
                  <w:pPr>
                    <w:jc w:val="center"/>
                    <w:rPr>
                      <w:b/>
                      <w:szCs w:val="21"/>
                    </w:rPr>
                  </w:pPr>
                  <w:r>
                    <w:rPr>
                      <w:rFonts w:hint="eastAsia"/>
                      <w:b/>
                      <w:szCs w:val="21"/>
                    </w:rPr>
                    <w:t>外排量</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tblHeader/>
                <w:jc w:val="center"/>
              </w:trPr>
              <w:tc>
                <w:tcPr>
                  <w:tcW w:w="375" w:type="pct"/>
                  <w:vMerge w:val="restart"/>
                  <w:vAlign w:val="center"/>
                </w:tcPr>
                <w:p>
                  <w:pPr>
                    <w:jc w:val="center"/>
                    <w:rPr>
                      <w:szCs w:val="21"/>
                    </w:rPr>
                  </w:pPr>
                  <w:r>
                    <w:rPr>
                      <w:bCs/>
                      <w:szCs w:val="21"/>
                    </w:rPr>
                    <w:t>废水</w:t>
                  </w:r>
                </w:p>
              </w:tc>
              <w:tc>
                <w:tcPr>
                  <w:tcW w:w="554" w:type="pct"/>
                  <w:vMerge w:val="restart"/>
                  <w:vAlign w:val="center"/>
                </w:tcPr>
                <w:p>
                  <w:pPr>
                    <w:jc w:val="center"/>
                    <w:rPr>
                      <w:szCs w:val="21"/>
                    </w:rPr>
                  </w:pPr>
                  <w:r>
                    <w:rPr>
                      <w:szCs w:val="21"/>
                    </w:rPr>
                    <w:t>生活污水</w:t>
                  </w:r>
                </w:p>
              </w:tc>
              <w:tc>
                <w:tcPr>
                  <w:tcW w:w="1123" w:type="pct"/>
                  <w:vAlign w:val="center"/>
                </w:tcPr>
                <w:p>
                  <w:pPr>
                    <w:jc w:val="center"/>
                    <w:rPr>
                      <w:szCs w:val="21"/>
                    </w:rPr>
                  </w:pPr>
                  <w:r>
                    <w:rPr>
                      <w:szCs w:val="21"/>
                    </w:rPr>
                    <w:t>废水量</w:t>
                  </w:r>
                </w:p>
              </w:tc>
              <w:tc>
                <w:tcPr>
                  <w:tcW w:w="732" w:type="pct"/>
                  <w:vAlign w:val="center"/>
                </w:tcPr>
                <w:p>
                  <w:pPr>
                    <w:widowControl/>
                    <w:jc w:val="center"/>
                    <w:rPr>
                      <w:szCs w:val="21"/>
                    </w:rPr>
                  </w:pPr>
                  <w:r>
                    <w:rPr>
                      <w:rFonts w:hint="eastAsia"/>
                      <w:szCs w:val="21"/>
                      <w:lang w:val="en-US" w:eastAsia="zh-CN"/>
                    </w:rPr>
                    <w:t>360</w:t>
                  </w:r>
                </w:p>
              </w:tc>
              <w:tc>
                <w:tcPr>
                  <w:tcW w:w="725" w:type="pct"/>
                  <w:vAlign w:val="center"/>
                </w:tcPr>
                <w:p>
                  <w:pPr>
                    <w:widowControl/>
                    <w:jc w:val="center"/>
                    <w:textAlignment w:val="center"/>
                    <w:rPr>
                      <w:szCs w:val="21"/>
                    </w:rPr>
                  </w:pPr>
                  <w:r>
                    <w:rPr>
                      <w:kern w:val="0"/>
                      <w:szCs w:val="21"/>
                      <w:lang w:bidi="ar"/>
                    </w:rPr>
                    <w:t>0</w:t>
                  </w:r>
                </w:p>
              </w:tc>
              <w:tc>
                <w:tcPr>
                  <w:tcW w:w="743" w:type="pct"/>
                  <w:vAlign w:val="center"/>
                </w:tcPr>
                <w:p>
                  <w:pPr>
                    <w:jc w:val="center"/>
                    <w:rPr>
                      <w:szCs w:val="21"/>
                    </w:rPr>
                  </w:pPr>
                  <w:r>
                    <w:rPr>
                      <w:rFonts w:hint="eastAsia"/>
                      <w:szCs w:val="21"/>
                    </w:rPr>
                    <w:t>3</w:t>
                  </w:r>
                  <w:r>
                    <w:rPr>
                      <w:rFonts w:hint="eastAsia"/>
                      <w:szCs w:val="21"/>
                      <w:lang w:val="en-US" w:eastAsia="zh-CN"/>
                    </w:rPr>
                    <w:t>60</w:t>
                  </w:r>
                </w:p>
              </w:tc>
              <w:tc>
                <w:tcPr>
                  <w:tcW w:w="746" w:type="pct"/>
                  <w:vAlign w:val="center"/>
                </w:tcPr>
                <w:p>
                  <w:pPr>
                    <w:jc w:val="center"/>
                    <w:rPr>
                      <w:rFonts w:hint="default"/>
                      <w:szCs w:val="21"/>
                      <w:lang w:val="en-US" w:eastAsia="zh-CN"/>
                    </w:rPr>
                  </w:pPr>
                  <w:r>
                    <w:rPr>
                      <w:rFonts w:hint="eastAsia"/>
                      <w:szCs w:val="21"/>
                    </w:rPr>
                    <w:t>3</w:t>
                  </w:r>
                  <w:r>
                    <w:rPr>
                      <w:rFonts w:hint="eastAsia"/>
                      <w:szCs w:val="21"/>
                      <w:lang w:val="en-US" w:eastAsia="zh-CN"/>
                    </w:rPr>
                    <w:t>60</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90" w:hRule="atLeast"/>
                <w:tblHeader/>
                <w:jc w:val="center"/>
              </w:trPr>
              <w:tc>
                <w:tcPr>
                  <w:tcW w:w="375" w:type="pct"/>
                  <w:vMerge w:val="continue"/>
                  <w:vAlign w:val="center"/>
                </w:tcPr>
                <w:p>
                  <w:pPr>
                    <w:jc w:val="center"/>
                    <w:rPr>
                      <w:szCs w:val="21"/>
                    </w:rPr>
                  </w:pPr>
                </w:p>
              </w:tc>
              <w:tc>
                <w:tcPr>
                  <w:tcW w:w="554" w:type="pct"/>
                  <w:vMerge w:val="continue"/>
                  <w:vAlign w:val="center"/>
                </w:tcPr>
                <w:p>
                  <w:pPr>
                    <w:jc w:val="center"/>
                    <w:rPr>
                      <w:szCs w:val="21"/>
                    </w:rPr>
                  </w:pPr>
                </w:p>
              </w:tc>
              <w:tc>
                <w:tcPr>
                  <w:tcW w:w="1123" w:type="pct"/>
                  <w:vAlign w:val="center"/>
                </w:tcPr>
                <w:p>
                  <w:pPr>
                    <w:widowControl/>
                    <w:jc w:val="center"/>
                    <w:rPr>
                      <w:kern w:val="0"/>
                      <w:szCs w:val="21"/>
                    </w:rPr>
                  </w:pPr>
                  <w:r>
                    <w:rPr>
                      <w:szCs w:val="21"/>
                    </w:rPr>
                    <w:t>COD</w:t>
                  </w:r>
                </w:p>
              </w:tc>
              <w:tc>
                <w:tcPr>
                  <w:tcW w:w="732" w:type="pct"/>
                  <w:vAlign w:val="center"/>
                </w:tcPr>
                <w:p>
                  <w:pPr>
                    <w:jc w:val="center"/>
                    <w:rPr>
                      <w:szCs w:val="21"/>
                    </w:rPr>
                  </w:pPr>
                  <w:r>
                    <w:rPr>
                      <w:rFonts w:hint="eastAsia"/>
                      <w:szCs w:val="21"/>
                      <w:lang w:val="en-US" w:eastAsia="zh-CN"/>
                    </w:rPr>
                    <w:t>0.144</w:t>
                  </w:r>
                </w:p>
              </w:tc>
              <w:tc>
                <w:tcPr>
                  <w:tcW w:w="725" w:type="pct"/>
                  <w:vAlign w:val="center"/>
                </w:tcPr>
                <w:p>
                  <w:pPr>
                    <w:widowControl/>
                    <w:jc w:val="center"/>
                    <w:textAlignment w:val="center"/>
                    <w:rPr>
                      <w:szCs w:val="21"/>
                    </w:rPr>
                  </w:pPr>
                  <w:r>
                    <w:rPr>
                      <w:kern w:val="0"/>
                      <w:szCs w:val="21"/>
                      <w:lang w:bidi="ar"/>
                    </w:rPr>
                    <w:t>0.0</w:t>
                  </w:r>
                  <w:r>
                    <w:rPr>
                      <w:rFonts w:hint="eastAsia"/>
                      <w:kern w:val="0"/>
                      <w:szCs w:val="21"/>
                      <w:lang w:val="en-US" w:eastAsia="zh-CN" w:bidi="ar"/>
                    </w:rPr>
                    <w:t>22</w:t>
                  </w:r>
                </w:p>
              </w:tc>
              <w:tc>
                <w:tcPr>
                  <w:tcW w:w="743" w:type="pct"/>
                  <w:vAlign w:val="center"/>
                </w:tcPr>
                <w:p>
                  <w:pPr>
                    <w:jc w:val="center"/>
                    <w:rPr>
                      <w:szCs w:val="21"/>
                    </w:rPr>
                  </w:pPr>
                  <w:r>
                    <w:rPr>
                      <w:rFonts w:hint="eastAsia"/>
                      <w:szCs w:val="21"/>
                      <w:lang w:val="en-US" w:eastAsia="zh-CN"/>
                    </w:rPr>
                    <w:t>0.122</w:t>
                  </w:r>
                </w:p>
              </w:tc>
              <w:tc>
                <w:tcPr>
                  <w:tcW w:w="746" w:type="pct"/>
                  <w:vAlign w:val="center"/>
                </w:tcPr>
                <w:p>
                  <w:pPr>
                    <w:jc w:val="center"/>
                    <w:rPr>
                      <w:rFonts w:hint="eastAsia"/>
                      <w:szCs w:val="21"/>
                    </w:rPr>
                  </w:pPr>
                  <w:r>
                    <w:rPr>
                      <w:rFonts w:hint="eastAsia"/>
                      <w:szCs w:val="21"/>
                      <w:lang w:val="en-US" w:eastAsia="zh-CN"/>
                    </w:rPr>
                    <w:t>0.018</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tblHeader/>
                <w:jc w:val="center"/>
              </w:trPr>
              <w:tc>
                <w:tcPr>
                  <w:tcW w:w="375" w:type="pct"/>
                  <w:vMerge w:val="continue"/>
                  <w:vAlign w:val="center"/>
                </w:tcPr>
                <w:p>
                  <w:pPr>
                    <w:jc w:val="center"/>
                    <w:rPr>
                      <w:szCs w:val="21"/>
                    </w:rPr>
                  </w:pPr>
                </w:p>
              </w:tc>
              <w:tc>
                <w:tcPr>
                  <w:tcW w:w="554" w:type="pct"/>
                  <w:vMerge w:val="continue"/>
                  <w:vAlign w:val="center"/>
                </w:tcPr>
                <w:p>
                  <w:pPr>
                    <w:jc w:val="center"/>
                    <w:rPr>
                      <w:szCs w:val="21"/>
                    </w:rPr>
                  </w:pPr>
                </w:p>
              </w:tc>
              <w:tc>
                <w:tcPr>
                  <w:tcW w:w="1123" w:type="pct"/>
                  <w:vAlign w:val="center"/>
                </w:tcPr>
                <w:p>
                  <w:pPr>
                    <w:jc w:val="center"/>
                    <w:rPr>
                      <w:szCs w:val="21"/>
                    </w:rPr>
                  </w:pPr>
                  <w:r>
                    <w:rPr>
                      <w:szCs w:val="21"/>
                    </w:rPr>
                    <w:t>SS</w:t>
                  </w:r>
                </w:p>
              </w:tc>
              <w:tc>
                <w:tcPr>
                  <w:tcW w:w="732" w:type="pct"/>
                  <w:vAlign w:val="center"/>
                </w:tcPr>
                <w:p>
                  <w:pPr>
                    <w:jc w:val="center"/>
                    <w:rPr>
                      <w:color w:val="auto"/>
                      <w:szCs w:val="21"/>
                    </w:rPr>
                  </w:pPr>
                  <w:r>
                    <w:rPr>
                      <w:rFonts w:hint="eastAsia"/>
                      <w:color w:val="auto"/>
                      <w:szCs w:val="21"/>
                      <w:lang w:val="en-US" w:eastAsia="zh-CN"/>
                    </w:rPr>
                    <w:t>0.072</w:t>
                  </w:r>
                </w:p>
              </w:tc>
              <w:tc>
                <w:tcPr>
                  <w:tcW w:w="725" w:type="pct"/>
                  <w:vAlign w:val="center"/>
                </w:tcPr>
                <w:p>
                  <w:pPr>
                    <w:widowControl/>
                    <w:jc w:val="center"/>
                    <w:textAlignment w:val="center"/>
                    <w:rPr>
                      <w:color w:val="auto"/>
                      <w:szCs w:val="21"/>
                    </w:rPr>
                  </w:pPr>
                  <w:r>
                    <w:rPr>
                      <w:color w:val="auto"/>
                      <w:kern w:val="0"/>
                      <w:szCs w:val="21"/>
                      <w:lang w:bidi="ar"/>
                    </w:rPr>
                    <w:t>0.0</w:t>
                  </w:r>
                  <w:r>
                    <w:rPr>
                      <w:rFonts w:hint="eastAsia"/>
                      <w:color w:val="auto"/>
                      <w:kern w:val="0"/>
                      <w:szCs w:val="21"/>
                      <w:lang w:bidi="ar"/>
                    </w:rPr>
                    <w:t>1</w:t>
                  </w:r>
                  <w:r>
                    <w:rPr>
                      <w:rFonts w:hint="eastAsia"/>
                      <w:color w:val="auto"/>
                      <w:kern w:val="0"/>
                      <w:szCs w:val="21"/>
                      <w:lang w:val="en-US" w:eastAsia="zh-CN" w:bidi="ar"/>
                    </w:rPr>
                    <w:t>4</w:t>
                  </w:r>
                </w:p>
              </w:tc>
              <w:tc>
                <w:tcPr>
                  <w:tcW w:w="743" w:type="pct"/>
                  <w:vAlign w:val="center"/>
                </w:tcPr>
                <w:p>
                  <w:pPr>
                    <w:jc w:val="center"/>
                    <w:rPr>
                      <w:color w:val="auto"/>
                      <w:szCs w:val="21"/>
                    </w:rPr>
                  </w:pPr>
                  <w:r>
                    <w:rPr>
                      <w:rFonts w:hint="eastAsia"/>
                      <w:color w:val="auto"/>
                      <w:szCs w:val="21"/>
                      <w:lang w:val="en-US" w:eastAsia="zh-CN"/>
                    </w:rPr>
                    <w:t>0.058</w:t>
                  </w:r>
                </w:p>
              </w:tc>
              <w:tc>
                <w:tcPr>
                  <w:tcW w:w="746" w:type="pct"/>
                  <w:vAlign w:val="center"/>
                </w:tcPr>
                <w:p>
                  <w:pPr>
                    <w:jc w:val="center"/>
                    <w:rPr>
                      <w:rFonts w:hint="eastAsia"/>
                      <w:color w:val="auto"/>
                      <w:szCs w:val="21"/>
                    </w:rPr>
                  </w:pPr>
                  <w:r>
                    <w:rPr>
                      <w:rFonts w:hint="eastAsia"/>
                      <w:color w:val="auto"/>
                      <w:szCs w:val="21"/>
                      <w:lang w:val="en-US" w:eastAsia="zh-CN"/>
                    </w:rPr>
                    <w:t>0.0036</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tblHeader/>
                <w:jc w:val="center"/>
              </w:trPr>
              <w:tc>
                <w:tcPr>
                  <w:tcW w:w="375" w:type="pct"/>
                  <w:vMerge w:val="continue"/>
                  <w:vAlign w:val="center"/>
                </w:tcPr>
                <w:p>
                  <w:pPr>
                    <w:jc w:val="center"/>
                    <w:rPr>
                      <w:szCs w:val="21"/>
                    </w:rPr>
                  </w:pPr>
                </w:p>
              </w:tc>
              <w:tc>
                <w:tcPr>
                  <w:tcW w:w="554" w:type="pct"/>
                  <w:vMerge w:val="continue"/>
                  <w:vAlign w:val="center"/>
                </w:tcPr>
                <w:p>
                  <w:pPr>
                    <w:jc w:val="center"/>
                    <w:rPr>
                      <w:szCs w:val="21"/>
                    </w:rPr>
                  </w:pPr>
                </w:p>
              </w:tc>
              <w:tc>
                <w:tcPr>
                  <w:tcW w:w="1123" w:type="pct"/>
                  <w:vAlign w:val="center"/>
                </w:tcPr>
                <w:p>
                  <w:pPr>
                    <w:jc w:val="center"/>
                    <w:rPr>
                      <w:szCs w:val="21"/>
                    </w:rPr>
                  </w:pPr>
                  <w:r>
                    <w:rPr>
                      <w:szCs w:val="21"/>
                    </w:rPr>
                    <w:t>NH</w:t>
                  </w:r>
                  <w:r>
                    <w:rPr>
                      <w:szCs w:val="21"/>
                      <w:vertAlign w:val="subscript"/>
                    </w:rPr>
                    <w:t>3</w:t>
                  </w:r>
                  <w:r>
                    <w:rPr>
                      <w:szCs w:val="21"/>
                    </w:rPr>
                    <w:t>-N</w:t>
                  </w:r>
                </w:p>
              </w:tc>
              <w:tc>
                <w:tcPr>
                  <w:tcW w:w="732" w:type="pct"/>
                  <w:vAlign w:val="center"/>
                </w:tcPr>
                <w:p>
                  <w:pPr>
                    <w:jc w:val="center"/>
                    <w:rPr>
                      <w:color w:val="auto"/>
                      <w:szCs w:val="21"/>
                    </w:rPr>
                  </w:pPr>
                  <w:r>
                    <w:rPr>
                      <w:rFonts w:hint="eastAsia"/>
                      <w:color w:val="auto"/>
                      <w:szCs w:val="21"/>
                      <w:lang w:val="en-US" w:eastAsia="zh-CN"/>
                    </w:rPr>
                    <w:t>0.0126</w:t>
                  </w:r>
                </w:p>
              </w:tc>
              <w:tc>
                <w:tcPr>
                  <w:tcW w:w="725" w:type="pct"/>
                  <w:vAlign w:val="center"/>
                </w:tcPr>
                <w:p>
                  <w:pPr>
                    <w:widowControl/>
                    <w:jc w:val="center"/>
                    <w:textAlignment w:val="center"/>
                    <w:rPr>
                      <w:color w:val="auto"/>
                      <w:szCs w:val="21"/>
                    </w:rPr>
                  </w:pPr>
                  <w:r>
                    <w:rPr>
                      <w:color w:val="auto"/>
                      <w:kern w:val="0"/>
                      <w:szCs w:val="21"/>
                      <w:lang w:bidi="ar"/>
                    </w:rPr>
                    <w:t>0</w:t>
                  </w:r>
                </w:p>
              </w:tc>
              <w:tc>
                <w:tcPr>
                  <w:tcW w:w="743" w:type="pct"/>
                  <w:vAlign w:val="center"/>
                </w:tcPr>
                <w:p>
                  <w:pPr>
                    <w:jc w:val="center"/>
                    <w:rPr>
                      <w:color w:val="auto"/>
                      <w:szCs w:val="21"/>
                    </w:rPr>
                  </w:pPr>
                  <w:r>
                    <w:rPr>
                      <w:rFonts w:hint="eastAsia"/>
                      <w:color w:val="auto"/>
                      <w:szCs w:val="21"/>
                      <w:lang w:val="en-US" w:eastAsia="zh-CN"/>
                    </w:rPr>
                    <w:t>0.0126</w:t>
                  </w:r>
                </w:p>
              </w:tc>
              <w:tc>
                <w:tcPr>
                  <w:tcW w:w="746" w:type="pct"/>
                  <w:vAlign w:val="center"/>
                </w:tcPr>
                <w:p>
                  <w:pPr>
                    <w:jc w:val="center"/>
                    <w:rPr>
                      <w:rFonts w:hint="eastAsia"/>
                      <w:color w:val="auto"/>
                      <w:szCs w:val="21"/>
                    </w:rPr>
                  </w:pPr>
                  <w:r>
                    <w:rPr>
                      <w:rFonts w:hint="eastAsia"/>
                      <w:color w:val="auto"/>
                      <w:szCs w:val="21"/>
                      <w:lang w:val="en-US" w:eastAsia="zh-CN"/>
                    </w:rPr>
                    <w:t>0.0018</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90" w:hRule="atLeast"/>
                <w:tblHeader/>
                <w:jc w:val="center"/>
              </w:trPr>
              <w:tc>
                <w:tcPr>
                  <w:tcW w:w="375" w:type="pct"/>
                  <w:vMerge w:val="continue"/>
                  <w:vAlign w:val="center"/>
                </w:tcPr>
                <w:p>
                  <w:pPr>
                    <w:jc w:val="center"/>
                    <w:rPr>
                      <w:szCs w:val="21"/>
                    </w:rPr>
                  </w:pPr>
                </w:p>
              </w:tc>
              <w:tc>
                <w:tcPr>
                  <w:tcW w:w="554" w:type="pct"/>
                  <w:vMerge w:val="continue"/>
                  <w:vAlign w:val="center"/>
                </w:tcPr>
                <w:p>
                  <w:pPr>
                    <w:jc w:val="center"/>
                    <w:rPr>
                      <w:szCs w:val="21"/>
                    </w:rPr>
                  </w:pPr>
                </w:p>
              </w:tc>
              <w:tc>
                <w:tcPr>
                  <w:tcW w:w="1123" w:type="pct"/>
                  <w:vAlign w:val="center"/>
                </w:tcPr>
                <w:p>
                  <w:pPr>
                    <w:jc w:val="center"/>
                    <w:rPr>
                      <w:szCs w:val="21"/>
                    </w:rPr>
                  </w:pPr>
                  <w:r>
                    <w:rPr>
                      <w:szCs w:val="21"/>
                    </w:rPr>
                    <w:t>TP</w:t>
                  </w:r>
                </w:p>
              </w:tc>
              <w:tc>
                <w:tcPr>
                  <w:tcW w:w="732" w:type="pct"/>
                  <w:vAlign w:val="center"/>
                </w:tcPr>
                <w:p>
                  <w:pPr>
                    <w:jc w:val="center"/>
                    <w:rPr>
                      <w:color w:val="auto"/>
                      <w:szCs w:val="21"/>
                    </w:rPr>
                  </w:pPr>
                  <w:r>
                    <w:rPr>
                      <w:rFonts w:hint="eastAsia"/>
                      <w:color w:val="auto"/>
                      <w:szCs w:val="21"/>
                      <w:lang w:val="en-US" w:eastAsia="zh-CN"/>
                    </w:rPr>
                    <w:t>0.0011</w:t>
                  </w:r>
                </w:p>
              </w:tc>
              <w:tc>
                <w:tcPr>
                  <w:tcW w:w="725" w:type="pct"/>
                  <w:vAlign w:val="center"/>
                </w:tcPr>
                <w:p>
                  <w:pPr>
                    <w:widowControl/>
                    <w:jc w:val="center"/>
                    <w:textAlignment w:val="center"/>
                    <w:rPr>
                      <w:color w:val="auto"/>
                      <w:szCs w:val="21"/>
                    </w:rPr>
                  </w:pPr>
                  <w:r>
                    <w:rPr>
                      <w:color w:val="auto"/>
                      <w:kern w:val="0"/>
                      <w:szCs w:val="21"/>
                      <w:lang w:bidi="ar"/>
                    </w:rPr>
                    <w:t>0</w:t>
                  </w:r>
                </w:p>
              </w:tc>
              <w:tc>
                <w:tcPr>
                  <w:tcW w:w="743" w:type="pct"/>
                  <w:vAlign w:val="center"/>
                </w:tcPr>
                <w:p>
                  <w:pPr>
                    <w:jc w:val="center"/>
                    <w:rPr>
                      <w:color w:val="auto"/>
                      <w:szCs w:val="21"/>
                    </w:rPr>
                  </w:pPr>
                  <w:r>
                    <w:rPr>
                      <w:rFonts w:hint="eastAsia"/>
                      <w:color w:val="auto"/>
                      <w:szCs w:val="21"/>
                      <w:lang w:val="en-US" w:eastAsia="zh-CN"/>
                    </w:rPr>
                    <w:t>0.0011</w:t>
                  </w:r>
                </w:p>
              </w:tc>
              <w:tc>
                <w:tcPr>
                  <w:tcW w:w="746" w:type="pct"/>
                  <w:vAlign w:val="center"/>
                </w:tcPr>
                <w:p>
                  <w:pPr>
                    <w:jc w:val="center"/>
                    <w:rPr>
                      <w:rFonts w:hint="eastAsia"/>
                      <w:color w:val="auto"/>
                      <w:szCs w:val="21"/>
                    </w:rPr>
                  </w:pPr>
                  <w:r>
                    <w:rPr>
                      <w:rFonts w:hint="eastAsia"/>
                      <w:color w:val="auto"/>
                      <w:szCs w:val="21"/>
                      <w:lang w:val="en-US" w:eastAsia="zh-CN"/>
                    </w:rPr>
                    <w:t>0.0002</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90" w:hRule="atLeast"/>
                <w:tblHeader/>
                <w:jc w:val="center"/>
              </w:trPr>
              <w:tc>
                <w:tcPr>
                  <w:tcW w:w="375" w:type="pct"/>
                  <w:vMerge w:val="continue"/>
                  <w:vAlign w:val="center"/>
                </w:tcPr>
                <w:p>
                  <w:pPr>
                    <w:jc w:val="center"/>
                    <w:rPr>
                      <w:szCs w:val="21"/>
                    </w:rPr>
                  </w:pPr>
                </w:p>
              </w:tc>
              <w:tc>
                <w:tcPr>
                  <w:tcW w:w="554" w:type="pct"/>
                  <w:vMerge w:val="continue"/>
                  <w:vAlign w:val="center"/>
                </w:tcPr>
                <w:p>
                  <w:pPr>
                    <w:jc w:val="center"/>
                    <w:rPr>
                      <w:szCs w:val="21"/>
                    </w:rPr>
                  </w:pPr>
                </w:p>
              </w:tc>
              <w:tc>
                <w:tcPr>
                  <w:tcW w:w="1123" w:type="pct"/>
                  <w:vAlign w:val="center"/>
                </w:tcPr>
                <w:p>
                  <w:pPr>
                    <w:widowControl/>
                    <w:jc w:val="center"/>
                    <w:rPr>
                      <w:kern w:val="0"/>
                      <w:szCs w:val="21"/>
                    </w:rPr>
                  </w:pPr>
                  <w:r>
                    <w:rPr>
                      <w:szCs w:val="21"/>
                    </w:rPr>
                    <w:t>TN</w:t>
                  </w:r>
                </w:p>
              </w:tc>
              <w:tc>
                <w:tcPr>
                  <w:tcW w:w="732" w:type="pct"/>
                  <w:vAlign w:val="center"/>
                </w:tcPr>
                <w:p>
                  <w:pPr>
                    <w:jc w:val="center"/>
                    <w:rPr>
                      <w:color w:val="auto"/>
                      <w:szCs w:val="21"/>
                    </w:rPr>
                  </w:pPr>
                  <w:r>
                    <w:rPr>
                      <w:rFonts w:hint="eastAsia"/>
                      <w:color w:val="auto"/>
                      <w:szCs w:val="21"/>
                      <w:lang w:val="en-US" w:eastAsia="zh-CN"/>
                    </w:rPr>
                    <w:t>0.018</w:t>
                  </w:r>
                </w:p>
              </w:tc>
              <w:tc>
                <w:tcPr>
                  <w:tcW w:w="725" w:type="pct"/>
                  <w:vAlign w:val="center"/>
                </w:tcPr>
                <w:p>
                  <w:pPr>
                    <w:widowControl/>
                    <w:jc w:val="center"/>
                    <w:textAlignment w:val="center"/>
                    <w:rPr>
                      <w:color w:val="auto"/>
                      <w:szCs w:val="21"/>
                    </w:rPr>
                  </w:pPr>
                  <w:r>
                    <w:rPr>
                      <w:color w:val="auto"/>
                      <w:kern w:val="0"/>
                      <w:szCs w:val="21"/>
                      <w:lang w:bidi="ar"/>
                    </w:rPr>
                    <w:t>0</w:t>
                  </w:r>
                </w:p>
              </w:tc>
              <w:tc>
                <w:tcPr>
                  <w:tcW w:w="743" w:type="pct"/>
                  <w:vAlign w:val="center"/>
                </w:tcPr>
                <w:p>
                  <w:pPr>
                    <w:jc w:val="center"/>
                    <w:rPr>
                      <w:color w:val="auto"/>
                      <w:szCs w:val="21"/>
                    </w:rPr>
                  </w:pPr>
                  <w:r>
                    <w:rPr>
                      <w:rFonts w:hint="eastAsia"/>
                      <w:color w:val="auto"/>
                      <w:szCs w:val="21"/>
                      <w:lang w:val="en-US" w:eastAsia="zh-CN"/>
                    </w:rPr>
                    <w:t>0.018</w:t>
                  </w:r>
                </w:p>
              </w:tc>
              <w:tc>
                <w:tcPr>
                  <w:tcW w:w="746" w:type="pct"/>
                  <w:vAlign w:val="center"/>
                </w:tcPr>
                <w:p>
                  <w:pPr>
                    <w:jc w:val="center"/>
                    <w:rPr>
                      <w:rFonts w:hint="eastAsia"/>
                      <w:color w:val="auto"/>
                      <w:szCs w:val="21"/>
                    </w:rPr>
                  </w:pPr>
                  <w:r>
                    <w:rPr>
                      <w:rFonts w:hint="eastAsia"/>
                      <w:color w:val="auto"/>
                      <w:szCs w:val="21"/>
                      <w:lang w:val="en-US" w:eastAsia="zh-CN"/>
                    </w:rPr>
                    <w:t>0.0054</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90" w:hRule="atLeast"/>
                <w:tblHeader/>
                <w:jc w:val="center"/>
              </w:trPr>
              <w:tc>
                <w:tcPr>
                  <w:tcW w:w="375" w:type="pct"/>
                  <w:vMerge w:val="restart"/>
                  <w:vAlign w:val="center"/>
                </w:tcPr>
                <w:p>
                  <w:pPr>
                    <w:jc w:val="center"/>
                    <w:rPr>
                      <w:szCs w:val="21"/>
                    </w:rPr>
                  </w:pPr>
                  <w:r>
                    <w:rPr>
                      <w:szCs w:val="21"/>
                    </w:rPr>
                    <w:t>废气</w:t>
                  </w:r>
                </w:p>
              </w:tc>
              <w:tc>
                <w:tcPr>
                  <w:tcW w:w="554" w:type="pct"/>
                  <w:vMerge w:val="restart"/>
                  <w:vAlign w:val="center"/>
                </w:tcPr>
                <w:p>
                  <w:pPr>
                    <w:jc w:val="center"/>
                    <w:rPr>
                      <w:szCs w:val="21"/>
                    </w:rPr>
                  </w:pPr>
                  <w:r>
                    <w:rPr>
                      <w:rFonts w:hint="eastAsia"/>
                      <w:szCs w:val="21"/>
                    </w:rPr>
                    <w:t>有组织废气</w:t>
                  </w:r>
                </w:p>
              </w:tc>
              <w:tc>
                <w:tcPr>
                  <w:tcW w:w="1123" w:type="pct"/>
                  <w:vAlign w:val="center"/>
                </w:tcPr>
                <w:p>
                  <w:pPr>
                    <w:widowControl/>
                    <w:jc w:val="center"/>
                    <w:rPr>
                      <w:rFonts w:hint="eastAsia"/>
                      <w:szCs w:val="21"/>
                      <w:lang w:eastAsia="zh-CN"/>
                    </w:rPr>
                  </w:pPr>
                  <w:r>
                    <w:rPr>
                      <w:rFonts w:hint="eastAsia"/>
                      <w:szCs w:val="21"/>
                      <w:lang w:eastAsia="zh-CN"/>
                    </w:rPr>
                    <w:t>颗粒物（粉尘）</w:t>
                  </w:r>
                </w:p>
              </w:tc>
              <w:tc>
                <w:tcPr>
                  <w:tcW w:w="732" w:type="pct"/>
                  <w:vAlign w:val="center"/>
                </w:tcPr>
                <w:p>
                  <w:pPr>
                    <w:jc w:val="center"/>
                    <w:rPr>
                      <w:rFonts w:hint="default"/>
                      <w:color w:val="auto"/>
                      <w:lang w:val="en-US" w:eastAsia="zh-CN"/>
                    </w:rPr>
                  </w:pPr>
                  <w:r>
                    <w:rPr>
                      <w:rFonts w:hint="eastAsia"/>
                      <w:color w:val="auto"/>
                      <w:lang w:val="en-US" w:eastAsia="zh-CN"/>
                    </w:rPr>
                    <w:t>0.01</w:t>
                  </w:r>
                </w:p>
              </w:tc>
              <w:tc>
                <w:tcPr>
                  <w:tcW w:w="725" w:type="pct"/>
                  <w:vAlign w:val="center"/>
                </w:tcPr>
                <w:p>
                  <w:pPr>
                    <w:widowControl/>
                    <w:jc w:val="center"/>
                    <w:rPr>
                      <w:rFonts w:hint="default"/>
                      <w:color w:val="auto"/>
                      <w:szCs w:val="21"/>
                      <w:lang w:val="en-US" w:eastAsia="zh-CN"/>
                    </w:rPr>
                  </w:pPr>
                  <w:r>
                    <w:rPr>
                      <w:rFonts w:hint="eastAsia"/>
                      <w:color w:val="auto"/>
                      <w:szCs w:val="21"/>
                      <w:lang w:val="en-US" w:eastAsia="zh-CN"/>
                    </w:rPr>
                    <w:t>0.0095</w:t>
                  </w:r>
                </w:p>
              </w:tc>
              <w:tc>
                <w:tcPr>
                  <w:tcW w:w="743" w:type="pct"/>
                  <w:vAlign w:val="center"/>
                </w:tcPr>
                <w:p>
                  <w:pPr>
                    <w:jc w:val="center"/>
                    <w:rPr>
                      <w:rFonts w:hint="eastAsia" w:eastAsia="宋体"/>
                      <w:color w:val="auto"/>
                      <w:szCs w:val="21"/>
                      <w:lang w:val="en-US" w:eastAsia="zh-CN"/>
                    </w:rPr>
                  </w:pPr>
                  <w:r>
                    <w:rPr>
                      <w:rFonts w:hint="eastAsia"/>
                      <w:color w:val="auto"/>
                      <w:szCs w:val="21"/>
                      <w:lang w:val="en-US" w:eastAsia="zh-CN"/>
                    </w:rPr>
                    <w:t>/</w:t>
                  </w:r>
                </w:p>
              </w:tc>
              <w:tc>
                <w:tcPr>
                  <w:tcW w:w="746" w:type="pct"/>
                  <w:vAlign w:val="center"/>
                </w:tcPr>
                <w:p>
                  <w:pPr>
                    <w:jc w:val="center"/>
                    <w:rPr>
                      <w:rFonts w:hint="default" w:eastAsia="宋体"/>
                      <w:color w:val="auto"/>
                      <w:szCs w:val="21"/>
                      <w:lang w:val="en-US" w:eastAsia="zh-CN"/>
                    </w:rPr>
                  </w:pPr>
                  <w:r>
                    <w:rPr>
                      <w:rFonts w:hint="eastAsia"/>
                      <w:color w:val="auto"/>
                      <w:szCs w:val="21"/>
                      <w:lang w:val="en-US" w:eastAsia="zh-CN"/>
                    </w:rPr>
                    <w:t>0.0005</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90" w:hRule="atLeast"/>
                <w:tblHeader/>
                <w:jc w:val="center"/>
              </w:trPr>
              <w:tc>
                <w:tcPr>
                  <w:tcW w:w="375" w:type="pct"/>
                  <w:vMerge w:val="continue"/>
                  <w:vAlign w:val="center"/>
                </w:tcPr>
                <w:p>
                  <w:pPr>
                    <w:jc w:val="center"/>
                    <w:rPr>
                      <w:szCs w:val="21"/>
                    </w:rPr>
                  </w:pPr>
                </w:p>
              </w:tc>
              <w:tc>
                <w:tcPr>
                  <w:tcW w:w="554" w:type="pct"/>
                  <w:vMerge w:val="continue"/>
                  <w:vAlign w:val="center"/>
                </w:tcPr>
                <w:p>
                  <w:pPr>
                    <w:jc w:val="center"/>
                    <w:rPr>
                      <w:szCs w:val="21"/>
                    </w:rPr>
                  </w:pPr>
                </w:p>
              </w:tc>
              <w:tc>
                <w:tcPr>
                  <w:tcW w:w="1123" w:type="pct"/>
                  <w:vAlign w:val="center"/>
                </w:tcPr>
                <w:p>
                  <w:pPr>
                    <w:widowControl/>
                    <w:jc w:val="center"/>
                    <w:rPr>
                      <w:szCs w:val="21"/>
                    </w:rPr>
                  </w:pPr>
                  <w:r>
                    <w:rPr>
                      <w:rFonts w:hint="eastAsia"/>
                      <w:szCs w:val="21"/>
                      <w:lang w:eastAsia="zh-CN"/>
                    </w:rPr>
                    <w:t>非甲烷总烃</w:t>
                  </w:r>
                </w:p>
              </w:tc>
              <w:tc>
                <w:tcPr>
                  <w:tcW w:w="732" w:type="pct"/>
                  <w:vAlign w:val="center"/>
                </w:tcPr>
                <w:p>
                  <w:pPr>
                    <w:jc w:val="center"/>
                    <w:rPr>
                      <w:rFonts w:hint="default"/>
                      <w:color w:val="auto"/>
                      <w:szCs w:val="21"/>
                      <w:lang w:val="en-US"/>
                    </w:rPr>
                  </w:pPr>
                  <w:r>
                    <w:rPr>
                      <w:rFonts w:hint="eastAsia"/>
                      <w:color w:val="auto"/>
                      <w:lang w:val="en-US" w:eastAsia="zh-CN"/>
                    </w:rPr>
                    <w:t>0.25kg/a</w:t>
                  </w:r>
                </w:p>
              </w:tc>
              <w:tc>
                <w:tcPr>
                  <w:tcW w:w="725" w:type="pct"/>
                  <w:vAlign w:val="center"/>
                </w:tcPr>
                <w:p>
                  <w:pPr>
                    <w:widowControl/>
                    <w:jc w:val="center"/>
                    <w:rPr>
                      <w:color w:val="auto"/>
                      <w:szCs w:val="21"/>
                    </w:rPr>
                  </w:pPr>
                  <w:r>
                    <w:rPr>
                      <w:rFonts w:hint="eastAsia"/>
                      <w:color w:val="auto"/>
                      <w:szCs w:val="21"/>
                      <w:lang w:val="en-US" w:eastAsia="zh-CN"/>
                    </w:rPr>
                    <w:t>0.2</w:t>
                  </w:r>
                  <w:r>
                    <w:rPr>
                      <w:rFonts w:hint="eastAsia"/>
                      <w:color w:val="auto"/>
                      <w:lang w:val="en-US" w:eastAsia="zh-CN"/>
                    </w:rPr>
                    <w:t>kg/a</w:t>
                  </w:r>
                </w:p>
              </w:tc>
              <w:tc>
                <w:tcPr>
                  <w:tcW w:w="743" w:type="pct"/>
                  <w:vAlign w:val="center"/>
                </w:tcPr>
                <w:p>
                  <w:pPr>
                    <w:jc w:val="center"/>
                    <w:rPr>
                      <w:color w:val="auto"/>
                      <w:szCs w:val="21"/>
                    </w:rPr>
                  </w:pPr>
                  <w:r>
                    <w:rPr>
                      <w:rFonts w:hint="eastAsia"/>
                      <w:color w:val="auto"/>
                      <w:szCs w:val="21"/>
                    </w:rPr>
                    <w:t>/</w:t>
                  </w:r>
                </w:p>
              </w:tc>
              <w:tc>
                <w:tcPr>
                  <w:tcW w:w="746" w:type="pct"/>
                  <w:vAlign w:val="center"/>
                </w:tcPr>
                <w:p>
                  <w:pPr>
                    <w:jc w:val="center"/>
                    <w:rPr>
                      <w:rFonts w:hint="default" w:eastAsia="宋体"/>
                      <w:color w:val="auto"/>
                      <w:szCs w:val="21"/>
                      <w:lang w:val="en-US" w:eastAsia="zh-CN"/>
                    </w:rPr>
                  </w:pPr>
                  <w:r>
                    <w:rPr>
                      <w:rFonts w:hint="eastAsia"/>
                      <w:color w:val="auto"/>
                      <w:szCs w:val="21"/>
                    </w:rPr>
                    <w:t>0.0</w:t>
                  </w:r>
                  <w:r>
                    <w:rPr>
                      <w:rFonts w:hint="eastAsia"/>
                      <w:color w:val="auto"/>
                      <w:szCs w:val="21"/>
                      <w:lang w:val="en-US" w:eastAsia="zh-CN"/>
                    </w:rPr>
                    <w:t>5</w:t>
                  </w:r>
                  <w:r>
                    <w:rPr>
                      <w:rFonts w:hint="eastAsia"/>
                      <w:color w:val="auto"/>
                      <w:lang w:val="en-US" w:eastAsia="zh-CN"/>
                    </w:rPr>
                    <w:t>kg/a</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660" w:hRule="atLeast"/>
                <w:tblHeader/>
                <w:jc w:val="center"/>
              </w:trPr>
              <w:tc>
                <w:tcPr>
                  <w:tcW w:w="375" w:type="pct"/>
                  <w:vMerge w:val="continue"/>
                  <w:vAlign w:val="center"/>
                </w:tcPr>
                <w:p>
                  <w:pPr>
                    <w:jc w:val="center"/>
                    <w:rPr>
                      <w:szCs w:val="21"/>
                    </w:rPr>
                  </w:pPr>
                </w:p>
              </w:tc>
              <w:tc>
                <w:tcPr>
                  <w:tcW w:w="554" w:type="pct"/>
                  <w:vMerge w:val="restart"/>
                  <w:vAlign w:val="center"/>
                </w:tcPr>
                <w:p>
                  <w:pPr>
                    <w:jc w:val="center"/>
                    <w:rPr>
                      <w:rFonts w:hint="eastAsia" w:ascii="Times New Roman" w:hAnsi="Times New Roman" w:eastAsia="宋体" w:cs="Times New Roman"/>
                      <w:kern w:val="2"/>
                      <w:sz w:val="21"/>
                      <w:szCs w:val="21"/>
                      <w:lang w:val="en-US" w:eastAsia="zh-CN" w:bidi="ar-SA"/>
                    </w:rPr>
                  </w:pPr>
                  <w:r>
                    <w:rPr>
                      <w:rFonts w:hint="eastAsia"/>
                      <w:szCs w:val="21"/>
                    </w:rPr>
                    <w:t>无组织废气</w:t>
                  </w:r>
                </w:p>
              </w:tc>
              <w:tc>
                <w:tcPr>
                  <w:tcW w:w="1123" w:type="pct"/>
                  <w:vAlign w:val="center"/>
                </w:tcPr>
                <w:p>
                  <w:pPr>
                    <w:widowControl/>
                    <w:jc w:val="center"/>
                    <w:rPr>
                      <w:rFonts w:hint="eastAsia" w:eastAsia="宋体"/>
                      <w:szCs w:val="21"/>
                      <w:lang w:eastAsia="zh-CN"/>
                    </w:rPr>
                  </w:pPr>
                  <w:r>
                    <w:rPr>
                      <w:rFonts w:hint="eastAsia"/>
                      <w:szCs w:val="21"/>
                      <w:lang w:eastAsia="zh-CN"/>
                    </w:rPr>
                    <w:t>颗粒物（粉尘）</w:t>
                  </w:r>
                </w:p>
              </w:tc>
              <w:tc>
                <w:tcPr>
                  <w:tcW w:w="732" w:type="pct"/>
                  <w:vAlign w:val="center"/>
                </w:tcPr>
                <w:p>
                  <w:pPr>
                    <w:jc w:val="center"/>
                    <w:rPr>
                      <w:rFonts w:hint="default" w:eastAsia="宋体"/>
                      <w:color w:val="auto"/>
                      <w:szCs w:val="21"/>
                      <w:lang w:val="en-US" w:eastAsia="zh-CN"/>
                    </w:rPr>
                  </w:pPr>
                  <w:r>
                    <w:rPr>
                      <w:rFonts w:hint="eastAsia"/>
                      <w:color w:val="auto"/>
                      <w:szCs w:val="21"/>
                      <w:lang w:val="en-US" w:eastAsia="zh-CN"/>
                    </w:rPr>
                    <w:t>0.001</w:t>
                  </w:r>
                </w:p>
              </w:tc>
              <w:tc>
                <w:tcPr>
                  <w:tcW w:w="725" w:type="pct"/>
                  <w:vAlign w:val="center"/>
                </w:tcPr>
                <w:p>
                  <w:pPr>
                    <w:widowControl/>
                    <w:jc w:val="center"/>
                    <w:rPr>
                      <w:rFonts w:hint="eastAsia" w:eastAsia="宋体"/>
                      <w:color w:val="auto"/>
                      <w:szCs w:val="21"/>
                      <w:lang w:val="en-US" w:eastAsia="zh-CN"/>
                    </w:rPr>
                  </w:pPr>
                  <w:r>
                    <w:rPr>
                      <w:rFonts w:hint="eastAsia"/>
                      <w:color w:val="auto"/>
                      <w:szCs w:val="21"/>
                      <w:lang w:val="en-US" w:eastAsia="zh-CN"/>
                    </w:rPr>
                    <w:t>0</w:t>
                  </w:r>
                </w:p>
              </w:tc>
              <w:tc>
                <w:tcPr>
                  <w:tcW w:w="743" w:type="pct"/>
                  <w:vAlign w:val="center"/>
                </w:tcPr>
                <w:p>
                  <w:pPr>
                    <w:jc w:val="center"/>
                    <w:rPr>
                      <w:rFonts w:hint="eastAsia" w:eastAsia="宋体"/>
                      <w:color w:val="auto"/>
                      <w:szCs w:val="21"/>
                      <w:lang w:val="en-US" w:eastAsia="zh-CN"/>
                    </w:rPr>
                  </w:pPr>
                  <w:r>
                    <w:rPr>
                      <w:rFonts w:hint="eastAsia"/>
                      <w:color w:val="auto"/>
                      <w:szCs w:val="21"/>
                      <w:lang w:val="en-US" w:eastAsia="zh-CN"/>
                    </w:rPr>
                    <w:t>/</w:t>
                  </w:r>
                </w:p>
              </w:tc>
              <w:tc>
                <w:tcPr>
                  <w:tcW w:w="746" w:type="pct"/>
                  <w:vAlign w:val="center"/>
                </w:tcPr>
                <w:p>
                  <w:pPr>
                    <w:jc w:val="center"/>
                    <w:rPr>
                      <w:rFonts w:hint="default" w:eastAsia="宋体"/>
                      <w:color w:val="auto"/>
                      <w:szCs w:val="21"/>
                      <w:lang w:val="en-US" w:eastAsia="zh-CN"/>
                    </w:rPr>
                  </w:pPr>
                  <w:r>
                    <w:rPr>
                      <w:rFonts w:hint="eastAsia"/>
                      <w:color w:val="auto"/>
                      <w:szCs w:val="21"/>
                      <w:lang w:val="en-US" w:eastAsia="zh-CN"/>
                    </w:rPr>
                    <w:t>0.001</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660" w:hRule="atLeast"/>
                <w:tblHeader/>
                <w:jc w:val="center"/>
              </w:trPr>
              <w:tc>
                <w:tcPr>
                  <w:tcW w:w="375" w:type="pct"/>
                  <w:vMerge w:val="continue"/>
                  <w:vAlign w:val="center"/>
                </w:tcPr>
                <w:p>
                  <w:pPr>
                    <w:jc w:val="center"/>
                    <w:rPr>
                      <w:szCs w:val="21"/>
                    </w:rPr>
                  </w:pPr>
                </w:p>
              </w:tc>
              <w:tc>
                <w:tcPr>
                  <w:tcW w:w="554" w:type="pct"/>
                  <w:vMerge w:val="continue"/>
                  <w:vAlign w:val="center"/>
                </w:tcPr>
                <w:p>
                  <w:pPr>
                    <w:jc w:val="center"/>
                    <w:rPr>
                      <w:rFonts w:hint="eastAsia" w:ascii="Times New Roman" w:hAnsi="Times New Roman" w:eastAsia="宋体" w:cs="Times New Roman"/>
                      <w:kern w:val="2"/>
                      <w:sz w:val="21"/>
                      <w:szCs w:val="21"/>
                      <w:lang w:val="en-US" w:eastAsia="zh-CN" w:bidi="ar-SA"/>
                    </w:rPr>
                  </w:pPr>
                </w:p>
              </w:tc>
              <w:tc>
                <w:tcPr>
                  <w:tcW w:w="1123" w:type="pct"/>
                  <w:vAlign w:val="center"/>
                </w:tcPr>
                <w:p>
                  <w:pPr>
                    <w:widowControl/>
                    <w:jc w:val="center"/>
                    <w:rPr>
                      <w:rFonts w:hint="eastAsia" w:ascii="Times New Roman" w:hAnsi="Times New Roman" w:eastAsia="宋体" w:cs="Times New Roman"/>
                      <w:kern w:val="2"/>
                      <w:sz w:val="21"/>
                      <w:szCs w:val="21"/>
                      <w:lang w:val="en-US" w:eastAsia="zh-CN" w:bidi="ar-SA"/>
                    </w:rPr>
                  </w:pPr>
                  <w:r>
                    <w:rPr>
                      <w:rFonts w:hint="eastAsia"/>
                      <w:szCs w:val="21"/>
                      <w:lang w:eastAsia="zh-CN"/>
                    </w:rPr>
                    <w:t>非甲烷总烃</w:t>
                  </w:r>
                </w:p>
              </w:tc>
              <w:tc>
                <w:tcPr>
                  <w:tcW w:w="732" w:type="pct"/>
                  <w:vAlign w:val="center"/>
                </w:tcPr>
                <w:p>
                  <w:pPr>
                    <w:jc w:val="center"/>
                    <w:rPr>
                      <w:rFonts w:hint="eastAsia" w:ascii="Times New Roman" w:hAnsi="Times New Roman" w:eastAsia="宋体" w:cs="Times New Roman"/>
                      <w:color w:val="auto"/>
                      <w:kern w:val="2"/>
                      <w:sz w:val="21"/>
                      <w:szCs w:val="21"/>
                      <w:lang w:val="en-US" w:eastAsia="zh-CN" w:bidi="ar-SA"/>
                    </w:rPr>
                  </w:pPr>
                  <w:r>
                    <w:rPr>
                      <w:rFonts w:hint="eastAsia"/>
                      <w:color w:val="auto"/>
                      <w:szCs w:val="21"/>
                      <w:lang w:val="en-US" w:eastAsia="zh-CN"/>
                    </w:rPr>
                    <w:t>0.07</w:t>
                  </w:r>
                  <w:r>
                    <w:rPr>
                      <w:rFonts w:hint="eastAsia"/>
                      <w:color w:val="auto"/>
                      <w:lang w:val="en-US" w:eastAsia="zh-CN"/>
                    </w:rPr>
                    <w:t>kg/a</w:t>
                  </w:r>
                </w:p>
              </w:tc>
              <w:tc>
                <w:tcPr>
                  <w:tcW w:w="725" w:type="pct"/>
                  <w:vAlign w:val="center"/>
                </w:tcPr>
                <w:p>
                  <w:pPr>
                    <w:widowControl/>
                    <w:jc w:val="center"/>
                    <w:rPr>
                      <w:rFonts w:hint="eastAsia" w:ascii="Times New Roman" w:hAnsi="Times New Roman" w:eastAsia="宋体" w:cs="Times New Roman"/>
                      <w:color w:val="auto"/>
                      <w:kern w:val="2"/>
                      <w:sz w:val="21"/>
                      <w:szCs w:val="21"/>
                      <w:lang w:val="en-US" w:eastAsia="zh-CN" w:bidi="ar-SA"/>
                    </w:rPr>
                  </w:pPr>
                  <w:r>
                    <w:rPr>
                      <w:rFonts w:hint="eastAsia"/>
                      <w:color w:val="auto"/>
                      <w:szCs w:val="21"/>
                    </w:rPr>
                    <w:t>0</w:t>
                  </w:r>
                </w:p>
              </w:tc>
              <w:tc>
                <w:tcPr>
                  <w:tcW w:w="743" w:type="pct"/>
                  <w:vAlign w:val="center"/>
                </w:tcPr>
                <w:p>
                  <w:pPr>
                    <w:jc w:val="center"/>
                    <w:rPr>
                      <w:rFonts w:hint="eastAsia" w:ascii="Times New Roman" w:hAnsi="Times New Roman" w:eastAsia="宋体" w:cs="Times New Roman"/>
                      <w:color w:val="auto"/>
                      <w:kern w:val="2"/>
                      <w:sz w:val="21"/>
                      <w:szCs w:val="21"/>
                      <w:lang w:val="en-US" w:eastAsia="zh-CN" w:bidi="ar-SA"/>
                    </w:rPr>
                  </w:pPr>
                  <w:r>
                    <w:rPr>
                      <w:rFonts w:hint="eastAsia"/>
                      <w:color w:val="auto"/>
                      <w:szCs w:val="21"/>
                    </w:rPr>
                    <w:t>/</w:t>
                  </w:r>
                </w:p>
              </w:tc>
              <w:tc>
                <w:tcPr>
                  <w:tcW w:w="746" w:type="pct"/>
                  <w:vAlign w:val="center"/>
                </w:tcPr>
                <w:p>
                  <w:pPr>
                    <w:jc w:val="center"/>
                    <w:rPr>
                      <w:rFonts w:hint="eastAsia" w:ascii="Times New Roman" w:hAnsi="Times New Roman" w:eastAsia="宋体" w:cs="Times New Roman"/>
                      <w:color w:val="auto"/>
                      <w:kern w:val="2"/>
                      <w:sz w:val="21"/>
                      <w:szCs w:val="21"/>
                      <w:lang w:val="en-US" w:eastAsia="zh-CN" w:bidi="ar-SA"/>
                    </w:rPr>
                  </w:pPr>
                  <w:r>
                    <w:rPr>
                      <w:rFonts w:hint="eastAsia"/>
                      <w:color w:val="auto"/>
                      <w:szCs w:val="21"/>
                    </w:rPr>
                    <w:t>0.0</w:t>
                  </w:r>
                  <w:r>
                    <w:rPr>
                      <w:rFonts w:hint="eastAsia"/>
                      <w:color w:val="auto"/>
                      <w:szCs w:val="21"/>
                      <w:lang w:val="en-US" w:eastAsia="zh-CN"/>
                    </w:rPr>
                    <w:t>7</w:t>
                  </w:r>
                  <w:r>
                    <w:rPr>
                      <w:rFonts w:hint="eastAsia"/>
                      <w:color w:val="auto"/>
                      <w:lang w:val="en-US" w:eastAsia="zh-CN"/>
                    </w:rPr>
                    <w:t>kg/a</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tblHeader/>
                <w:jc w:val="center"/>
              </w:trPr>
              <w:tc>
                <w:tcPr>
                  <w:tcW w:w="375" w:type="pct"/>
                  <w:vMerge w:val="restart"/>
                  <w:vAlign w:val="center"/>
                </w:tcPr>
                <w:p>
                  <w:pPr>
                    <w:jc w:val="center"/>
                    <w:rPr>
                      <w:szCs w:val="21"/>
                    </w:rPr>
                  </w:pPr>
                  <w:r>
                    <w:rPr>
                      <w:rFonts w:hint="eastAsia"/>
                      <w:szCs w:val="21"/>
                    </w:rPr>
                    <w:t>固废</w:t>
                  </w:r>
                </w:p>
              </w:tc>
              <w:tc>
                <w:tcPr>
                  <w:tcW w:w="1677" w:type="pct"/>
                  <w:gridSpan w:val="2"/>
                  <w:vAlign w:val="center"/>
                </w:tcPr>
                <w:p>
                  <w:pPr>
                    <w:widowControl/>
                    <w:jc w:val="center"/>
                    <w:rPr>
                      <w:szCs w:val="21"/>
                    </w:rPr>
                  </w:pPr>
                  <w:r>
                    <w:rPr>
                      <w:rFonts w:hint="eastAsia"/>
                      <w:szCs w:val="21"/>
                    </w:rPr>
                    <w:t>一般工业固废</w:t>
                  </w:r>
                </w:p>
              </w:tc>
              <w:tc>
                <w:tcPr>
                  <w:tcW w:w="732" w:type="pct"/>
                  <w:vAlign w:val="center"/>
                </w:tcPr>
                <w:p>
                  <w:pPr>
                    <w:jc w:val="center"/>
                    <w:rPr>
                      <w:color w:val="auto"/>
                      <w:szCs w:val="21"/>
                    </w:rPr>
                  </w:pPr>
                  <w:r>
                    <w:rPr>
                      <w:rFonts w:hint="eastAsia"/>
                      <w:color w:val="auto"/>
                      <w:szCs w:val="21"/>
                      <w:lang w:val="en-US" w:eastAsia="zh-CN"/>
                    </w:rPr>
                    <w:t>0.11</w:t>
                  </w:r>
                </w:p>
              </w:tc>
              <w:tc>
                <w:tcPr>
                  <w:tcW w:w="725" w:type="pct"/>
                  <w:vAlign w:val="center"/>
                </w:tcPr>
                <w:p>
                  <w:pPr>
                    <w:jc w:val="center"/>
                    <w:rPr>
                      <w:color w:val="auto"/>
                      <w:szCs w:val="21"/>
                    </w:rPr>
                  </w:pPr>
                  <w:r>
                    <w:rPr>
                      <w:rFonts w:hint="eastAsia"/>
                      <w:color w:val="auto"/>
                      <w:szCs w:val="21"/>
                      <w:lang w:val="en-US" w:eastAsia="zh-CN"/>
                    </w:rPr>
                    <w:t>0.11</w:t>
                  </w:r>
                </w:p>
              </w:tc>
              <w:tc>
                <w:tcPr>
                  <w:tcW w:w="743" w:type="pct"/>
                  <w:vAlign w:val="center"/>
                </w:tcPr>
                <w:p>
                  <w:pPr>
                    <w:jc w:val="center"/>
                    <w:rPr>
                      <w:color w:val="auto"/>
                      <w:szCs w:val="21"/>
                    </w:rPr>
                  </w:pPr>
                  <w:r>
                    <w:rPr>
                      <w:rFonts w:hint="eastAsia"/>
                      <w:color w:val="auto"/>
                      <w:szCs w:val="21"/>
                    </w:rPr>
                    <w:t>/</w:t>
                  </w:r>
                </w:p>
              </w:tc>
              <w:tc>
                <w:tcPr>
                  <w:tcW w:w="746" w:type="pct"/>
                  <w:vAlign w:val="center"/>
                </w:tcPr>
                <w:p>
                  <w:pPr>
                    <w:jc w:val="center"/>
                    <w:rPr>
                      <w:color w:val="auto"/>
                      <w:szCs w:val="21"/>
                    </w:rPr>
                  </w:pPr>
                  <w:r>
                    <w:rPr>
                      <w:rFonts w:hint="eastAsia"/>
                      <w:color w:val="auto"/>
                      <w:szCs w:val="21"/>
                    </w:rPr>
                    <w:t>0</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tblHeader/>
                <w:jc w:val="center"/>
              </w:trPr>
              <w:tc>
                <w:tcPr>
                  <w:tcW w:w="375" w:type="pct"/>
                  <w:vMerge w:val="continue"/>
                  <w:vAlign w:val="center"/>
                </w:tcPr>
                <w:p>
                  <w:pPr>
                    <w:jc w:val="center"/>
                    <w:rPr>
                      <w:szCs w:val="21"/>
                    </w:rPr>
                  </w:pPr>
                </w:p>
              </w:tc>
              <w:tc>
                <w:tcPr>
                  <w:tcW w:w="1677" w:type="pct"/>
                  <w:gridSpan w:val="2"/>
                  <w:vAlign w:val="center"/>
                </w:tcPr>
                <w:p>
                  <w:pPr>
                    <w:widowControl/>
                    <w:jc w:val="center"/>
                    <w:rPr>
                      <w:szCs w:val="21"/>
                    </w:rPr>
                  </w:pPr>
                  <w:r>
                    <w:rPr>
                      <w:rFonts w:hint="eastAsia"/>
                      <w:szCs w:val="21"/>
                    </w:rPr>
                    <w:t>危险废物</w:t>
                  </w:r>
                </w:p>
              </w:tc>
              <w:tc>
                <w:tcPr>
                  <w:tcW w:w="732" w:type="pct"/>
                  <w:vAlign w:val="center"/>
                </w:tcPr>
                <w:p>
                  <w:pPr>
                    <w:jc w:val="center"/>
                    <w:rPr>
                      <w:rFonts w:hint="default" w:eastAsia="宋体"/>
                      <w:color w:val="auto"/>
                      <w:szCs w:val="21"/>
                      <w:lang w:val="en-US" w:eastAsia="zh-CN"/>
                    </w:rPr>
                  </w:pPr>
                  <w:r>
                    <w:rPr>
                      <w:rFonts w:hint="eastAsia"/>
                      <w:color w:val="auto"/>
                      <w:szCs w:val="21"/>
                      <w:lang w:val="en-US" w:eastAsia="zh-CN"/>
                    </w:rPr>
                    <w:t>2.102</w:t>
                  </w:r>
                </w:p>
              </w:tc>
              <w:tc>
                <w:tcPr>
                  <w:tcW w:w="725" w:type="pct"/>
                  <w:vAlign w:val="center"/>
                </w:tcPr>
                <w:p>
                  <w:pPr>
                    <w:jc w:val="center"/>
                    <w:rPr>
                      <w:rFonts w:hint="default"/>
                      <w:color w:val="auto"/>
                      <w:szCs w:val="21"/>
                      <w:lang w:val="en-US"/>
                    </w:rPr>
                  </w:pPr>
                  <w:r>
                    <w:rPr>
                      <w:rFonts w:hint="eastAsia"/>
                      <w:color w:val="auto"/>
                      <w:szCs w:val="21"/>
                    </w:rPr>
                    <w:t>2.</w:t>
                  </w:r>
                  <w:r>
                    <w:rPr>
                      <w:rFonts w:hint="eastAsia"/>
                      <w:color w:val="auto"/>
                      <w:szCs w:val="21"/>
                      <w:lang w:val="en-US" w:eastAsia="zh-CN"/>
                    </w:rPr>
                    <w:t>102</w:t>
                  </w:r>
                </w:p>
              </w:tc>
              <w:tc>
                <w:tcPr>
                  <w:tcW w:w="743" w:type="pct"/>
                  <w:vAlign w:val="center"/>
                </w:tcPr>
                <w:p>
                  <w:pPr>
                    <w:jc w:val="center"/>
                    <w:rPr>
                      <w:color w:val="auto"/>
                      <w:szCs w:val="21"/>
                    </w:rPr>
                  </w:pPr>
                  <w:r>
                    <w:rPr>
                      <w:rFonts w:hint="eastAsia"/>
                      <w:color w:val="auto"/>
                      <w:szCs w:val="21"/>
                    </w:rPr>
                    <w:t>/</w:t>
                  </w:r>
                </w:p>
              </w:tc>
              <w:tc>
                <w:tcPr>
                  <w:tcW w:w="746" w:type="pct"/>
                  <w:vAlign w:val="center"/>
                </w:tcPr>
                <w:p>
                  <w:pPr>
                    <w:jc w:val="center"/>
                    <w:rPr>
                      <w:color w:val="auto"/>
                      <w:szCs w:val="21"/>
                    </w:rPr>
                  </w:pPr>
                  <w:r>
                    <w:rPr>
                      <w:rFonts w:hint="eastAsia"/>
                      <w:color w:val="auto"/>
                      <w:szCs w:val="21"/>
                    </w:rPr>
                    <w:t>0</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tblHeader/>
                <w:jc w:val="center"/>
              </w:trPr>
              <w:tc>
                <w:tcPr>
                  <w:tcW w:w="375" w:type="pct"/>
                  <w:vMerge w:val="continue"/>
                  <w:vAlign w:val="center"/>
                </w:tcPr>
                <w:p>
                  <w:pPr>
                    <w:jc w:val="center"/>
                    <w:rPr>
                      <w:szCs w:val="21"/>
                    </w:rPr>
                  </w:pPr>
                </w:p>
              </w:tc>
              <w:tc>
                <w:tcPr>
                  <w:tcW w:w="1677" w:type="pct"/>
                  <w:gridSpan w:val="2"/>
                  <w:vAlign w:val="center"/>
                </w:tcPr>
                <w:p>
                  <w:pPr>
                    <w:widowControl/>
                    <w:jc w:val="center"/>
                    <w:rPr>
                      <w:szCs w:val="21"/>
                    </w:rPr>
                  </w:pPr>
                  <w:r>
                    <w:rPr>
                      <w:rFonts w:hint="eastAsia"/>
                      <w:szCs w:val="21"/>
                    </w:rPr>
                    <w:t>生活垃圾</w:t>
                  </w:r>
                </w:p>
              </w:tc>
              <w:tc>
                <w:tcPr>
                  <w:tcW w:w="732" w:type="pct"/>
                  <w:vAlign w:val="center"/>
                </w:tcPr>
                <w:p>
                  <w:pPr>
                    <w:jc w:val="center"/>
                    <w:rPr>
                      <w:color w:val="auto"/>
                      <w:szCs w:val="21"/>
                    </w:rPr>
                  </w:pPr>
                  <w:r>
                    <w:rPr>
                      <w:rFonts w:hint="eastAsia"/>
                      <w:color w:val="auto"/>
                      <w:szCs w:val="21"/>
                      <w:lang w:val="en-US" w:eastAsia="zh-CN"/>
                    </w:rPr>
                    <w:t>4.5</w:t>
                  </w:r>
                </w:p>
              </w:tc>
              <w:tc>
                <w:tcPr>
                  <w:tcW w:w="725" w:type="pct"/>
                  <w:vAlign w:val="center"/>
                </w:tcPr>
                <w:p>
                  <w:pPr>
                    <w:jc w:val="center"/>
                    <w:rPr>
                      <w:color w:val="auto"/>
                      <w:szCs w:val="21"/>
                    </w:rPr>
                  </w:pPr>
                  <w:r>
                    <w:rPr>
                      <w:rFonts w:hint="eastAsia"/>
                      <w:color w:val="auto"/>
                      <w:szCs w:val="21"/>
                      <w:lang w:val="en-US" w:eastAsia="zh-CN"/>
                    </w:rPr>
                    <w:t>4.5</w:t>
                  </w:r>
                </w:p>
              </w:tc>
              <w:tc>
                <w:tcPr>
                  <w:tcW w:w="743" w:type="pct"/>
                  <w:vAlign w:val="center"/>
                </w:tcPr>
                <w:p>
                  <w:pPr>
                    <w:jc w:val="center"/>
                    <w:rPr>
                      <w:color w:val="auto"/>
                      <w:szCs w:val="21"/>
                    </w:rPr>
                  </w:pPr>
                  <w:r>
                    <w:rPr>
                      <w:rFonts w:hint="eastAsia"/>
                      <w:color w:val="auto"/>
                      <w:szCs w:val="21"/>
                    </w:rPr>
                    <w:t>/</w:t>
                  </w:r>
                </w:p>
              </w:tc>
              <w:tc>
                <w:tcPr>
                  <w:tcW w:w="746" w:type="pct"/>
                  <w:vAlign w:val="center"/>
                </w:tcPr>
                <w:p>
                  <w:pPr>
                    <w:jc w:val="center"/>
                    <w:rPr>
                      <w:color w:val="auto"/>
                      <w:szCs w:val="21"/>
                    </w:rPr>
                  </w:pPr>
                  <w:r>
                    <w:rPr>
                      <w:rFonts w:hint="eastAsia"/>
                      <w:color w:val="auto"/>
                      <w:szCs w:val="21"/>
                    </w:rPr>
                    <w:t>0</w:t>
                  </w:r>
                </w:p>
              </w:tc>
            </w:tr>
          </w:tbl>
          <w:p>
            <w:pPr>
              <w:tabs>
                <w:tab w:val="left" w:pos="1367"/>
              </w:tabs>
              <w:spacing w:line="360" w:lineRule="auto"/>
              <w:ind w:firstLine="480" w:firstLineChars="200"/>
              <w:rPr>
                <w:b/>
                <w:sz w:val="24"/>
              </w:rPr>
            </w:pPr>
            <w:r>
              <w:rPr>
                <w:sz w:val="24"/>
              </w:rPr>
              <w:t>2</w:t>
            </w:r>
            <w:r>
              <w:rPr>
                <w:b/>
                <w:sz w:val="24"/>
              </w:rPr>
              <w:t>、污染物总量平衡方案</w:t>
            </w:r>
          </w:p>
          <w:p>
            <w:pPr>
              <w:spacing w:line="360" w:lineRule="auto"/>
              <w:ind w:firstLine="480" w:firstLineChars="200"/>
              <w:rPr>
                <w:sz w:val="24"/>
              </w:rPr>
            </w:pPr>
            <w:r>
              <w:rPr>
                <w:sz w:val="24"/>
              </w:rPr>
              <w:t>建设单位向</w:t>
            </w:r>
            <w:r>
              <w:rPr>
                <w:rFonts w:hint="eastAsia"/>
                <w:sz w:val="24"/>
              </w:rPr>
              <w:t>常州市</w:t>
            </w:r>
            <w:r>
              <w:rPr>
                <w:sz w:val="24"/>
              </w:rPr>
              <w:t>金坛</w:t>
            </w:r>
            <w:r>
              <w:rPr>
                <w:rFonts w:hint="eastAsia"/>
                <w:sz w:val="24"/>
              </w:rPr>
              <w:t>生态环境局</w:t>
            </w:r>
            <w:r>
              <w:rPr>
                <w:sz w:val="24"/>
              </w:rPr>
              <w:t>申请总量，污染物排放量应在金坛区内平衡。</w:t>
            </w:r>
          </w:p>
          <w:p>
            <w:pPr>
              <w:pStyle w:val="21"/>
            </w:pPr>
          </w:p>
        </w:tc>
      </w:tr>
    </w:tbl>
    <w:p>
      <w:pPr>
        <w:pStyle w:val="312"/>
        <w:rPr>
          <w:rFonts w:ascii="Times New Roman" w:hAnsi="Times New Roman"/>
        </w:rPr>
      </w:pPr>
      <w:r>
        <w:rPr>
          <w:rFonts w:ascii="Times New Roman" w:hAnsi="Times New Roman"/>
        </w:rPr>
        <w:t>建设项目工程分析</w:t>
      </w:r>
    </w:p>
    <w:tbl>
      <w:tblPr>
        <w:tblStyle w:val="56"/>
        <w:tblW w:w="8528"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12" w:space="0"/>
        </w:tblBorders>
        <w:tblLayout w:type="autofit"/>
        <w:tblCellMar>
          <w:top w:w="0" w:type="dxa"/>
          <w:left w:w="108" w:type="dxa"/>
          <w:bottom w:w="0" w:type="dxa"/>
          <w:right w:w="108" w:type="dxa"/>
        </w:tblCellMar>
      </w:tblPr>
      <w:tblGrid>
        <w:gridCol w:w="8528"/>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12" w:space="0"/>
          </w:tblBorders>
          <w:tblCellMar>
            <w:top w:w="0" w:type="dxa"/>
            <w:left w:w="108" w:type="dxa"/>
            <w:bottom w:w="0" w:type="dxa"/>
            <w:right w:w="108" w:type="dxa"/>
          </w:tblCellMar>
        </w:tblPrEx>
        <w:trPr>
          <w:trHeight w:val="90" w:hRule="atLeast"/>
          <w:jc w:val="center"/>
        </w:trPr>
        <w:tc>
          <w:tcPr>
            <w:tcW w:w="8528" w:type="dxa"/>
          </w:tcPr>
          <w:p>
            <w:pPr>
              <w:snapToGrid w:val="0"/>
              <w:rPr>
                <w:b/>
                <w:sz w:val="10"/>
              </w:rPr>
            </w:pPr>
          </w:p>
          <w:p>
            <w:pPr>
              <w:snapToGrid w:val="0"/>
              <w:spacing w:line="360" w:lineRule="auto"/>
              <w:rPr>
                <w:b/>
                <w:sz w:val="24"/>
              </w:rPr>
            </w:pPr>
            <w:r>
              <w:rPr>
                <w:b/>
                <w:sz w:val="24"/>
              </w:rPr>
              <w:t>工艺流程简述(图示)：</w:t>
            </w:r>
          </w:p>
          <w:p>
            <w:pPr>
              <w:pStyle w:val="29"/>
              <w:snapToGrid w:val="0"/>
              <w:spacing w:before="0" w:line="360" w:lineRule="auto"/>
              <w:ind w:firstLine="472" w:firstLineChars="200"/>
              <w:rPr>
                <w:rFonts w:ascii="Times New Roman" w:hAnsi="Times New Roman"/>
                <w:sz w:val="24"/>
              </w:rPr>
            </w:pPr>
            <w:r>
              <w:rPr>
                <w:rFonts w:ascii="Times New Roman" w:hAnsi="Times New Roman"/>
                <w:sz w:val="24"/>
              </w:rPr>
              <w:t>本项目</w:t>
            </w:r>
            <w:r>
              <w:rPr>
                <w:rFonts w:hint="eastAsia" w:ascii="Times New Roman" w:hAnsi="Times New Roman"/>
                <w:sz w:val="24"/>
              </w:rPr>
              <w:t>利用</w:t>
            </w:r>
            <w:r>
              <w:rPr>
                <w:rFonts w:ascii="Times New Roman" w:hAnsi="Times New Roman"/>
                <w:sz w:val="24"/>
              </w:rPr>
              <w:t>现有空置厂房</w:t>
            </w:r>
            <w:r>
              <w:rPr>
                <w:rFonts w:hint="eastAsia" w:ascii="Times New Roman" w:hAnsi="Times New Roman"/>
                <w:sz w:val="24"/>
              </w:rPr>
              <w:t>从事</w:t>
            </w:r>
            <w:r>
              <w:rPr>
                <w:rFonts w:ascii="Times New Roman" w:hAnsi="Times New Roman"/>
                <w:sz w:val="24"/>
              </w:rPr>
              <w:t>生产</w:t>
            </w:r>
            <w:r>
              <w:rPr>
                <w:rFonts w:hint="eastAsia" w:ascii="Times New Roman" w:hAnsi="Times New Roman"/>
                <w:sz w:val="24"/>
              </w:rPr>
              <w:t>活动</w:t>
            </w:r>
            <w:r>
              <w:rPr>
                <w:rFonts w:ascii="Times New Roman" w:hAnsi="Times New Roman"/>
                <w:sz w:val="24"/>
              </w:rPr>
              <w:t>，施工期仅为生产设备的安装以及环保工程的建设，施工期无大型的土建工程，因此本次评价主要分析</w:t>
            </w:r>
            <w:r>
              <w:rPr>
                <w:rFonts w:hint="eastAsia" w:ascii="Times New Roman" w:hAnsi="Times New Roman"/>
                <w:sz w:val="24"/>
              </w:rPr>
              <w:t>营运期</w:t>
            </w:r>
            <w:r>
              <w:rPr>
                <w:rFonts w:ascii="Times New Roman" w:hAnsi="Times New Roman"/>
                <w:sz w:val="24"/>
              </w:rPr>
              <w:t>。</w:t>
            </w:r>
          </w:p>
          <w:p>
            <w:pPr>
              <w:spacing w:line="360" w:lineRule="auto"/>
              <w:ind w:firstLine="480" w:firstLineChars="200"/>
              <w:rPr>
                <w:b/>
                <w:sz w:val="24"/>
                <w:szCs w:val="24"/>
              </w:rPr>
            </w:pPr>
            <w:r>
              <w:rPr>
                <w:b/>
                <w:sz w:val="24"/>
                <w:szCs w:val="24"/>
              </w:rPr>
              <w:t>一、营运期工艺流程及产污环节图</w:t>
            </w:r>
          </w:p>
          <w:p>
            <w:pPr>
              <w:spacing w:line="360" w:lineRule="auto"/>
              <w:ind w:firstLine="480" w:firstLineChars="200"/>
              <w:rPr>
                <w:rFonts w:hint="eastAsia" w:eastAsia="宋体"/>
                <w:b w:val="0"/>
                <w:bCs w:val="0"/>
                <w:sz w:val="24"/>
                <w:szCs w:val="24"/>
                <w:lang w:eastAsia="zh-CN"/>
              </w:rPr>
            </w:pPr>
            <w:r>
              <w:rPr>
                <w:rFonts w:hint="eastAsia"/>
                <w:b w:val="0"/>
                <w:bCs w:val="0"/>
                <w:sz w:val="24"/>
                <w:szCs w:val="24"/>
                <w:lang w:eastAsia="zh-CN"/>
              </w:rPr>
              <w:t>本项目产品为镍钛根锉管和不锈钢根锉管。根锉管由手柄和根锉管操作头组成，以下为根锉管手柄和根锉管操作头生产工艺：</w:t>
            </w:r>
          </w:p>
          <w:p>
            <w:pPr>
              <w:spacing w:line="360" w:lineRule="auto"/>
              <w:rPr>
                <w:rFonts w:hint="eastAsia" w:eastAsia="宋体"/>
                <w:b/>
                <w:bCs/>
                <w:sz w:val="24"/>
                <w:szCs w:val="24"/>
                <w:lang w:val="en-US" w:eastAsia="zh-CN"/>
              </w:rPr>
            </w:pPr>
            <w:r>
              <w:rPr>
                <w:rFonts w:hint="eastAsia"/>
                <w:b/>
                <w:bCs/>
                <w:sz w:val="24"/>
                <w:szCs w:val="24"/>
              </w:rPr>
              <w:t>（1）根锉管工艺流程</w:t>
            </w:r>
            <w:r>
              <w:rPr>
                <w:rFonts w:hint="eastAsia"/>
                <w:b/>
                <w:bCs/>
                <w:sz w:val="24"/>
                <w:szCs w:val="24"/>
                <w:lang w:val="en-US" w:eastAsia="zh-CN"/>
              </w:rPr>
              <w:t xml:space="preserve"> </w:t>
            </w:r>
          </w:p>
          <w:p>
            <w:pPr>
              <w:pStyle w:val="15"/>
              <w:jc w:val="center"/>
              <w:rPr>
                <w:rFonts w:hint="eastAsia" w:ascii="Times New Roman" w:hAnsi="Times New Roman" w:eastAsia="宋体"/>
                <w:bCs w:val="0"/>
                <w:color w:val="auto"/>
                <w:kern w:val="2"/>
                <w:sz w:val="21"/>
                <w:szCs w:val="21"/>
                <w:lang w:eastAsia="zh-CN"/>
              </w:rPr>
            </w:pPr>
            <w:r>
              <w:rPr>
                <w:rFonts w:hint="eastAsia" w:ascii="Times New Roman" w:hAnsi="Times New Roman" w:eastAsia="宋体"/>
                <w:bCs w:val="0"/>
                <w:color w:val="auto"/>
                <w:kern w:val="2"/>
                <w:sz w:val="21"/>
                <w:szCs w:val="21"/>
                <w:lang w:eastAsia="zh-CN"/>
              </w:rPr>
              <w:drawing>
                <wp:inline distT="0" distB="0" distL="114300" distR="114300">
                  <wp:extent cx="4576445" cy="3647440"/>
                  <wp:effectExtent l="0" t="0" r="0" b="10160"/>
                  <wp:docPr id="5" name="ECB019B1-382A-4266-B25C-5B523AA43C14-1" descr="C:/Users/ADMINI~1/AppData/Local/Temp/qt_temp.cf5468qt_te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ECB019B1-382A-4266-B25C-5B523AA43C14-1" descr="C:/Users/ADMINI~1/AppData/Local/Temp/qt_temp.cf5468qt_temp"/>
                          <pic:cNvPicPr>
                            <a:picLocks noChangeAspect="1"/>
                          </pic:cNvPicPr>
                        </pic:nvPicPr>
                        <pic:blipFill>
                          <a:blip r:embed="rId12"/>
                          <a:srcRect l="5479" t="6897" r="5251" b="9707"/>
                          <a:stretch>
                            <a:fillRect/>
                          </a:stretch>
                        </pic:blipFill>
                        <pic:spPr>
                          <a:xfrm>
                            <a:off x="0" y="0"/>
                            <a:ext cx="4576445" cy="3647440"/>
                          </a:xfrm>
                          <a:prstGeom prst="rect">
                            <a:avLst/>
                          </a:prstGeom>
                        </pic:spPr>
                      </pic:pic>
                    </a:graphicData>
                  </a:graphic>
                </wp:inline>
              </w:drawing>
            </w:r>
          </w:p>
          <w:p>
            <w:pPr>
              <w:pStyle w:val="15"/>
              <w:jc w:val="center"/>
              <w:rPr>
                <w:rFonts w:ascii="Times New Roman" w:hAnsi="Times New Roman"/>
                <w:bCs w:val="0"/>
                <w:color w:val="auto"/>
                <w:kern w:val="2"/>
                <w:sz w:val="21"/>
                <w:szCs w:val="21"/>
              </w:rPr>
            </w:pPr>
            <w:r>
              <w:rPr>
                <w:rFonts w:ascii="Times New Roman" w:hAnsi="Times New Roman"/>
                <w:bCs w:val="0"/>
                <w:color w:val="auto"/>
                <w:kern w:val="2"/>
                <w:sz w:val="21"/>
                <w:szCs w:val="21"/>
              </w:rPr>
              <w:t>图5-</w:t>
            </w:r>
            <w:r>
              <w:rPr>
                <w:rFonts w:hint="eastAsia" w:ascii="Times New Roman" w:hAnsi="Times New Roman"/>
                <w:bCs w:val="0"/>
                <w:color w:val="auto"/>
                <w:kern w:val="2"/>
                <w:sz w:val="21"/>
                <w:szCs w:val="21"/>
              </w:rPr>
              <w:t>1</w:t>
            </w:r>
            <w:r>
              <w:rPr>
                <w:rFonts w:ascii="Times New Roman" w:hAnsi="Times New Roman"/>
                <w:bCs w:val="0"/>
                <w:color w:val="auto"/>
                <w:kern w:val="2"/>
                <w:sz w:val="21"/>
                <w:szCs w:val="21"/>
              </w:rPr>
              <w:t xml:space="preserve">  </w:t>
            </w:r>
            <w:r>
              <w:rPr>
                <w:rFonts w:hint="eastAsia" w:ascii="Times New Roman" w:hAnsi="Times New Roman"/>
                <w:bCs w:val="0"/>
                <w:color w:val="auto"/>
                <w:kern w:val="2"/>
                <w:sz w:val="21"/>
                <w:szCs w:val="21"/>
              </w:rPr>
              <w:t>根锉管生产</w:t>
            </w:r>
            <w:r>
              <w:rPr>
                <w:rFonts w:ascii="Times New Roman" w:hAnsi="Times New Roman"/>
                <w:bCs w:val="0"/>
                <w:color w:val="auto"/>
                <w:kern w:val="2"/>
                <w:sz w:val="21"/>
                <w:szCs w:val="21"/>
              </w:rPr>
              <w:t>工艺流程及产污环节图</w:t>
            </w:r>
          </w:p>
          <w:p>
            <w:pPr>
              <w:spacing w:line="360" w:lineRule="auto"/>
              <w:ind w:firstLine="480" w:firstLineChars="200"/>
              <w:rPr>
                <w:rFonts w:hint="eastAsia"/>
                <w:b/>
                <w:bCs/>
                <w:sz w:val="24"/>
                <w:szCs w:val="24"/>
                <w:lang w:eastAsia="zh-CN"/>
              </w:rPr>
            </w:pPr>
            <w:r>
              <w:rPr>
                <w:rFonts w:hint="eastAsia"/>
                <w:b/>
                <w:bCs/>
                <w:sz w:val="24"/>
                <w:szCs w:val="24"/>
                <w:lang w:eastAsia="zh-CN"/>
              </w:rPr>
              <w:t>根锉管手柄生产工艺流程说明：</w:t>
            </w:r>
          </w:p>
          <w:p>
            <w:pPr>
              <w:spacing w:line="360" w:lineRule="auto"/>
              <w:ind w:firstLine="480" w:firstLineChars="200"/>
              <w:rPr>
                <w:rFonts w:hint="default" w:eastAsia="宋体"/>
                <w:sz w:val="24"/>
                <w:szCs w:val="24"/>
                <w:lang w:val="en-US" w:eastAsia="zh-CN"/>
              </w:rPr>
            </w:pPr>
            <w:r>
              <w:rPr>
                <w:rFonts w:hint="eastAsia"/>
                <w:b/>
                <w:bCs/>
                <w:sz w:val="24"/>
                <w:szCs w:val="24"/>
                <w:lang w:eastAsia="zh-CN"/>
              </w:rPr>
              <w:t>投料混合</w:t>
            </w:r>
            <w:r>
              <w:rPr>
                <w:rFonts w:hint="eastAsia"/>
                <w:b/>
                <w:bCs/>
                <w:sz w:val="24"/>
                <w:szCs w:val="24"/>
              </w:rPr>
              <w:t>：</w:t>
            </w:r>
            <w:r>
              <w:rPr>
                <w:rFonts w:hint="eastAsia"/>
                <w:b w:val="0"/>
                <w:bCs w:val="0"/>
                <w:sz w:val="24"/>
                <w:szCs w:val="24"/>
                <w:lang w:eastAsia="zh-CN"/>
              </w:rPr>
              <w:t>根据订单对产品的需求不同，人工将热塑性弹体</w:t>
            </w:r>
            <w:r>
              <w:rPr>
                <w:rFonts w:hint="eastAsia"/>
                <w:b w:val="0"/>
                <w:bCs w:val="0"/>
                <w:sz w:val="24"/>
                <w:szCs w:val="24"/>
                <w:lang w:val="en-US" w:eastAsia="zh-CN"/>
              </w:rPr>
              <w:t>/PVC颗粒与色母粒配比后投入注塑机内，经设备自带的混料机进行混合</w:t>
            </w:r>
            <w:r>
              <w:rPr>
                <w:rFonts w:hint="eastAsia"/>
                <w:b w:val="0"/>
                <w:bCs w:val="0"/>
                <w:sz w:val="24"/>
                <w:szCs w:val="24"/>
              </w:rPr>
              <w:t>；</w:t>
            </w:r>
            <w:r>
              <w:rPr>
                <w:rFonts w:hint="eastAsia"/>
                <w:b w:val="0"/>
                <w:bCs w:val="0"/>
                <w:sz w:val="24"/>
                <w:szCs w:val="24"/>
                <w:lang w:eastAsia="zh-CN"/>
              </w:rPr>
              <w:t>此工序会产生</w:t>
            </w:r>
            <w:r>
              <w:rPr>
                <w:rFonts w:hint="eastAsia"/>
                <w:b w:val="0"/>
                <w:bCs w:val="0"/>
                <w:sz w:val="24"/>
                <w:szCs w:val="24"/>
                <w:lang w:val="en-US" w:eastAsia="zh-CN"/>
              </w:rPr>
              <w:t>S1-1废包装材料、G1-1粉尘、N设备噪声；</w:t>
            </w:r>
          </w:p>
          <w:p>
            <w:pPr>
              <w:spacing w:line="360" w:lineRule="auto"/>
              <w:rPr>
                <w:b w:val="0"/>
                <w:bCs w:val="0"/>
                <w:sz w:val="24"/>
                <w:szCs w:val="24"/>
              </w:rPr>
            </w:pPr>
            <w:r>
              <w:rPr>
                <w:rFonts w:hint="eastAsia"/>
                <w:sz w:val="24"/>
                <w:szCs w:val="24"/>
              </w:rPr>
              <w:t xml:space="preserve"> </w:t>
            </w:r>
            <w:r>
              <w:rPr>
                <w:rFonts w:hint="eastAsia"/>
                <w:sz w:val="24"/>
                <w:szCs w:val="24"/>
                <w:lang w:val="en-US" w:eastAsia="zh-CN"/>
              </w:rPr>
              <w:t xml:space="preserve">  </w:t>
            </w:r>
            <w:r>
              <w:rPr>
                <w:rFonts w:hint="eastAsia"/>
                <w:b/>
                <w:bCs/>
                <w:sz w:val="24"/>
                <w:szCs w:val="24"/>
                <w:lang w:eastAsia="zh-CN"/>
              </w:rPr>
              <w:t>注塑成型</w:t>
            </w:r>
            <w:r>
              <w:rPr>
                <w:rFonts w:hint="eastAsia"/>
                <w:b/>
                <w:bCs/>
                <w:sz w:val="24"/>
                <w:szCs w:val="24"/>
              </w:rPr>
              <w:t>：</w:t>
            </w:r>
            <w:r>
              <w:rPr>
                <w:rFonts w:hint="eastAsia"/>
                <w:b w:val="0"/>
                <w:bCs w:val="0"/>
                <w:sz w:val="24"/>
                <w:szCs w:val="24"/>
              </w:rPr>
              <w:t>采用电加热使原料热熔</w:t>
            </w:r>
            <w:r>
              <w:rPr>
                <w:rFonts w:hint="eastAsia"/>
                <w:b w:val="0"/>
                <w:bCs w:val="0"/>
                <w:sz w:val="24"/>
                <w:szCs w:val="24"/>
                <w:lang w:eastAsia="zh-CN"/>
              </w:rPr>
              <w:t>后填充入注塑机内的模具中</w:t>
            </w:r>
            <w:r>
              <w:rPr>
                <w:rFonts w:hint="eastAsia"/>
                <w:b w:val="0"/>
                <w:bCs w:val="0"/>
                <w:sz w:val="24"/>
                <w:szCs w:val="24"/>
              </w:rPr>
              <w:t>，</w:t>
            </w:r>
            <w:r>
              <w:rPr>
                <w:rFonts w:hint="eastAsia"/>
                <w:sz w:val="24"/>
                <w:szCs w:val="24"/>
                <w:lang w:eastAsia="zh-CN"/>
              </w:rPr>
              <w:t>经过一定时间和压力保持(又称保压)让产品基本成型</w:t>
            </w:r>
            <w:r>
              <w:rPr>
                <w:rFonts w:hint="eastAsia"/>
                <w:b w:val="0"/>
                <w:bCs w:val="0"/>
                <w:sz w:val="24"/>
                <w:szCs w:val="24"/>
              </w:rPr>
              <w:t>（注塑温度为</w:t>
            </w:r>
            <w:r>
              <w:rPr>
                <w:rFonts w:hint="eastAsia"/>
                <w:b w:val="0"/>
                <w:bCs w:val="0"/>
                <w:sz w:val="24"/>
                <w:szCs w:val="24"/>
                <w:lang w:val="en-US" w:eastAsia="zh-CN"/>
              </w:rPr>
              <w:t>160~220</w:t>
            </w:r>
            <w:r>
              <w:rPr>
                <w:rFonts w:hint="eastAsia"/>
                <w:b w:val="0"/>
                <w:bCs w:val="0"/>
                <w:sz w:val="24"/>
                <w:szCs w:val="24"/>
              </w:rPr>
              <w:t>℃，注塑时间10~60s）</w:t>
            </w:r>
            <w:r>
              <w:rPr>
                <w:rFonts w:hint="eastAsia"/>
                <w:b w:val="0"/>
                <w:bCs w:val="0"/>
                <w:sz w:val="24"/>
                <w:szCs w:val="24"/>
                <w:lang w:eastAsia="zh-CN"/>
              </w:rPr>
              <w:t>，</w:t>
            </w:r>
            <w:r>
              <w:rPr>
                <w:rFonts w:hint="eastAsia"/>
                <w:sz w:val="24"/>
                <w:szCs w:val="24"/>
              </w:rPr>
              <w:t>由注塑机冷却水管中的冷却水与模具中塑料进行热交换</w:t>
            </w:r>
            <w:r>
              <w:rPr>
                <w:rFonts w:hint="eastAsia"/>
                <w:sz w:val="24"/>
                <w:szCs w:val="24"/>
                <w:lang w:eastAsia="zh-CN"/>
              </w:rPr>
              <w:t>，冷却后成型，人工将成型的产品取出</w:t>
            </w:r>
            <w:r>
              <w:rPr>
                <w:rFonts w:hint="eastAsia"/>
                <w:sz w:val="24"/>
                <w:szCs w:val="24"/>
              </w:rPr>
              <w:t>。</w:t>
            </w:r>
            <w:r>
              <w:rPr>
                <w:rFonts w:hint="eastAsia"/>
                <w:b w:val="0"/>
                <w:bCs w:val="0"/>
                <w:sz w:val="24"/>
                <w:szCs w:val="24"/>
              </w:rPr>
              <w:t>此工序会产生G</w:t>
            </w:r>
            <w:r>
              <w:rPr>
                <w:rFonts w:hint="eastAsia"/>
                <w:b w:val="0"/>
                <w:bCs w:val="0"/>
                <w:sz w:val="24"/>
                <w:szCs w:val="24"/>
                <w:lang w:val="en-US" w:eastAsia="zh-CN"/>
              </w:rPr>
              <w:t>1-2</w:t>
            </w:r>
            <w:r>
              <w:rPr>
                <w:rFonts w:hint="eastAsia"/>
                <w:b w:val="0"/>
                <w:bCs w:val="0"/>
                <w:sz w:val="24"/>
                <w:szCs w:val="24"/>
              </w:rPr>
              <w:t>注塑废气</w:t>
            </w:r>
            <w:r>
              <w:rPr>
                <w:rFonts w:hint="eastAsia"/>
                <w:b w:val="0"/>
                <w:bCs w:val="0"/>
                <w:sz w:val="24"/>
                <w:szCs w:val="24"/>
                <w:lang w:eastAsia="zh-CN"/>
              </w:rPr>
              <w:t>、</w:t>
            </w:r>
            <w:r>
              <w:rPr>
                <w:rFonts w:hint="eastAsia"/>
                <w:b w:val="0"/>
                <w:bCs w:val="0"/>
                <w:sz w:val="24"/>
                <w:szCs w:val="24"/>
                <w:lang w:val="en-US" w:eastAsia="zh-CN"/>
              </w:rPr>
              <w:t>S1-2不合格产品和</w:t>
            </w:r>
            <w:r>
              <w:rPr>
                <w:rFonts w:hint="eastAsia"/>
                <w:b w:val="0"/>
                <w:bCs w:val="0"/>
                <w:sz w:val="24"/>
                <w:szCs w:val="24"/>
              </w:rPr>
              <w:t>N</w:t>
            </w:r>
            <w:r>
              <w:rPr>
                <w:rFonts w:hint="eastAsia"/>
                <w:b w:val="0"/>
                <w:bCs w:val="0"/>
                <w:sz w:val="24"/>
                <w:szCs w:val="24"/>
                <w:lang w:eastAsia="zh-CN"/>
              </w:rPr>
              <w:t>设备</w:t>
            </w:r>
            <w:r>
              <w:rPr>
                <w:rFonts w:hint="eastAsia"/>
                <w:b w:val="0"/>
                <w:bCs w:val="0"/>
                <w:sz w:val="24"/>
                <w:szCs w:val="24"/>
              </w:rPr>
              <w:t>噪声；</w:t>
            </w:r>
          </w:p>
          <w:p>
            <w:pPr>
              <w:spacing w:line="360" w:lineRule="auto"/>
              <w:ind w:firstLine="480" w:firstLineChars="200"/>
              <w:rPr>
                <w:rFonts w:hint="eastAsia" w:eastAsia="宋体"/>
                <w:b/>
                <w:bCs/>
                <w:sz w:val="24"/>
                <w:szCs w:val="24"/>
                <w:lang w:eastAsia="zh-CN"/>
              </w:rPr>
            </w:pPr>
            <w:r>
              <w:rPr>
                <w:rFonts w:hint="eastAsia"/>
                <w:b/>
                <w:bCs/>
                <w:sz w:val="24"/>
                <w:szCs w:val="24"/>
                <w:lang w:eastAsia="zh-CN"/>
              </w:rPr>
              <w:t>根锉管整体工艺</w:t>
            </w:r>
            <w:r>
              <w:rPr>
                <w:rFonts w:hint="eastAsia"/>
                <w:b/>
                <w:bCs/>
                <w:sz w:val="24"/>
                <w:szCs w:val="24"/>
              </w:rPr>
              <w:t>流程</w:t>
            </w:r>
            <w:r>
              <w:rPr>
                <w:rFonts w:hint="eastAsia"/>
                <w:b/>
                <w:bCs/>
                <w:sz w:val="24"/>
                <w:szCs w:val="24"/>
                <w:lang w:eastAsia="zh-CN"/>
              </w:rPr>
              <w:t>说明：</w:t>
            </w:r>
          </w:p>
          <w:p>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default" w:ascii="Times New Roman" w:hAnsi="Times New Roman" w:eastAsia="宋体" w:cs="Times New Roman"/>
                <w:b w:val="0"/>
                <w:bCs/>
                <w:sz w:val="24"/>
                <w:szCs w:val="24"/>
                <w:lang w:eastAsia="zh-CN"/>
              </w:rPr>
            </w:pPr>
            <w:r>
              <w:rPr>
                <w:rFonts w:hint="default" w:ascii="Times New Roman" w:hAnsi="Times New Roman" w:eastAsia="宋体" w:cs="Times New Roman"/>
                <w:b/>
                <w:sz w:val="24"/>
                <w:szCs w:val="24"/>
                <w:lang w:eastAsia="zh-CN"/>
              </w:rPr>
              <w:t>校直：</w:t>
            </w:r>
            <w:r>
              <w:rPr>
                <w:rFonts w:hint="default" w:ascii="Times New Roman" w:hAnsi="Times New Roman" w:eastAsia="宋体" w:cs="Times New Roman"/>
                <w:b w:val="0"/>
                <w:bCs/>
                <w:sz w:val="24"/>
                <w:szCs w:val="24"/>
                <w:lang w:eastAsia="zh-CN"/>
              </w:rPr>
              <w:t>使用钢丝调直设备将镍钛丝、不锈钢丝进行校直，可实现准确测量。</w:t>
            </w:r>
          </w:p>
          <w:p>
            <w:pPr>
              <w:pStyle w:val="79"/>
              <w:keepNext w:val="0"/>
              <w:keepLines w:val="0"/>
              <w:pageBreakBefore w:val="0"/>
              <w:widowControl w:val="0"/>
              <w:kinsoku/>
              <w:wordWrap/>
              <w:overflowPunct/>
              <w:topLinePunct w:val="0"/>
              <w:autoSpaceDE w:val="0"/>
              <w:autoSpaceDN w:val="0"/>
              <w:bidi w:val="0"/>
              <w:adjustRightInd w:val="0"/>
              <w:snapToGrid/>
              <w:spacing w:after="0" w:line="360" w:lineRule="auto"/>
              <w:ind w:firstLine="480" w:firstLineChars="200"/>
              <w:textAlignment w:val="auto"/>
              <w:rPr>
                <w:rFonts w:hint="default" w:ascii="Times New Roman" w:hAnsi="Times New Roman" w:eastAsia="宋体" w:cs="Times New Roman"/>
                <w:b/>
                <w:bCs w:val="0"/>
                <w:sz w:val="24"/>
                <w:szCs w:val="24"/>
                <w:lang w:val="en-US" w:eastAsia="zh-CN"/>
              </w:rPr>
            </w:pPr>
            <w:r>
              <w:rPr>
                <w:rFonts w:hint="default" w:ascii="Times New Roman" w:hAnsi="Times New Roman" w:eastAsia="宋体" w:cs="Times New Roman"/>
                <w:b/>
                <w:bCs w:val="0"/>
                <w:sz w:val="24"/>
                <w:szCs w:val="24"/>
                <w:lang w:eastAsia="zh-CN"/>
              </w:rPr>
              <w:t>成型：</w:t>
            </w:r>
            <w:r>
              <w:rPr>
                <w:rFonts w:hint="default" w:ascii="Times New Roman" w:hAnsi="Times New Roman" w:eastAsia="宋体" w:cs="Times New Roman"/>
                <w:b w:val="0"/>
                <w:bCs/>
                <w:sz w:val="24"/>
                <w:szCs w:val="24"/>
                <w:lang w:eastAsia="zh-CN"/>
              </w:rPr>
              <w:t>将校直后镍钛丝、不锈钢丝通过磨床、车床进行车磨成型，此工序会产生</w:t>
            </w:r>
            <w:r>
              <w:rPr>
                <w:rFonts w:hint="default" w:ascii="Times New Roman" w:hAnsi="Times New Roman" w:eastAsia="宋体" w:cs="Times New Roman"/>
                <w:b w:val="0"/>
                <w:bCs/>
                <w:sz w:val="24"/>
                <w:szCs w:val="24"/>
                <w:lang w:val="en-US" w:eastAsia="zh-CN"/>
              </w:rPr>
              <w:t>S2-1废金属碎屑、W2-1废切削液和N设备噪声；</w:t>
            </w:r>
          </w:p>
          <w:p>
            <w:pPr>
              <w:keepNext w:val="0"/>
              <w:keepLines w:val="0"/>
              <w:pageBreakBefore w:val="0"/>
              <w:widowControl w:val="0"/>
              <w:kinsoku/>
              <w:wordWrap/>
              <w:overflowPunct/>
              <w:topLinePunct w:val="0"/>
              <w:autoSpaceDE/>
              <w:autoSpaceDN/>
              <w:bidi w:val="0"/>
              <w:adjustRightInd w:val="0"/>
              <w:snapToGrid w:val="0"/>
              <w:spacing w:line="360" w:lineRule="auto"/>
              <w:ind w:firstLine="240" w:firstLineChars="100"/>
              <w:textAlignment w:val="auto"/>
              <w:rPr>
                <w:rFonts w:hint="default" w:ascii="Times New Roman" w:hAnsi="Times New Roman" w:eastAsia="宋体" w:cs="Times New Roman"/>
                <w:b w:val="0"/>
                <w:bCs/>
                <w:color w:val="000000"/>
                <w:kern w:val="0"/>
                <w:sz w:val="24"/>
                <w:szCs w:val="24"/>
                <w:lang w:val="en-US" w:eastAsia="zh-CN" w:bidi="ar-SA"/>
              </w:rPr>
            </w:pPr>
            <w:r>
              <w:rPr>
                <w:rFonts w:hint="default" w:ascii="Times New Roman" w:hAnsi="Times New Roman" w:eastAsia="宋体" w:cs="Times New Roman"/>
                <w:b/>
                <w:sz w:val="24"/>
                <w:szCs w:val="24"/>
                <w:lang w:val="en-US" w:eastAsia="zh-CN"/>
              </w:rPr>
              <w:t xml:space="preserve">  后处理：</w:t>
            </w:r>
            <w:r>
              <w:rPr>
                <w:rFonts w:hint="default" w:ascii="Times New Roman" w:hAnsi="Times New Roman" w:eastAsia="宋体" w:cs="Times New Roman"/>
                <w:b w:val="0"/>
                <w:bCs/>
                <w:color w:val="000000"/>
                <w:kern w:val="0"/>
                <w:sz w:val="24"/>
                <w:szCs w:val="24"/>
                <w:lang w:val="en-US" w:eastAsia="zh-CN" w:bidi="ar-SA"/>
              </w:rPr>
              <w:t>使用后处理设备对成型的根锉管和手柄组装。</w:t>
            </w:r>
          </w:p>
          <w:p>
            <w:pPr>
              <w:pStyle w:val="15"/>
              <w:keepNext w:val="0"/>
              <w:keepLines w:val="0"/>
              <w:pageBreakBefore w:val="0"/>
              <w:widowControl/>
              <w:kinsoku/>
              <w:wordWrap/>
              <w:overflowPunct/>
              <w:topLinePunct w:val="0"/>
              <w:autoSpaceDE/>
              <w:autoSpaceDN/>
              <w:bidi w:val="0"/>
              <w:adjustRightInd/>
              <w:snapToGrid/>
              <w:spacing w:line="360" w:lineRule="auto"/>
              <w:ind w:firstLine="480" w:firstLineChars="200"/>
              <w:jc w:val="both"/>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lang w:eastAsia="zh-CN"/>
              </w:rPr>
              <w:t>检测：</w:t>
            </w:r>
            <w:r>
              <w:rPr>
                <w:rFonts w:hint="default" w:ascii="Times New Roman" w:hAnsi="Times New Roman" w:eastAsia="宋体" w:cs="Times New Roman"/>
                <w:b w:val="0"/>
                <w:bCs/>
                <w:color w:val="000000"/>
                <w:kern w:val="0"/>
                <w:sz w:val="24"/>
                <w:szCs w:val="24"/>
                <w:lang w:val="en-US" w:eastAsia="zh-CN" w:bidi="ar-SA"/>
              </w:rPr>
              <w:t>使用测拉力机对组装好的</w:t>
            </w:r>
            <w:r>
              <w:rPr>
                <w:rFonts w:hint="eastAsia" w:ascii="Times New Roman" w:hAnsi="Times New Roman" w:cs="Times New Roman"/>
                <w:b w:val="0"/>
                <w:bCs/>
                <w:color w:val="000000"/>
                <w:kern w:val="0"/>
                <w:sz w:val="24"/>
                <w:szCs w:val="24"/>
                <w:lang w:val="en-US" w:eastAsia="zh-CN" w:bidi="ar-SA"/>
              </w:rPr>
              <w:t>镍钛</w:t>
            </w:r>
            <w:r>
              <w:rPr>
                <w:rFonts w:hint="default" w:ascii="Times New Roman" w:hAnsi="Times New Roman" w:eastAsia="宋体" w:cs="Times New Roman"/>
                <w:b w:val="0"/>
                <w:bCs/>
                <w:color w:val="000000"/>
                <w:kern w:val="0"/>
                <w:sz w:val="24"/>
                <w:szCs w:val="24"/>
                <w:lang w:val="en-US" w:eastAsia="zh-CN" w:bidi="ar-SA"/>
              </w:rPr>
              <w:t>根锉管进行拉力测试，检测根锉管和手柄的组合牢固程度，</w:t>
            </w:r>
            <w:r>
              <w:rPr>
                <w:rFonts w:hint="eastAsia" w:ascii="Times New Roman" w:hAnsi="Times New Roman" w:cs="Times New Roman"/>
                <w:b w:val="0"/>
                <w:bCs/>
                <w:color w:val="000000"/>
                <w:kern w:val="0"/>
                <w:sz w:val="24"/>
                <w:szCs w:val="24"/>
                <w:lang w:val="en-US" w:eastAsia="zh-CN" w:bidi="ar-SA"/>
              </w:rPr>
              <w:t>人工检测不锈钢根锉管的组合牢固程度，</w:t>
            </w:r>
            <w:r>
              <w:rPr>
                <w:rFonts w:hint="default" w:ascii="Times New Roman" w:hAnsi="Times New Roman" w:eastAsia="宋体" w:cs="Times New Roman"/>
                <w:b w:val="0"/>
                <w:bCs/>
                <w:color w:val="000000"/>
                <w:kern w:val="0"/>
                <w:sz w:val="24"/>
                <w:szCs w:val="24"/>
                <w:lang w:val="en-US" w:eastAsia="zh-CN" w:bidi="ar-SA"/>
              </w:rPr>
              <w:t>不合格品将返工处理</w:t>
            </w:r>
            <w:r>
              <w:rPr>
                <w:rFonts w:hint="eastAsia" w:ascii="Times New Roman" w:hAnsi="Times New Roman" w:cs="Times New Roman"/>
                <w:b w:val="0"/>
                <w:bCs/>
                <w:color w:val="000000"/>
                <w:kern w:val="0"/>
                <w:sz w:val="24"/>
                <w:szCs w:val="24"/>
                <w:lang w:val="en-US" w:eastAsia="zh-CN" w:bidi="ar-SA"/>
              </w:rPr>
              <w:t>；不合格品</w:t>
            </w:r>
            <w:r>
              <w:rPr>
                <w:rFonts w:hint="default" w:ascii="Times New Roman" w:hAnsi="Times New Roman" w:eastAsia="宋体" w:cs="Times New Roman"/>
                <w:b w:val="0"/>
                <w:bCs/>
                <w:color w:val="000000"/>
                <w:kern w:val="0"/>
                <w:sz w:val="24"/>
                <w:szCs w:val="24"/>
                <w:lang w:val="en-US" w:eastAsia="zh-CN" w:bidi="ar-SA"/>
              </w:rPr>
              <w:t>合格品进行包装环节；此工序会产生N噪声；</w:t>
            </w:r>
            <w:r>
              <w:rPr>
                <w:rFonts w:hint="default" w:ascii="Times New Roman" w:hAnsi="Times New Roman" w:eastAsia="宋体" w:cs="Times New Roman"/>
                <w:color w:val="auto"/>
                <w:sz w:val="24"/>
                <w:szCs w:val="24"/>
              </w:rPr>
              <w:t xml:space="preserve"> </w:t>
            </w:r>
          </w:p>
          <w:p>
            <w:pPr>
              <w:adjustRightInd w:val="0"/>
              <w:snapToGrid w:val="0"/>
              <w:spacing w:line="360" w:lineRule="auto"/>
              <w:ind w:firstLine="480" w:firstLineChars="200"/>
              <w:rPr>
                <w:rFonts w:hint="default" w:ascii="Times New Roman" w:hAnsi="Times New Roman" w:eastAsia="宋体" w:cs="Times New Roman"/>
                <w:bCs/>
                <w:sz w:val="24"/>
                <w:szCs w:val="24"/>
                <w:lang w:eastAsia="zh-CN"/>
              </w:rPr>
            </w:pPr>
            <w:r>
              <w:rPr>
                <w:rFonts w:hint="default" w:ascii="Times New Roman" w:hAnsi="Times New Roman" w:eastAsia="宋体" w:cs="Times New Roman"/>
                <w:b/>
                <w:sz w:val="24"/>
                <w:szCs w:val="24"/>
                <w:lang w:val="en-US" w:eastAsia="zh-CN"/>
              </w:rPr>
              <w:t>成品包装：</w:t>
            </w:r>
            <w:r>
              <w:rPr>
                <w:rFonts w:hint="default" w:ascii="Times New Roman" w:hAnsi="Times New Roman" w:eastAsia="宋体" w:cs="Times New Roman"/>
                <w:bCs/>
                <w:sz w:val="24"/>
                <w:szCs w:val="24"/>
              </w:rPr>
              <w:t>成品打包包装，入库待售；此工序会产生S</w:t>
            </w:r>
            <w:r>
              <w:rPr>
                <w:rFonts w:hint="default" w:ascii="Times New Roman" w:hAnsi="Times New Roman" w:eastAsia="宋体" w:cs="Times New Roman"/>
                <w:bCs/>
                <w:sz w:val="24"/>
                <w:szCs w:val="24"/>
                <w:lang w:val="en-US" w:eastAsia="zh-CN"/>
              </w:rPr>
              <w:t>2</w:t>
            </w:r>
            <w:r>
              <w:rPr>
                <w:rFonts w:hint="default" w:ascii="Times New Roman" w:hAnsi="Times New Roman" w:eastAsia="宋体" w:cs="Times New Roman"/>
                <w:bCs/>
                <w:sz w:val="24"/>
                <w:szCs w:val="24"/>
              </w:rPr>
              <w:t>-2废包装材料</w:t>
            </w:r>
            <w:r>
              <w:rPr>
                <w:rFonts w:hint="default" w:ascii="Times New Roman" w:hAnsi="Times New Roman" w:eastAsia="宋体" w:cs="Times New Roman"/>
                <w:bCs/>
                <w:sz w:val="24"/>
                <w:szCs w:val="24"/>
                <w:lang w:eastAsia="zh-CN"/>
              </w:rPr>
              <w:t>。</w:t>
            </w:r>
          </w:p>
          <w:p>
            <w:pPr>
              <w:adjustRightInd w:val="0"/>
              <w:snapToGrid w:val="0"/>
              <w:spacing w:line="360" w:lineRule="auto"/>
              <w:ind w:firstLine="480" w:firstLineChars="200"/>
              <w:rPr>
                <w:b/>
                <w:sz w:val="24"/>
                <w:szCs w:val="24"/>
              </w:rPr>
            </w:pPr>
            <w:r>
              <w:rPr>
                <w:b/>
                <w:sz w:val="24"/>
                <w:szCs w:val="24"/>
              </w:rPr>
              <w:t>三、</w:t>
            </w:r>
            <w:r>
              <w:rPr>
                <w:rFonts w:hint="eastAsia"/>
                <w:b/>
                <w:sz w:val="24"/>
                <w:szCs w:val="24"/>
              </w:rPr>
              <w:t>污染因子识别</w:t>
            </w:r>
            <w:r>
              <w:rPr>
                <w:b/>
                <w:sz w:val="24"/>
                <w:szCs w:val="24"/>
              </w:rPr>
              <w:t>：</w:t>
            </w:r>
          </w:p>
          <w:p>
            <w:pPr>
              <w:adjustRightInd w:val="0"/>
              <w:snapToGrid w:val="0"/>
              <w:spacing w:line="360" w:lineRule="auto"/>
              <w:ind w:firstLine="480" w:firstLineChars="200"/>
              <w:rPr>
                <w:b/>
                <w:sz w:val="24"/>
              </w:rPr>
            </w:pPr>
            <w:r>
              <w:rPr>
                <w:b/>
                <w:sz w:val="24"/>
              </w:rPr>
              <w:t>1、废气</w:t>
            </w:r>
          </w:p>
          <w:p>
            <w:pPr>
              <w:pStyle w:val="21"/>
              <w:spacing w:after="0" w:line="360" w:lineRule="auto"/>
              <w:ind w:firstLine="480" w:firstLineChars="200"/>
              <w:rPr>
                <w:b/>
                <w:bCs/>
                <w:sz w:val="24"/>
                <w:szCs w:val="22"/>
              </w:rPr>
            </w:pPr>
            <w:r>
              <w:rPr>
                <w:rFonts w:hint="eastAsia"/>
                <w:sz w:val="24"/>
                <w:szCs w:val="22"/>
              </w:rPr>
              <w:t>本项目运行期废气</w:t>
            </w:r>
            <w:r>
              <w:rPr>
                <w:rFonts w:hint="eastAsia"/>
                <w:sz w:val="24"/>
                <w:szCs w:val="22"/>
                <w:lang w:eastAsia="zh-CN"/>
              </w:rPr>
              <w:t>为投料混合产生的粉尘、注塑成型工序产生的注塑废气</w:t>
            </w:r>
            <w:r>
              <w:rPr>
                <w:rFonts w:hint="eastAsia"/>
                <w:sz w:val="24"/>
                <w:szCs w:val="24"/>
              </w:rPr>
              <w:t>。</w:t>
            </w:r>
          </w:p>
          <w:p>
            <w:pPr>
              <w:pStyle w:val="21"/>
              <w:numPr>
                <w:ilvl w:val="0"/>
                <w:numId w:val="6"/>
              </w:numPr>
              <w:spacing w:after="0" w:line="360" w:lineRule="auto"/>
              <w:ind w:firstLine="480" w:firstLineChars="200"/>
              <w:rPr>
                <w:b/>
                <w:bCs/>
                <w:sz w:val="24"/>
                <w:szCs w:val="22"/>
              </w:rPr>
            </w:pPr>
            <w:r>
              <w:rPr>
                <w:rFonts w:hint="eastAsia"/>
                <w:b/>
                <w:bCs/>
                <w:sz w:val="24"/>
                <w:szCs w:val="22"/>
              </w:rPr>
              <w:t>废水</w:t>
            </w:r>
          </w:p>
          <w:p>
            <w:pPr>
              <w:pStyle w:val="21"/>
              <w:spacing w:after="0" w:line="360" w:lineRule="auto"/>
              <w:ind w:firstLine="480" w:firstLineChars="200"/>
              <w:rPr>
                <w:b/>
                <w:bCs/>
                <w:sz w:val="24"/>
                <w:szCs w:val="22"/>
              </w:rPr>
            </w:pPr>
            <w:r>
              <w:rPr>
                <w:rFonts w:hint="eastAsia"/>
                <w:sz w:val="24"/>
                <w:szCs w:val="22"/>
              </w:rPr>
              <w:t>本项目运行期接管废水主要为工作人员生活污水。</w:t>
            </w:r>
          </w:p>
          <w:p>
            <w:pPr>
              <w:pStyle w:val="21"/>
              <w:spacing w:after="0" w:line="360" w:lineRule="auto"/>
              <w:ind w:firstLine="480" w:firstLineChars="200"/>
              <w:rPr>
                <w:b/>
                <w:bCs/>
                <w:sz w:val="24"/>
                <w:szCs w:val="22"/>
              </w:rPr>
            </w:pPr>
            <w:r>
              <w:rPr>
                <w:rFonts w:hint="eastAsia"/>
                <w:b/>
                <w:bCs/>
                <w:sz w:val="24"/>
                <w:szCs w:val="22"/>
              </w:rPr>
              <w:t>3、噪声</w:t>
            </w:r>
          </w:p>
          <w:p>
            <w:pPr>
              <w:spacing w:line="360" w:lineRule="auto"/>
              <w:ind w:firstLine="480" w:firstLineChars="200"/>
              <w:rPr>
                <w:b/>
                <w:spacing w:val="-2"/>
                <w:sz w:val="24"/>
              </w:rPr>
            </w:pPr>
            <w:r>
              <w:rPr>
                <w:rFonts w:hint="eastAsia"/>
                <w:sz w:val="24"/>
              </w:rPr>
              <w:t>运行期</w:t>
            </w:r>
            <w:r>
              <w:rPr>
                <w:sz w:val="24"/>
              </w:rPr>
              <w:t>噪声主要为</w:t>
            </w:r>
            <w:r>
              <w:rPr>
                <w:rFonts w:hint="eastAsia"/>
                <w:sz w:val="24"/>
              </w:rPr>
              <w:t>设备运行时产生的N</w:t>
            </w:r>
            <w:r>
              <w:rPr>
                <w:sz w:val="24"/>
              </w:rPr>
              <w:t>噪声。</w:t>
            </w:r>
          </w:p>
          <w:p>
            <w:pPr>
              <w:spacing w:line="360" w:lineRule="auto"/>
              <w:ind w:firstLine="472" w:firstLineChars="200"/>
              <w:rPr>
                <w:b/>
                <w:spacing w:val="-2"/>
                <w:sz w:val="24"/>
              </w:rPr>
            </w:pPr>
            <w:r>
              <w:rPr>
                <w:rFonts w:hint="eastAsia"/>
                <w:b/>
                <w:spacing w:val="-2"/>
                <w:sz w:val="24"/>
              </w:rPr>
              <w:t>4、固废</w:t>
            </w:r>
          </w:p>
          <w:p>
            <w:pPr>
              <w:pStyle w:val="21"/>
              <w:spacing w:after="0" w:line="360" w:lineRule="auto"/>
              <w:ind w:firstLine="472" w:firstLineChars="200"/>
              <w:rPr>
                <w:rFonts w:ascii="宋体"/>
                <w:spacing w:val="-2"/>
                <w:sz w:val="24"/>
              </w:rPr>
            </w:pPr>
            <w:r>
              <w:rPr>
                <w:rFonts w:hint="eastAsia" w:ascii="宋体"/>
                <w:spacing w:val="-2"/>
                <w:sz w:val="24"/>
                <w:szCs w:val="24"/>
              </w:rPr>
              <w:t>①</w:t>
            </w:r>
            <w:r>
              <w:rPr>
                <w:rFonts w:hint="eastAsia" w:ascii="宋体"/>
                <w:spacing w:val="-2"/>
                <w:sz w:val="24"/>
              </w:rPr>
              <w:t>废包装材料：本项目原料拆封、包装工序产生的废包装材料；</w:t>
            </w:r>
          </w:p>
          <w:p>
            <w:pPr>
              <w:pStyle w:val="21"/>
              <w:spacing w:after="0" w:line="360" w:lineRule="auto"/>
              <w:ind w:firstLine="472" w:firstLineChars="200"/>
              <w:rPr>
                <w:rFonts w:ascii="宋体"/>
                <w:spacing w:val="-2"/>
                <w:sz w:val="24"/>
              </w:rPr>
            </w:pPr>
            <w:r>
              <w:rPr>
                <w:rFonts w:hint="eastAsia" w:ascii="宋体"/>
                <w:spacing w:val="-2"/>
                <w:sz w:val="24"/>
              </w:rPr>
              <w:t>②废</w:t>
            </w:r>
            <w:r>
              <w:rPr>
                <w:rFonts w:hint="eastAsia" w:ascii="宋体"/>
                <w:spacing w:val="-2"/>
                <w:sz w:val="24"/>
                <w:lang w:eastAsia="zh-CN"/>
              </w:rPr>
              <w:t>金属碎屑：成型工序产生的废金属碎屑</w:t>
            </w:r>
            <w:r>
              <w:rPr>
                <w:rFonts w:hint="eastAsia" w:ascii="宋体"/>
                <w:spacing w:val="-2"/>
                <w:sz w:val="24"/>
              </w:rPr>
              <w:t>；</w:t>
            </w:r>
          </w:p>
          <w:p>
            <w:pPr>
              <w:pStyle w:val="21"/>
              <w:spacing w:after="0" w:line="360" w:lineRule="auto"/>
              <w:ind w:firstLine="472" w:firstLineChars="200"/>
              <w:rPr>
                <w:rFonts w:hint="default" w:eastAsia="宋体"/>
                <w:spacing w:val="-2"/>
                <w:sz w:val="24"/>
                <w:szCs w:val="24"/>
                <w:lang w:val="en-US" w:eastAsia="zh-CN"/>
              </w:rPr>
            </w:pPr>
            <w:r>
              <w:rPr>
                <w:spacing w:val="-2"/>
                <w:sz w:val="24"/>
                <w:szCs w:val="24"/>
              </w:rPr>
              <w:t>③</w:t>
            </w:r>
            <w:r>
              <w:rPr>
                <w:rFonts w:hint="eastAsia"/>
                <w:spacing w:val="-2"/>
                <w:sz w:val="24"/>
                <w:szCs w:val="24"/>
                <w:lang w:eastAsia="zh-CN"/>
              </w:rPr>
              <w:t>不合格产品</w:t>
            </w:r>
            <w:r>
              <w:rPr>
                <w:rFonts w:hint="eastAsia"/>
                <w:spacing w:val="-2"/>
                <w:sz w:val="24"/>
                <w:szCs w:val="24"/>
                <w:lang w:val="en-US" w:eastAsia="zh-CN"/>
              </w:rPr>
              <w:t>:注塑工序产生的不合格产品；</w:t>
            </w:r>
          </w:p>
          <w:p>
            <w:pPr>
              <w:pStyle w:val="21"/>
              <w:spacing w:after="0" w:line="360" w:lineRule="auto"/>
              <w:ind w:firstLine="472" w:firstLineChars="200"/>
              <w:rPr>
                <w:spacing w:val="-2"/>
                <w:sz w:val="24"/>
                <w:szCs w:val="24"/>
              </w:rPr>
            </w:pPr>
            <w:r>
              <w:rPr>
                <w:spacing w:val="-2"/>
                <w:sz w:val="24"/>
                <w:szCs w:val="24"/>
              </w:rPr>
              <w:t>④</w:t>
            </w:r>
            <w:r>
              <w:rPr>
                <w:rFonts w:hint="eastAsia"/>
                <w:spacing w:val="-2"/>
                <w:sz w:val="24"/>
                <w:szCs w:val="24"/>
              </w:rPr>
              <w:t>废</w:t>
            </w:r>
            <w:r>
              <w:rPr>
                <w:rFonts w:hint="eastAsia"/>
                <w:spacing w:val="-2"/>
                <w:sz w:val="24"/>
                <w:szCs w:val="24"/>
                <w:lang w:eastAsia="zh-CN"/>
              </w:rPr>
              <w:t>切削液</w:t>
            </w:r>
            <w:r>
              <w:rPr>
                <w:rFonts w:hint="eastAsia"/>
                <w:spacing w:val="-2"/>
                <w:sz w:val="24"/>
                <w:szCs w:val="24"/>
              </w:rPr>
              <w:t>：</w:t>
            </w:r>
            <w:r>
              <w:rPr>
                <w:rFonts w:hint="eastAsia"/>
                <w:spacing w:val="-2"/>
                <w:sz w:val="24"/>
                <w:szCs w:val="24"/>
                <w:lang w:eastAsia="zh-CN"/>
              </w:rPr>
              <w:t>成型工序产生的废切削液</w:t>
            </w:r>
            <w:r>
              <w:rPr>
                <w:rFonts w:hint="eastAsia"/>
                <w:spacing w:val="-2"/>
                <w:sz w:val="24"/>
                <w:szCs w:val="24"/>
              </w:rPr>
              <w:t>；</w:t>
            </w:r>
          </w:p>
          <w:p>
            <w:pPr>
              <w:pStyle w:val="21"/>
              <w:spacing w:after="0" w:line="360" w:lineRule="auto"/>
              <w:ind w:firstLine="472" w:firstLineChars="200"/>
              <w:rPr>
                <w:spacing w:val="-2"/>
                <w:sz w:val="24"/>
                <w:szCs w:val="24"/>
              </w:rPr>
            </w:pPr>
            <w:r>
              <w:rPr>
                <w:spacing w:val="-2"/>
                <w:sz w:val="24"/>
                <w:szCs w:val="24"/>
              </w:rPr>
              <w:t>⑤</w:t>
            </w:r>
            <w:r>
              <w:rPr>
                <w:spacing w:val="-2"/>
                <w:sz w:val="24"/>
              </w:rPr>
              <w:t>废活性炭：废气处理工艺产生的废活性炭；</w:t>
            </w:r>
          </w:p>
          <w:p>
            <w:pPr>
              <w:pStyle w:val="21"/>
              <w:spacing w:after="0" w:line="360" w:lineRule="auto"/>
              <w:ind w:firstLine="472" w:firstLineChars="200"/>
              <w:rPr>
                <w:spacing w:val="-2"/>
                <w:sz w:val="24"/>
                <w:szCs w:val="24"/>
              </w:rPr>
            </w:pPr>
            <w:r>
              <w:rPr>
                <w:spacing w:val="-2"/>
                <w:sz w:val="24"/>
                <w:szCs w:val="24"/>
              </w:rPr>
              <w:t>⑥废</w:t>
            </w:r>
            <w:r>
              <w:rPr>
                <w:rFonts w:hint="eastAsia"/>
                <w:spacing w:val="-2"/>
                <w:sz w:val="24"/>
                <w:szCs w:val="24"/>
              </w:rPr>
              <w:t>润滑油</w:t>
            </w:r>
            <w:r>
              <w:rPr>
                <w:spacing w:val="-2"/>
                <w:sz w:val="24"/>
                <w:szCs w:val="24"/>
              </w:rPr>
              <w:t>：设备维护时产生的废润滑油；</w:t>
            </w:r>
          </w:p>
          <w:p>
            <w:pPr>
              <w:pStyle w:val="21"/>
              <w:spacing w:after="0" w:line="360" w:lineRule="auto"/>
              <w:ind w:firstLine="472" w:firstLineChars="200"/>
              <w:rPr>
                <w:spacing w:val="-2"/>
                <w:sz w:val="24"/>
                <w:szCs w:val="24"/>
              </w:rPr>
            </w:pPr>
            <w:r>
              <w:rPr>
                <w:spacing w:val="-2"/>
                <w:sz w:val="24"/>
              </w:rPr>
              <w:t>⑦</w:t>
            </w:r>
            <w:r>
              <w:rPr>
                <w:spacing w:val="-2"/>
                <w:sz w:val="24"/>
                <w:szCs w:val="24"/>
              </w:rPr>
              <w:t>废包装桶</w:t>
            </w:r>
            <w:r>
              <w:rPr>
                <w:rFonts w:hint="eastAsia"/>
                <w:spacing w:val="-2"/>
                <w:sz w:val="24"/>
                <w:szCs w:val="24"/>
              </w:rPr>
              <w:t>：</w:t>
            </w:r>
            <w:r>
              <w:rPr>
                <w:spacing w:val="-2"/>
                <w:sz w:val="24"/>
                <w:szCs w:val="24"/>
              </w:rPr>
              <w:t>原料拆封产生的</w:t>
            </w:r>
            <w:r>
              <w:rPr>
                <w:rFonts w:hint="eastAsia"/>
                <w:spacing w:val="-2"/>
                <w:sz w:val="24"/>
                <w:szCs w:val="24"/>
              </w:rPr>
              <w:t>废包装桶</w:t>
            </w:r>
            <w:r>
              <w:rPr>
                <w:spacing w:val="-2"/>
                <w:sz w:val="24"/>
                <w:szCs w:val="24"/>
              </w:rPr>
              <w:t>；</w:t>
            </w:r>
          </w:p>
          <w:p>
            <w:pPr>
              <w:pStyle w:val="21"/>
              <w:spacing w:after="0" w:line="360" w:lineRule="auto"/>
              <w:ind w:firstLine="472" w:firstLineChars="200"/>
              <w:rPr>
                <w:spacing w:val="-2"/>
                <w:sz w:val="24"/>
              </w:rPr>
            </w:pPr>
            <w:r>
              <w:rPr>
                <w:spacing w:val="-2"/>
                <w:sz w:val="24"/>
              </w:rPr>
              <w:t>⑧</w:t>
            </w:r>
            <w:r>
              <w:rPr>
                <w:rFonts w:hint="eastAsia" w:ascii="宋体"/>
                <w:spacing w:val="-2"/>
                <w:sz w:val="24"/>
              </w:rPr>
              <w:t>废</w:t>
            </w:r>
            <w:r>
              <w:rPr>
                <w:rFonts w:hint="eastAsia" w:ascii="宋体"/>
                <w:spacing w:val="-2"/>
                <w:sz w:val="24"/>
                <w:lang w:eastAsia="zh-CN"/>
              </w:rPr>
              <w:t>含油抹布</w:t>
            </w:r>
            <w:r>
              <w:rPr>
                <w:rFonts w:hint="eastAsia" w:ascii="宋体"/>
                <w:spacing w:val="-2"/>
                <w:sz w:val="24"/>
              </w:rPr>
              <w:t>：</w:t>
            </w:r>
            <w:r>
              <w:rPr>
                <w:rFonts w:hint="eastAsia" w:ascii="宋体"/>
                <w:spacing w:val="-2"/>
                <w:sz w:val="24"/>
                <w:lang w:eastAsia="zh-CN"/>
              </w:rPr>
              <w:t>设备维护</w:t>
            </w:r>
            <w:r>
              <w:rPr>
                <w:rFonts w:hint="eastAsia" w:ascii="宋体"/>
                <w:spacing w:val="-2"/>
                <w:sz w:val="24"/>
              </w:rPr>
              <w:t>时产生的</w:t>
            </w:r>
            <w:r>
              <w:rPr>
                <w:rFonts w:hint="eastAsia" w:ascii="宋体"/>
                <w:spacing w:val="-2"/>
                <w:sz w:val="24"/>
                <w:lang w:eastAsia="zh-CN"/>
              </w:rPr>
              <w:t>废含油抹布</w:t>
            </w:r>
            <w:r>
              <w:rPr>
                <w:rFonts w:hint="eastAsia" w:ascii="宋体"/>
                <w:spacing w:val="-2"/>
                <w:sz w:val="24"/>
              </w:rPr>
              <w:t>；</w:t>
            </w:r>
          </w:p>
          <w:p>
            <w:pPr>
              <w:pStyle w:val="21"/>
              <w:spacing w:after="0" w:line="360" w:lineRule="auto"/>
              <w:ind w:firstLine="472" w:firstLineChars="200"/>
              <w:rPr>
                <w:spacing w:val="-2"/>
                <w:sz w:val="24"/>
              </w:rPr>
            </w:pPr>
            <w:r>
              <w:rPr>
                <w:rFonts w:hint="eastAsia" w:ascii="宋体"/>
                <w:spacing w:val="-2"/>
                <w:sz w:val="24"/>
                <w:lang w:eastAsia="zh-CN"/>
              </w:rPr>
              <w:t>⑨</w:t>
            </w:r>
            <w:r>
              <w:rPr>
                <w:rFonts w:hint="eastAsia" w:ascii="宋体"/>
                <w:spacing w:val="-2"/>
                <w:sz w:val="24"/>
              </w:rPr>
              <w:t>生活垃圾：员工生产生活过程中产生的生活垃圾；</w:t>
            </w:r>
          </w:p>
          <w:p>
            <w:pPr>
              <w:contextualSpacing/>
              <w:jc w:val="center"/>
              <w:rPr>
                <w:rFonts w:hint="eastAsia"/>
                <w:b/>
                <w:szCs w:val="21"/>
              </w:rPr>
            </w:pPr>
          </w:p>
          <w:p>
            <w:pPr>
              <w:contextualSpacing/>
              <w:jc w:val="center"/>
              <w:rPr>
                <w:rFonts w:hint="eastAsia"/>
                <w:b/>
                <w:szCs w:val="21"/>
              </w:rPr>
            </w:pPr>
          </w:p>
          <w:p>
            <w:pPr>
              <w:contextualSpacing/>
              <w:jc w:val="center"/>
              <w:rPr>
                <w:b/>
                <w:szCs w:val="21"/>
              </w:rPr>
            </w:pPr>
            <w:r>
              <w:rPr>
                <w:rFonts w:hint="eastAsia"/>
                <w:b/>
                <w:szCs w:val="21"/>
              </w:rPr>
              <w:t>5-1 项目污染工序及污染因子汇总</w:t>
            </w:r>
          </w:p>
          <w:tbl>
            <w:tblPr>
              <w:tblStyle w:val="56"/>
              <w:tblW w:w="8312" w:type="dxa"/>
              <w:jc w:val="center"/>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800"/>
              <w:gridCol w:w="694"/>
              <w:gridCol w:w="1166"/>
              <w:gridCol w:w="1425"/>
              <w:gridCol w:w="2146"/>
              <w:gridCol w:w="2081"/>
            </w:tblGrid>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800" w:type="dxa"/>
                  <w:tcBorders>
                    <w:tl2br w:val="nil"/>
                    <w:tr2bl w:val="nil"/>
                  </w:tcBorders>
                  <w:vAlign w:val="center"/>
                </w:tcPr>
                <w:p>
                  <w:pPr>
                    <w:adjustRightInd w:val="0"/>
                    <w:snapToGrid w:val="0"/>
                    <w:jc w:val="center"/>
                    <w:rPr>
                      <w:b/>
                      <w:bCs/>
                      <w:szCs w:val="21"/>
                    </w:rPr>
                  </w:pPr>
                  <w:r>
                    <w:rPr>
                      <w:b/>
                      <w:bCs/>
                      <w:szCs w:val="21"/>
                    </w:rPr>
                    <w:t>类别</w:t>
                  </w:r>
                </w:p>
              </w:tc>
              <w:tc>
                <w:tcPr>
                  <w:tcW w:w="1860" w:type="dxa"/>
                  <w:gridSpan w:val="2"/>
                  <w:tcBorders>
                    <w:tl2br w:val="nil"/>
                    <w:tr2bl w:val="nil"/>
                  </w:tcBorders>
                  <w:vAlign w:val="center"/>
                </w:tcPr>
                <w:p>
                  <w:pPr>
                    <w:adjustRightInd w:val="0"/>
                    <w:snapToGrid w:val="0"/>
                    <w:jc w:val="center"/>
                    <w:rPr>
                      <w:szCs w:val="21"/>
                    </w:rPr>
                  </w:pPr>
                  <w:r>
                    <w:rPr>
                      <w:b/>
                      <w:bCs/>
                      <w:szCs w:val="21"/>
                    </w:rPr>
                    <w:t>污染源</w:t>
                  </w:r>
                </w:p>
              </w:tc>
              <w:tc>
                <w:tcPr>
                  <w:tcW w:w="1425" w:type="dxa"/>
                  <w:tcBorders>
                    <w:tl2br w:val="nil"/>
                    <w:tr2bl w:val="nil"/>
                  </w:tcBorders>
                  <w:vAlign w:val="center"/>
                </w:tcPr>
                <w:p>
                  <w:pPr>
                    <w:adjustRightInd w:val="0"/>
                    <w:snapToGrid w:val="0"/>
                    <w:jc w:val="center"/>
                    <w:rPr>
                      <w:b/>
                      <w:bCs/>
                      <w:szCs w:val="21"/>
                    </w:rPr>
                  </w:pPr>
                  <w:r>
                    <w:rPr>
                      <w:b/>
                      <w:bCs/>
                      <w:szCs w:val="21"/>
                    </w:rPr>
                    <w:t>污染物</w:t>
                  </w:r>
                </w:p>
              </w:tc>
              <w:tc>
                <w:tcPr>
                  <w:tcW w:w="2146" w:type="dxa"/>
                  <w:tcBorders>
                    <w:tl2br w:val="nil"/>
                    <w:tr2bl w:val="nil"/>
                  </w:tcBorders>
                  <w:vAlign w:val="center"/>
                </w:tcPr>
                <w:p>
                  <w:pPr>
                    <w:adjustRightInd w:val="0"/>
                    <w:snapToGrid w:val="0"/>
                    <w:jc w:val="center"/>
                    <w:rPr>
                      <w:b/>
                      <w:bCs/>
                      <w:szCs w:val="21"/>
                    </w:rPr>
                  </w:pPr>
                  <w:r>
                    <w:rPr>
                      <w:b/>
                      <w:bCs/>
                      <w:szCs w:val="21"/>
                    </w:rPr>
                    <w:t>产生工序/产生车间</w:t>
                  </w:r>
                </w:p>
              </w:tc>
              <w:tc>
                <w:tcPr>
                  <w:tcW w:w="2081" w:type="dxa"/>
                  <w:tcBorders>
                    <w:tl2br w:val="nil"/>
                    <w:tr2bl w:val="nil"/>
                  </w:tcBorders>
                  <w:vAlign w:val="center"/>
                </w:tcPr>
                <w:p>
                  <w:pPr>
                    <w:adjustRightInd w:val="0"/>
                    <w:snapToGrid w:val="0"/>
                    <w:jc w:val="center"/>
                    <w:rPr>
                      <w:b/>
                      <w:bCs/>
                      <w:szCs w:val="21"/>
                    </w:rPr>
                  </w:pPr>
                  <w:r>
                    <w:rPr>
                      <w:b/>
                      <w:bCs/>
                      <w:szCs w:val="21"/>
                    </w:rPr>
                    <w:t>主要污染因子</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800" w:type="dxa"/>
                  <w:tcBorders>
                    <w:tl2br w:val="nil"/>
                    <w:tr2bl w:val="nil"/>
                  </w:tcBorders>
                  <w:vAlign w:val="center"/>
                </w:tcPr>
                <w:p>
                  <w:pPr>
                    <w:adjustRightInd w:val="0"/>
                    <w:snapToGrid w:val="0"/>
                    <w:jc w:val="center"/>
                    <w:rPr>
                      <w:szCs w:val="21"/>
                    </w:rPr>
                  </w:pPr>
                  <w:r>
                    <w:rPr>
                      <w:rFonts w:hint="eastAsia"/>
                      <w:szCs w:val="21"/>
                    </w:rPr>
                    <w:t>废水</w:t>
                  </w:r>
                </w:p>
              </w:tc>
              <w:tc>
                <w:tcPr>
                  <w:tcW w:w="1860" w:type="dxa"/>
                  <w:gridSpan w:val="2"/>
                  <w:tcBorders>
                    <w:tl2br w:val="nil"/>
                    <w:tr2bl w:val="nil"/>
                  </w:tcBorders>
                  <w:vAlign w:val="center"/>
                </w:tcPr>
                <w:p>
                  <w:pPr>
                    <w:adjustRightInd w:val="0"/>
                    <w:snapToGrid w:val="0"/>
                    <w:jc w:val="center"/>
                    <w:rPr>
                      <w:szCs w:val="21"/>
                    </w:rPr>
                  </w:pPr>
                  <w:r>
                    <w:rPr>
                      <w:rFonts w:hint="eastAsia"/>
                      <w:szCs w:val="21"/>
                    </w:rPr>
                    <w:t>员工日常生活</w:t>
                  </w:r>
                </w:p>
              </w:tc>
              <w:tc>
                <w:tcPr>
                  <w:tcW w:w="1425" w:type="dxa"/>
                  <w:tcBorders>
                    <w:tl2br w:val="nil"/>
                    <w:tr2bl w:val="nil"/>
                  </w:tcBorders>
                  <w:vAlign w:val="center"/>
                </w:tcPr>
                <w:p>
                  <w:pPr>
                    <w:adjustRightInd w:val="0"/>
                    <w:snapToGrid w:val="0"/>
                    <w:jc w:val="center"/>
                    <w:rPr>
                      <w:szCs w:val="21"/>
                    </w:rPr>
                  </w:pPr>
                  <w:r>
                    <w:rPr>
                      <w:rFonts w:hint="eastAsia"/>
                      <w:szCs w:val="21"/>
                    </w:rPr>
                    <w:t>生活污水</w:t>
                  </w:r>
                </w:p>
              </w:tc>
              <w:tc>
                <w:tcPr>
                  <w:tcW w:w="2146" w:type="dxa"/>
                  <w:tcBorders>
                    <w:tl2br w:val="nil"/>
                    <w:tr2bl w:val="nil"/>
                  </w:tcBorders>
                  <w:vAlign w:val="center"/>
                </w:tcPr>
                <w:p>
                  <w:pPr>
                    <w:adjustRightInd w:val="0"/>
                    <w:snapToGrid w:val="0"/>
                    <w:jc w:val="center"/>
                    <w:rPr>
                      <w:szCs w:val="21"/>
                    </w:rPr>
                  </w:pPr>
                  <w:r>
                    <w:rPr>
                      <w:rFonts w:hint="eastAsia"/>
                      <w:szCs w:val="21"/>
                    </w:rPr>
                    <w:t>员工日常生活</w:t>
                  </w:r>
                </w:p>
              </w:tc>
              <w:tc>
                <w:tcPr>
                  <w:tcW w:w="2081" w:type="dxa"/>
                  <w:tcBorders>
                    <w:tl2br w:val="nil"/>
                    <w:tr2bl w:val="nil"/>
                  </w:tcBorders>
                  <w:vAlign w:val="center"/>
                </w:tcPr>
                <w:p>
                  <w:pPr>
                    <w:adjustRightInd w:val="0"/>
                    <w:snapToGrid w:val="0"/>
                    <w:jc w:val="center"/>
                    <w:rPr>
                      <w:szCs w:val="21"/>
                    </w:rPr>
                  </w:pPr>
                  <w:r>
                    <w:rPr>
                      <w:rFonts w:hint="eastAsia"/>
                      <w:szCs w:val="21"/>
                    </w:rPr>
                    <w:t>COD、SS、NH</w:t>
                  </w:r>
                  <w:r>
                    <w:rPr>
                      <w:rFonts w:hint="eastAsia"/>
                      <w:szCs w:val="21"/>
                      <w:vertAlign w:val="subscript"/>
                    </w:rPr>
                    <w:t>3</w:t>
                  </w:r>
                  <w:r>
                    <w:rPr>
                      <w:rFonts w:hint="eastAsia"/>
                      <w:szCs w:val="21"/>
                    </w:rPr>
                    <w:t>-N、TP、TN</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483" w:hRule="atLeast"/>
                <w:jc w:val="center"/>
              </w:trPr>
              <w:tc>
                <w:tcPr>
                  <w:tcW w:w="800" w:type="dxa"/>
                  <w:vMerge w:val="restart"/>
                  <w:tcBorders>
                    <w:tl2br w:val="nil"/>
                    <w:tr2bl w:val="nil"/>
                  </w:tcBorders>
                  <w:vAlign w:val="center"/>
                </w:tcPr>
                <w:p>
                  <w:pPr>
                    <w:adjustRightInd w:val="0"/>
                    <w:snapToGrid w:val="0"/>
                    <w:jc w:val="center"/>
                    <w:rPr>
                      <w:rFonts w:hint="eastAsia" w:eastAsia="宋体"/>
                      <w:szCs w:val="21"/>
                      <w:lang w:eastAsia="zh-CN"/>
                    </w:rPr>
                  </w:pPr>
                  <w:r>
                    <w:rPr>
                      <w:rFonts w:hint="eastAsia"/>
                      <w:szCs w:val="21"/>
                      <w:lang w:eastAsia="zh-CN"/>
                    </w:rPr>
                    <w:t>废气</w:t>
                  </w:r>
                </w:p>
              </w:tc>
              <w:tc>
                <w:tcPr>
                  <w:tcW w:w="1860" w:type="dxa"/>
                  <w:gridSpan w:val="2"/>
                  <w:tcBorders>
                    <w:tl2br w:val="nil"/>
                    <w:tr2bl w:val="nil"/>
                  </w:tcBorders>
                  <w:vAlign w:val="center"/>
                </w:tcPr>
                <w:p>
                  <w:pPr>
                    <w:adjustRightInd w:val="0"/>
                    <w:snapToGrid w:val="0"/>
                    <w:jc w:val="center"/>
                    <w:rPr>
                      <w:rFonts w:hint="eastAsia"/>
                      <w:szCs w:val="21"/>
                      <w:lang w:eastAsia="zh-CN"/>
                    </w:rPr>
                  </w:pPr>
                  <w:r>
                    <w:rPr>
                      <w:rFonts w:hint="eastAsia"/>
                      <w:szCs w:val="21"/>
                      <w:lang w:eastAsia="zh-CN"/>
                    </w:rPr>
                    <w:t>投料混合工序</w:t>
                  </w:r>
                </w:p>
              </w:tc>
              <w:tc>
                <w:tcPr>
                  <w:tcW w:w="1425" w:type="dxa"/>
                  <w:tcBorders>
                    <w:tl2br w:val="nil"/>
                    <w:tr2bl w:val="nil"/>
                  </w:tcBorders>
                  <w:vAlign w:val="center"/>
                </w:tcPr>
                <w:p>
                  <w:pPr>
                    <w:adjustRightInd w:val="0"/>
                    <w:snapToGrid w:val="0"/>
                    <w:jc w:val="center"/>
                    <w:rPr>
                      <w:rFonts w:hint="eastAsia"/>
                      <w:szCs w:val="21"/>
                      <w:lang w:eastAsia="zh-CN"/>
                    </w:rPr>
                  </w:pPr>
                  <w:r>
                    <w:rPr>
                      <w:rFonts w:hint="eastAsia"/>
                      <w:szCs w:val="21"/>
                      <w:lang w:eastAsia="zh-CN"/>
                    </w:rPr>
                    <w:t>粉尘</w:t>
                  </w:r>
                </w:p>
              </w:tc>
              <w:tc>
                <w:tcPr>
                  <w:tcW w:w="2146" w:type="dxa"/>
                  <w:tcBorders>
                    <w:tl2br w:val="nil"/>
                    <w:tr2bl w:val="nil"/>
                  </w:tcBorders>
                  <w:vAlign w:val="center"/>
                </w:tcPr>
                <w:p>
                  <w:pPr>
                    <w:adjustRightInd w:val="0"/>
                    <w:snapToGrid w:val="0"/>
                    <w:jc w:val="center"/>
                    <w:rPr>
                      <w:rFonts w:hint="eastAsia"/>
                      <w:szCs w:val="21"/>
                      <w:lang w:eastAsia="zh-CN"/>
                    </w:rPr>
                  </w:pPr>
                  <w:r>
                    <w:rPr>
                      <w:rFonts w:hint="eastAsia"/>
                      <w:szCs w:val="21"/>
                      <w:lang w:eastAsia="zh-CN"/>
                    </w:rPr>
                    <w:t>投料混合工序</w:t>
                  </w:r>
                </w:p>
              </w:tc>
              <w:tc>
                <w:tcPr>
                  <w:tcW w:w="2081" w:type="dxa"/>
                  <w:tcBorders>
                    <w:tl2br w:val="nil"/>
                    <w:tr2bl w:val="nil"/>
                  </w:tcBorders>
                  <w:vAlign w:val="center"/>
                </w:tcPr>
                <w:p>
                  <w:pPr>
                    <w:adjustRightInd w:val="0"/>
                    <w:snapToGrid w:val="0"/>
                    <w:jc w:val="center"/>
                    <w:rPr>
                      <w:rFonts w:hint="eastAsia"/>
                      <w:szCs w:val="21"/>
                      <w:lang w:eastAsia="zh-CN"/>
                    </w:rPr>
                  </w:pPr>
                  <w:r>
                    <w:rPr>
                      <w:rFonts w:hint="eastAsia"/>
                      <w:szCs w:val="21"/>
                      <w:lang w:eastAsia="zh-CN"/>
                    </w:rPr>
                    <w:t>颗粒物</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483" w:hRule="atLeast"/>
                <w:jc w:val="center"/>
              </w:trPr>
              <w:tc>
                <w:tcPr>
                  <w:tcW w:w="800" w:type="dxa"/>
                  <w:vMerge w:val="continue"/>
                  <w:tcBorders>
                    <w:tl2br w:val="nil"/>
                    <w:tr2bl w:val="nil"/>
                  </w:tcBorders>
                  <w:vAlign w:val="center"/>
                </w:tcPr>
                <w:p>
                  <w:pPr>
                    <w:adjustRightInd w:val="0"/>
                    <w:snapToGrid w:val="0"/>
                    <w:jc w:val="center"/>
                    <w:rPr>
                      <w:rFonts w:hint="eastAsia" w:eastAsia="宋体"/>
                      <w:szCs w:val="21"/>
                      <w:lang w:eastAsia="zh-CN"/>
                    </w:rPr>
                  </w:pPr>
                </w:p>
              </w:tc>
              <w:tc>
                <w:tcPr>
                  <w:tcW w:w="1860" w:type="dxa"/>
                  <w:gridSpan w:val="2"/>
                  <w:tcBorders>
                    <w:tl2br w:val="nil"/>
                    <w:tr2bl w:val="nil"/>
                  </w:tcBorders>
                  <w:vAlign w:val="center"/>
                </w:tcPr>
                <w:p>
                  <w:pPr>
                    <w:adjustRightInd w:val="0"/>
                    <w:snapToGrid w:val="0"/>
                    <w:jc w:val="center"/>
                    <w:rPr>
                      <w:rFonts w:hint="eastAsia" w:eastAsia="宋体"/>
                      <w:szCs w:val="21"/>
                      <w:lang w:eastAsia="zh-CN"/>
                    </w:rPr>
                  </w:pPr>
                  <w:r>
                    <w:rPr>
                      <w:rFonts w:hint="eastAsia"/>
                      <w:szCs w:val="21"/>
                      <w:lang w:eastAsia="zh-CN"/>
                    </w:rPr>
                    <w:t>注塑成型工序</w:t>
                  </w:r>
                </w:p>
              </w:tc>
              <w:tc>
                <w:tcPr>
                  <w:tcW w:w="1425" w:type="dxa"/>
                  <w:tcBorders>
                    <w:tl2br w:val="nil"/>
                    <w:tr2bl w:val="nil"/>
                  </w:tcBorders>
                  <w:vAlign w:val="center"/>
                </w:tcPr>
                <w:p>
                  <w:pPr>
                    <w:adjustRightInd w:val="0"/>
                    <w:snapToGrid w:val="0"/>
                    <w:jc w:val="center"/>
                    <w:rPr>
                      <w:rFonts w:hint="eastAsia" w:eastAsia="宋体"/>
                      <w:szCs w:val="21"/>
                      <w:lang w:eastAsia="zh-CN"/>
                    </w:rPr>
                  </w:pPr>
                  <w:r>
                    <w:rPr>
                      <w:rFonts w:hint="eastAsia"/>
                      <w:szCs w:val="21"/>
                      <w:lang w:eastAsia="zh-CN"/>
                    </w:rPr>
                    <w:t>注塑废气</w:t>
                  </w:r>
                </w:p>
              </w:tc>
              <w:tc>
                <w:tcPr>
                  <w:tcW w:w="2146" w:type="dxa"/>
                  <w:tcBorders>
                    <w:tl2br w:val="nil"/>
                    <w:tr2bl w:val="nil"/>
                  </w:tcBorders>
                  <w:vAlign w:val="center"/>
                </w:tcPr>
                <w:p>
                  <w:pPr>
                    <w:adjustRightInd w:val="0"/>
                    <w:snapToGrid w:val="0"/>
                    <w:jc w:val="center"/>
                    <w:rPr>
                      <w:rFonts w:hint="eastAsia"/>
                      <w:szCs w:val="21"/>
                    </w:rPr>
                  </w:pPr>
                  <w:r>
                    <w:rPr>
                      <w:rFonts w:hint="eastAsia"/>
                      <w:szCs w:val="21"/>
                      <w:lang w:eastAsia="zh-CN"/>
                    </w:rPr>
                    <w:t>注塑成型工序</w:t>
                  </w:r>
                </w:p>
              </w:tc>
              <w:tc>
                <w:tcPr>
                  <w:tcW w:w="2081" w:type="dxa"/>
                  <w:tcBorders>
                    <w:tl2br w:val="nil"/>
                    <w:tr2bl w:val="nil"/>
                  </w:tcBorders>
                  <w:vAlign w:val="center"/>
                </w:tcPr>
                <w:p>
                  <w:pPr>
                    <w:adjustRightInd w:val="0"/>
                    <w:snapToGrid w:val="0"/>
                    <w:jc w:val="center"/>
                    <w:rPr>
                      <w:rFonts w:hint="eastAsia" w:eastAsia="宋体"/>
                      <w:szCs w:val="21"/>
                      <w:lang w:eastAsia="zh-CN"/>
                    </w:rPr>
                  </w:pPr>
                  <w:r>
                    <w:rPr>
                      <w:rFonts w:hint="eastAsia"/>
                      <w:szCs w:val="21"/>
                      <w:lang w:eastAsia="zh-CN"/>
                    </w:rPr>
                    <w:t>非甲烷总烃、氯化氢</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444" w:hRule="atLeast"/>
                <w:jc w:val="center"/>
              </w:trPr>
              <w:tc>
                <w:tcPr>
                  <w:tcW w:w="800" w:type="dxa"/>
                  <w:tcBorders>
                    <w:tl2br w:val="nil"/>
                    <w:tr2bl w:val="nil"/>
                  </w:tcBorders>
                  <w:vAlign w:val="center"/>
                </w:tcPr>
                <w:p>
                  <w:pPr>
                    <w:adjustRightInd w:val="0"/>
                    <w:snapToGrid w:val="0"/>
                    <w:jc w:val="center"/>
                    <w:rPr>
                      <w:szCs w:val="21"/>
                    </w:rPr>
                  </w:pPr>
                  <w:r>
                    <w:rPr>
                      <w:rFonts w:hint="eastAsia"/>
                      <w:szCs w:val="21"/>
                    </w:rPr>
                    <w:t>噪声</w:t>
                  </w:r>
                </w:p>
              </w:tc>
              <w:tc>
                <w:tcPr>
                  <w:tcW w:w="1860" w:type="dxa"/>
                  <w:gridSpan w:val="2"/>
                  <w:tcBorders>
                    <w:tl2br w:val="nil"/>
                    <w:tr2bl w:val="nil"/>
                  </w:tcBorders>
                  <w:vAlign w:val="center"/>
                </w:tcPr>
                <w:p>
                  <w:pPr>
                    <w:adjustRightInd w:val="0"/>
                    <w:snapToGrid w:val="0"/>
                    <w:jc w:val="center"/>
                    <w:rPr>
                      <w:szCs w:val="21"/>
                    </w:rPr>
                  </w:pPr>
                  <w:r>
                    <w:rPr>
                      <w:rFonts w:hint="eastAsia"/>
                      <w:szCs w:val="21"/>
                    </w:rPr>
                    <w:t>各种机械设备</w:t>
                  </w:r>
                </w:p>
              </w:tc>
              <w:tc>
                <w:tcPr>
                  <w:tcW w:w="1425" w:type="dxa"/>
                  <w:tcBorders>
                    <w:tl2br w:val="nil"/>
                    <w:tr2bl w:val="nil"/>
                  </w:tcBorders>
                  <w:vAlign w:val="center"/>
                </w:tcPr>
                <w:p>
                  <w:pPr>
                    <w:adjustRightInd w:val="0"/>
                    <w:snapToGrid w:val="0"/>
                    <w:jc w:val="center"/>
                    <w:rPr>
                      <w:szCs w:val="21"/>
                    </w:rPr>
                  </w:pPr>
                  <w:r>
                    <w:rPr>
                      <w:rFonts w:hint="eastAsia"/>
                      <w:szCs w:val="21"/>
                    </w:rPr>
                    <w:t>噪声</w:t>
                  </w:r>
                </w:p>
              </w:tc>
              <w:tc>
                <w:tcPr>
                  <w:tcW w:w="2146" w:type="dxa"/>
                  <w:tcBorders>
                    <w:tl2br w:val="nil"/>
                    <w:tr2bl w:val="nil"/>
                  </w:tcBorders>
                  <w:vAlign w:val="center"/>
                </w:tcPr>
                <w:p>
                  <w:pPr>
                    <w:adjustRightInd w:val="0"/>
                    <w:snapToGrid w:val="0"/>
                    <w:jc w:val="center"/>
                    <w:rPr>
                      <w:szCs w:val="21"/>
                    </w:rPr>
                  </w:pPr>
                  <w:r>
                    <w:rPr>
                      <w:rFonts w:hint="eastAsia"/>
                      <w:szCs w:val="21"/>
                    </w:rPr>
                    <w:t>设备运转</w:t>
                  </w:r>
                </w:p>
              </w:tc>
              <w:tc>
                <w:tcPr>
                  <w:tcW w:w="2081" w:type="dxa"/>
                  <w:tcBorders>
                    <w:tl2br w:val="nil"/>
                    <w:tr2bl w:val="nil"/>
                  </w:tcBorders>
                  <w:vAlign w:val="center"/>
                </w:tcPr>
                <w:p>
                  <w:pPr>
                    <w:adjustRightInd w:val="0"/>
                    <w:snapToGrid w:val="0"/>
                    <w:jc w:val="center"/>
                    <w:rPr>
                      <w:szCs w:val="21"/>
                    </w:rPr>
                  </w:pPr>
                  <w:r>
                    <w:rPr>
                      <w:rFonts w:hint="eastAsia"/>
                      <w:szCs w:val="21"/>
                    </w:rPr>
                    <w:t>等效连续A声级</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800" w:type="dxa"/>
                  <w:vMerge w:val="restart"/>
                  <w:tcBorders>
                    <w:tl2br w:val="nil"/>
                    <w:tr2bl w:val="nil"/>
                  </w:tcBorders>
                  <w:vAlign w:val="center"/>
                </w:tcPr>
                <w:p>
                  <w:pPr>
                    <w:adjustRightInd w:val="0"/>
                    <w:snapToGrid w:val="0"/>
                    <w:jc w:val="center"/>
                    <w:rPr>
                      <w:szCs w:val="21"/>
                    </w:rPr>
                  </w:pPr>
                  <w:r>
                    <w:rPr>
                      <w:rFonts w:hint="eastAsia"/>
                      <w:szCs w:val="21"/>
                    </w:rPr>
                    <w:t>固体废物</w:t>
                  </w:r>
                </w:p>
              </w:tc>
              <w:tc>
                <w:tcPr>
                  <w:tcW w:w="694" w:type="dxa"/>
                  <w:vMerge w:val="restart"/>
                  <w:tcBorders>
                    <w:tl2br w:val="nil"/>
                    <w:tr2bl w:val="nil"/>
                  </w:tcBorders>
                  <w:vAlign w:val="center"/>
                </w:tcPr>
                <w:p>
                  <w:pPr>
                    <w:adjustRightInd w:val="0"/>
                    <w:snapToGrid w:val="0"/>
                    <w:jc w:val="center"/>
                    <w:rPr>
                      <w:szCs w:val="21"/>
                    </w:rPr>
                  </w:pPr>
                  <w:r>
                    <w:rPr>
                      <w:rFonts w:hint="eastAsia"/>
                      <w:szCs w:val="21"/>
                    </w:rPr>
                    <w:t>一般固体废物</w:t>
                  </w:r>
                </w:p>
              </w:tc>
              <w:tc>
                <w:tcPr>
                  <w:tcW w:w="1166" w:type="dxa"/>
                  <w:tcBorders>
                    <w:tl2br w:val="nil"/>
                    <w:tr2bl w:val="nil"/>
                  </w:tcBorders>
                  <w:vAlign w:val="center"/>
                </w:tcPr>
                <w:p>
                  <w:pPr>
                    <w:adjustRightInd w:val="0"/>
                    <w:snapToGrid w:val="0"/>
                    <w:jc w:val="center"/>
                    <w:rPr>
                      <w:szCs w:val="21"/>
                    </w:rPr>
                  </w:pPr>
                  <w:r>
                    <w:rPr>
                      <w:rFonts w:hint="eastAsia"/>
                      <w:szCs w:val="21"/>
                    </w:rPr>
                    <w:t>原料拆封、成品包装</w:t>
                  </w:r>
                </w:p>
              </w:tc>
              <w:tc>
                <w:tcPr>
                  <w:tcW w:w="1425" w:type="dxa"/>
                  <w:tcBorders>
                    <w:tl2br w:val="nil"/>
                    <w:tr2bl w:val="nil"/>
                  </w:tcBorders>
                  <w:vAlign w:val="center"/>
                </w:tcPr>
                <w:p>
                  <w:pPr>
                    <w:adjustRightInd w:val="0"/>
                    <w:snapToGrid w:val="0"/>
                    <w:jc w:val="center"/>
                    <w:rPr>
                      <w:szCs w:val="21"/>
                    </w:rPr>
                  </w:pPr>
                  <w:r>
                    <w:rPr>
                      <w:rFonts w:hint="eastAsia"/>
                      <w:szCs w:val="21"/>
                    </w:rPr>
                    <w:t>废包装材料</w:t>
                  </w:r>
                </w:p>
              </w:tc>
              <w:tc>
                <w:tcPr>
                  <w:tcW w:w="2146" w:type="dxa"/>
                  <w:tcBorders>
                    <w:tl2br w:val="nil"/>
                    <w:tr2bl w:val="nil"/>
                  </w:tcBorders>
                  <w:vAlign w:val="center"/>
                </w:tcPr>
                <w:p>
                  <w:pPr>
                    <w:adjustRightInd w:val="0"/>
                    <w:snapToGrid w:val="0"/>
                    <w:jc w:val="center"/>
                    <w:rPr>
                      <w:szCs w:val="21"/>
                    </w:rPr>
                  </w:pPr>
                  <w:r>
                    <w:rPr>
                      <w:rFonts w:hint="eastAsia"/>
                      <w:szCs w:val="21"/>
                    </w:rPr>
                    <w:t>原料拆封、成品包装</w:t>
                  </w:r>
                </w:p>
              </w:tc>
              <w:tc>
                <w:tcPr>
                  <w:tcW w:w="2081" w:type="dxa"/>
                  <w:tcBorders>
                    <w:tl2br w:val="nil"/>
                    <w:tr2bl w:val="nil"/>
                  </w:tcBorders>
                  <w:vAlign w:val="center"/>
                </w:tcPr>
                <w:p>
                  <w:pPr>
                    <w:adjustRightInd w:val="0"/>
                    <w:snapToGrid w:val="0"/>
                    <w:jc w:val="center"/>
                    <w:rPr>
                      <w:rFonts w:hint="eastAsia" w:eastAsia="宋体"/>
                      <w:szCs w:val="21"/>
                      <w:lang w:eastAsia="zh-CN"/>
                    </w:rPr>
                  </w:pPr>
                  <w:r>
                    <w:rPr>
                      <w:rFonts w:hint="eastAsia"/>
                      <w:szCs w:val="21"/>
                      <w:lang w:eastAsia="zh-CN"/>
                    </w:rPr>
                    <w:t>纸壳等</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800" w:type="dxa"/>
                  <w:vMerge w:val="continue"/>
                  <w:tcBorders>
                    <w:tl2br w:val="nil"/>
                    <w:tr2bl w:val="nil"/>
                  </w:tcBorders>
                  <w:vAlign w:val="center"/>
                </w:tcPr>
                <w:p>
                  <w:pPr>
                    <w:adjustRightInd w:val="0"/>
                    <w:snapToGrid w:val="0"/>
                    <w:jc w:val="center"/>
                    <w:rPr>
                      <w:rFonts w:hint="eastAsia"/>
                      <w:szCs w:val="21"/>
                    </w:rPr>
                  </w:pPr>
                </w:p>
              </w:tc>
              <w:tc>
                <w:tcPr>
                  <w:tcW w:w="694" w:type="dxa"/>
                  <w:vMerge w:val="continue"/>
                  <w:tcBorders>
                    <w:tl2br w:val="nil"/>
                    <w:tr2bl w:val="nil"/>
                  </w:tcBorders>
                  <w:vAlign w:val="center"/>
                </w:tcPr>
                <w:p>
                  <w:pPr>
                    <w:adjustRightInd w:val="0"/>
                    <w:snapToGrid w:val="0"/>
                    <w:jc w:val="center"/>
                    <w:rPr>
                      <w:rFonts w:hint="eastAsia"/>
                      <w:szCs w:val="21"/>
                    </w:rPr>
                  </w:pPr>
                </w:p>
              </w:tc>
              <w:tc>
                <w:tcPr>
                  <w:tcW w:w="1166" w:type="dxa"/>
                  <w:tcBorders>
                    <w:tl2br w:val="nil"/>
                    <w:tr2bl w:val="nil"/>
                  </w:tcBorders>
                  <w:vAlign w:val="center"/>
                </w:tcPr>
                <w:p>
                  <w:pPr>
                    <w:adjustRightInd w:val="0"/>
                    <w:snapToGrid w:val="0"/>
                    <w:jc w:val="center"/>
                    <w:rPr>
                      <w:rFonts w:hint="eastAsia" w:eastAsia="宋体"/>
                      <w:szCs w:val="21"/>
                      <w:lang w:eastAsia="zh-CN"/>
                    </w:rPr>
                  </w:pPr>
                  <w:r>
                    <w:rPr>
                      <w:rFonts w:hint="eastAsia"/>
                      <w:szCs w:val="21"/>
                      <w:lang w:eastAsia="zh-CN"/>
                    </w:rPr>
                    <w:t>注塑工序</w:t>
                  </w:r>
                </w:p>
              </w:tc>
              <w:tc>
                <w:tcPr>
                  <w:tcW w:w="1425" w:type="dxa"/>
                  <w:tcBorders>
                    <w:tl2br w:val="nil"/>
                    <w:tr2bl w:val="nil"/>
                  </w:tcBorders>
                  <w:vAlign w:val="center"/>
                </w:tcPr>
                <w:p>
                  <w:pPr>
                    <w:adjustRightInd w:val="0"/>
                    <w:snapToGrid w:val="0"/>
                    <w:jc w:val="center"/>
                    <w:rPr>
                      <w:rFonts w:hint="eastAsia" w:eastAsia="宋体"/>
                      <w:szCs w:val="21"/>
                      <w:lang w:eastAsia="zh-CN"/>
                    </w:rPr>
                  </w:pPr>
                  <w:r>
                    <w:rPr>
                      <w:rFonts w:hint="eastAsia"/>
                      <w:szCs w:val="21"/>
                      <w:lang w:eastAsia="zh-CN"/>
                    </w:rPr>
                    <w:t>不合格产品</w:t>
                  </w:r>
                </w:p>
              </w:tc>
              <w:tc>
                <w:tcPr>
                  <w:tcW w:w="2146" w:type="dxa"/>
                  <w:tcBorders>
                    <w:tl2br w:val="nil"/>
                    <w:tr2bl w:val="nil"/>
                  </w:tcBorders>
                  <w:vAlign w:val="center"/>
                </w:tcPr>
                <w:p>
                  <w:pPr>
                    <w:adjustRightInd w:val="0"/>
                    <w:snapToGrid w:val="0"/>
                    <w:jc w:val="center"/>
                    <w:rPr>
                      <w:rFonts w:hint="eastAsia" w:eastAsia="宋体"/>
                      <w:szCs w:val="21"/>
                      <w:lang w:eastAsia="zh-CN"/>
                    </w:rPr>
                  </w:pPr>
                  <w:r>
                    <w:rPr>
                      <w:rFonts w:hint="eastAsia"/>
                      <w:szCs w:val="21"/>
                      <w:lang w:eastAsia="zh-CN"/>
                    </w:rPr>
                    <w:t>注塑工序</w:t>
                  </w:r>
                </w:p>
              </w:tc>
              <w:tc>
                <w:tcPr>
                  <w:tcW w:w="2081" w:type="dxa"/>
                  <w:tcBorders>
                    <w:tl2br w:val="nil"/>
                    <w:tr2bl w:val="nil"/>
                  </w:tcBorders>
                  <w:vAlign w:val="center"/>
                </w:tcPr>
                <w:p>
                  <w:pPr>
                    <w:adjustRightInd w:val="0"/>
                    <w:snapToGrid w:val="0"/>
                    <w:jc w:val="center"/>
                    <w:rPr>
                      <w:rFonts w:hint="eastAsia"/>
                      <w:szCs w:val="21"/>
                      <w:lang w:eastAsia="zh-CN"/>
                    </w:rPr>
                  </w:pPr>
                  <w:r>
                    <w:rPr>
                      <w:rFonts w:hint="eastAsia"/>
                      <w:szCs w:val="21"/>
                      <w:lang w:eastAsia="zh-CN"/>
                    </w:rPr>
                    <w:t>废塑料手柄</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765" w:hRule="atLeast"/>
                <w:jc w:val="center"/>
              </w:trPr>
              <w:tc>
                <w:tcPr>
                  <w:tcW w:w="800" w:type="dxa"/>
                  <w:vMerge w:val="continue"/>
                  <w:tcBorders>
                    <w:tl2br w:val="nil"/>
                    <w:tr2bl w:val="nil"/>
                  </w:tcBorders>
                  <w:vAlign w:val="center"/>
                </w:tcPr>
                <w:p>
                  <w:pPr>
                    <w:adjustRightInd w:val="0"/>
                    <w:snapToGrid w:val="0"/>
                    <w:jc w:val="center"/>
                    <w:rPr>
                      <w:szCs w:val="21"/>
                    </w:rPr>
                  </w:pPr>
                </w:p>
              </w:tc>
              <w:tc>
                <w:tcPr>
                  <w:tcW w:w="694" w:type="dxa"/>
                  <w:vMerge w:val="continue"/>
                  <w:tcBorders>
                    <w:tl2br w:val="nil"/>
                    <w:tr2bl w:val="nil"/>
                  </w:tcBorders>
                  <w:vAlign w:val="center"/>
                </w:tcPr>
                <w:p>
                  <w:pPr>
                    <w:adjustRightInd w:val="0"/>
                    <w:snapToGrid w:val="0"/>
                    <w:jc w:val="center"/>
                    <w:rPr>
                      <w:szCs w:val="21"/>
                    </w:rPr>
                  </w:pPr>
                </w:p>
              </w:tc>
              <w:tc>
                <w:tcPr>
                  <w:tcW w:w="1166" w:type="dxa"/>
                  <w:tcBorders>
                    <w:tl2br w:val="nil"/>
                    <w:tr2bl w:val="nil"/>
                  </w:tcBorders>
                  <w:vAlign w:val="center"/>
                </w:tcPr>
                <w:p>
                  <w:pPr>
                    <w:adjustRightInd w:val="0"/>
                    <w:snapToGrid w:val="0"/>
                    <w:jc w:val="center"/>
                    <w:rPr>
                      <w:rFonts w:hint="eastAsia" w:eastAsia="宋体"/>
                      <w:szCs w:val="21"/>
                      <w:lang w:eastAsia="zh-CN"/>
                    </w:rPr>
                  </w:pPr>
                  <w:r>
                    <w:rPr>
                      <w:rFonts w:hint="eastAsia"/>
                      <w:szCs w:val="21"/>
                    </w:rPr>
                    <w:t xml:space="preserve"> </w:t>
                  </w:r>
                  <w:r>
                    <w:rPr>
                      <w:rFonts w:hint="eastAsia"/>
                      <w:szCs w:val="21"/>
                      <w:lang w:eastAsia="zh-CN"/>
                    </w:rPr>
                    <w:t>成型工序</w:t>
                  </w:r>
                </w:p>
              </w:tc>
              <w:tc>
                <w:tcPr>
                  <w:tcW w:w="1425" w:type="dxa"/>
                  <w:tcBorders>
                    <w:tl2br w:val="nil"/>
                    <w:tr2bl w:val="nil"/>
                  </w:tcBorders>
                  <w:vAlign w:val="center"/>
                </w:tcPr>
                <w:p>
                  <w:pPr>
                    <w:adjustRightInd w:val="0"/>
                    <w:snapToGrid w:val="0"/>
                    <w:jc w:val="center"/>
                    <w:rPr>
                      <w:szCs w:val="21"/>
                    </w:rPr>
                  </w:pPr>
                  <w:r>
                    <w:rPr>
                      <w:rFonts w:hint="eastAsia"/>
                      <w:szCs w:val="21"/>
                    </w:rPr>
                    <w:t xml:space="preserve"> </w:t>
                  </w:r>
                  <w:r>
                    <w:rPr>
                      <w:rFonts w:hint="eastAsia"/>
                      <w:szCs w:val="21"/>
                      <w:lang w:eastAsia="zh-CN"/>
                    </w:rPr>
                    <w:t>废金属碎屑</w:t>
                  </w:r>
                </w:p>
              </w:tc>
              <w:tc>
                <w:tcPr>
                  <w:tcW w:w="2146" w:type="dxa"/>
                  <w:tcBorders>
                    <w:tl2br w:val="nil"/>
                    <w:tr2bl w:val="nil"/>
                  </w:tcBorders>
                  <w:vAlign w:val="center"/>
                </w:tcPr>
                <w:p>
                  <w:pPr>
                    <w:adjustRightInd w:val="0"/>
                    <w:snapToGrid w:val="0"/>
                    <w:jc w:val="center"/>
                    <w:rPr>
                      <w:szCs w:val="21"/>
                    </w:rPr>
                  </w:pPr>
                  <w:r>
                    <w:rPr>
                      <w:rFonts w:hint="eastAsia"/>
                      <w:szCs w:val="21"/>
                      <w:lang w:eastAsia="zh-CN"/>
                    </w:rPr>
                    <w:t>成型工序</w:t>
                  </w:r>
                </w:p>
              </w:tc>
              <w:tc>
                <w:tcPr>
                  <w:tcW w:w="2081" w:type="dxa"/>
                  <w:tcBorders>
                    <w:tl2br w:val="nil"/>
                    <w:tr2bl w:val="nil"/>
                  </w:tcBorders>
                  <w:vAlign w:val="center"/>
                </w:tcPr>
                <w:p>
                  <w:pPr>
                    <w:adjustRightInd w:val="0"/>
                    <w:snapToGrid w:val="0"/>
                    <w:jc w:val="center"/>
                    <w:rPr>
                      <w:rFonts w:hint="eastAsia" w:eastAsia="宋体"/>
                      <w:szCs w:val="21"/>
                      <w:lang w:eastAsia="zh-CN"/>
                    </w:rPr>
                  </w:pPr>
                  <w:r>
                    <w:rPr>
                      <w:rFonts w:hint="eastAsia"/>
                      <w:szCs w:val="21"/>
                      <w:lang w:eastAsia="zh-CN"/>
                    </w:rPr>
                    <w:t>不锈钢碎屑、镍钛碎屑</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202" w:hRule="atLeast"/>
                <w:jc w:val="center"/>
              </w:trPr>
              <w:tc>
                <w:tcPr>
                  <w:tcW w:w="800" w:type="dxa"/>
                  <w:vMerge w:val="continue"/>
                  <w:tcBorders>
                    <w:tl2br w:val="nil"/>
                    <w:tr2bl w:val="nil"/>
                  </w:tcBorders>
                  <w:vAlign w:val="center"/>
                </w:tcPr>
                <w:p>
                  <w:pPr>
                    <w:adjustRightInd w:val="0"/>
                    <w:snapToGrid w:val="0"/>
                    <w:jc w:val="center"/>
                    <w:rPr>
                      <w:szCs w:val="21"/>
                    </w:rPr>
                  </w:pPr>
                </w:p>
              </w:tc>
              <w:tc>
                <w:tcPr>
                  <w:tcW w:w="694" w:type="dxa"/>
                  <w:vMerge w:val="restart"/>
                  <w:tcBorders>
                    <w:tl2br w:val="nil"/>
                    <w:tr2bl w:val="nil"/>
                  </w:tcBorders>
                  <w:vAlign w:val="center"/>
                </w:tcPr>
                <w:p>
                  <w:pPr>
                    <w:adjustRightInd w:val="0"/>
                    <w:snapToGrid w:val="0"/>
                    <w:jc w:val="center"/>
                    <w:rPr>
                      <w:szCs w:val="21"/>
                    </w:rPr>
                  </w:pPr>
                  <w:r>
                    <w:rPr>
                      <w:rFonts w:hint="eastAsia"/>
                      <w:szCs w:val="21"/>
                    </w:rPr>
                    <w:t>危险废物</w:t>
                  </w:r>
                </w:p>
              </w:tc>
              <w:tc>
                <w:tcPr>
                  <w:tcW w:w="1166" w:type="dxa"/>
                  <w:tcBorders>
                    <w:tl2br w:val="nil"/>
                    <w:tr2bl w:val="nil"/>
                  </w:tcBorders>
                  <w:vAlign w:val="center"/>
                </w:tcPr>
                <w:p>
                  <w:pPr>
                    <w:adjustRightInd w:val="0"/>
                    <w:snapToGrid w:val="0"/>
                    <w:jc w:val="center"/>
                    <w:rPr>
                      <w:rFonts w:hint="eastAsia" w:eastAsia="宋体"/>
                      <w:szCs w:val="21"/>
                      <w:lang w:eastAsia="zh-CN"/>
                    </w:rPr>
                  </w:pPr>
                  <w:r>
                    <w:rPr>
                      <w:rFonts w:hint="eastAsia"/>
                      <w:szCs w:val="21"/>
                      <w:lang w:eastAsia="zh-CN"/>
                    </w:rPr>
                    <w:t>成型工序</w:t>
                  </w:r>
                </w:p>
              </w:tc>
              <w:tc>
                <w:tcPr>
                  <w:tcW w:w="1425" w:type="dxa"/>
                  <w:tcBorders>
                    <w:tl2br w:val="nil"/>
                    <w:tr2bl w:val="nil"/>
                  </w:tcBorders>
                  <w:vAlign w:val="center"/>
                </w:tcPr>
                <w:p>
                  <w:pPr>
                    <w:adjustRightInd w:val="0"/>
                    <w:snapToGrid w:val="0"/>
                    <w:jc w:val="center"/>
                    <w:rPr>
                      <w:rFonts w:hint="eastAsia" w:eastAsia="宋体"/>
                      <w:szCs w:val="21"/>
                      <w:lang w:eastAsia="zh-CN"/>
                    </w:rPr>
                  </w:pPr>
                  <w:r>
                    <w:rPr>
                      <w:rFonts w:hint="eastAsia"/>
                      <w:szCs w:val="21"/>
                      <w:lang w:eastAsia="zh-CN"/>
                    </w:rPr>
                    <w:t>废切削液</w:t>
                  </w:r>
                </w:p>
              </w:tc>
              <w:tc>
                <w:tcPr>
                  <w:tcW w:w="2146" w:type="dxa"/>
                  <w:tcBorders>
                    <w:tl2br w:val="nil"/>
                    <w:tr2bl w:val="nil"/>
                  </w:tcBorders>
                  <w:vAlign w:val="center"/>
                </w:tcPr>
                <w:p>
                  <w:pPr>
                    <w:adjustRightInd w:val="0"/>
                    <w:snapToGrid w:val="0"/>
                    <w:jc w:val="center"/>
                    <w:rPr>
                      <w:szCs w:val="21"/>
                    </w:rPr>
                  </w:pPr>
                  <w:r>
                    <w:rPr>
                      <w:rFonts w:hint="eastAsia"/>
                      <w:szCs w:val="21"/>
                      <w:lang w:eastAsia="zh-CN"/>
                    </w:rPr>
                    <w:t>成型工序</w:t>
                  </w:r>
                </w:p>
              </w:tc>
              <w:tc>
                <w:tcPr>
                  <w:tcW w:w="2081" w:type="dxa"/>
                  <w:tcBorders>
                    <w:tl2br w:val="nil"/>
                    <w:tr2bl w:val="nil"/>
                  </w:tcBorders>
                  <w:vAlign w:val="center"/>
                </w:tcPr>
                <w:p>
                  <w:pPr>
                    <w:adjustRightInd w:val="0"/>
                    <w:snapToGrid w:val="0"/>
                    <w:jc w:val="center"/>
                    <w:rPr>
                      <w:rFonts w:hint="eastAsia" w:eastAsia="宋体"/>
                      <w:szCs w:val="21"/>
                      <w:lang w:eastAsia="zh-CN"/>
                    </w:rPr>
                  </w:pPr>
                  <w:r>
                    <w:rPr>
                      <w:rFonts w:hint="eastAsia"/>
                      <w:szCs w:val="21"/>
                      <w:lang w:eastAsia="zh-CN"/>
                    </w:rPr>
                    <w:t>废切削液</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493" w:hRule="atLeast"/>
                <w:jc w:val="center"/>
              </w:trPr>
              <w:tc>
                <w:tcPr>
                  <w:tcW w:w="800" w:type="dxa"/>
                  <w:vMerge w:val="continue"/>
                  <w:tcBorders>
                    <w:tl2br w:val="nil"/>
                    <w:tr2bl w:val="nil"/>
                  </w:tcBorders>
                  <w:vAlign w:val="center"/>
                </w:tcPr>
                <w:p>
                  <w:pPr>
                    <w:adjustRightInd w:val="0"/>
                    <w:snapToGrid w:val="0"/>
                    <w:jc w:val="center"/>
                    <w:rPr>
                      <w:szCs w:val="21"/>
                    </w:rPr>
                  </w:pPr>
                </w:p>
              </w:tc>
              <w:tc>
                <w:tcPr>
                  <w:tcW w:w="694" w:type="dxa"/>
                  <w:vMerge w:val="continue"/>
                  <w:tcBorders>
                    <w:tl2br w:val="nil"/>
                    <w:tr2bl w:val="nil"/>
                  </w:tcBorders>
                  <w:vAlign w:val="center"/>
                </w:tcPr>
                <w:p>
                  <w:pPr>
                    <w:adjustRightInd w:val="0"/>
                    <w:snapToGrid w:val="0"/>
                    <w:jc w:val="center"/>
                    <w:rPr>
                      <w:szCs w:val="21"/>
                    </w:rPr>
                  </w:pPr>
                </w:p>
              </w:tc>
              <w:tc>
                <w:tcPr>
                  <w:tcW w:w="1166" w:type="dxa"/>
                  <w:tcBorders>
                    <w:tl2br w:val="nil"/>
                    <w:tr2bl w:val="nil"/>
                  </w:tcBorders>
                  <w:vAlign w:val="center"/>
                </w:tcPr>
                <w:p>
                  <w:pPr>
                    <w:adjustRightInd w:val="0"/>
                    <w:snapToGrid w:val="0"/>
                    <w:jc w:val="center"/>
                    <w:rPr>
                      <w:rFonts w:hint="eastAsia" w:eastAsia="宋体"/>
                      <w:szCs w:val="21"/>
                      <w:lang w:eastAsia="zh-CN"/>
                    </w:rPr>
                  </w:pPr>
                  <w:r>
                    <w:rPr>
                      <w:rFonts w:hint="eastAsia"/>
                      <w:szCs w:val="21"/>
                      <w:lang w:eastAsia="zh-CN"/>
                    </w:rPr>
                    <w:t>废气处理</w:t>
                  </w:r>
                </w:p>
              </w:tc>
              <w:tc>
                <w:tcPr>
                  <w:tcW w:w="1425" w:type="dxa"/>
                  <w:tcBorders>
                    <w:tl2br w:val="nil"/>
                    <w:tr2bl w:val="nil"/>
                  </w:tcBorders>
                  <w:vAlign w:val="center"/>
                </w:tcPr>
                <w:p>
                  <w:pPr>
                    <w:adjustRightInd w:val="0"/>
                    <w:snapToGrid w:val="0"/>
                    <w:jc w:val="center"/>
                    <w:rPr>
                      <w:rFonts w:hint="eastAsia" w:eastAsia="宋体"/>
                      <w:szCs w:val="21"/>
                      <w:lang w:eastAsia="zh-CN"/>
                    </w:rPr>
                  </w:pPr>
                  <w:r>
                    <w:rPr>
                      <w:rFonts w:hint="eastAsia"/>
                      <w:szCs w:val="21"/>
                      <w:lang w:eastAsia="zh-CN"/>
                    </w:rPr>
                    <w:t>废活性炭</w:t>
                  </w:r>
                </w:p>
              </w:tc>
              <w:tc>
                <w:tcPr>
                  <w:tcW w:w="2146" w:type="dxa"/>
                  <w:tcBorders>
                    <w:tl2br w:val="nil"/>
                    <w:tr2bl w:val="nil"/>
                  </w:tcBorders>
                  <w:vAlign w:val="center"/>
                </w:tcPr>
                <w:p>
                  <w:pPr>
                    <w:adjustRightInd w:val="0"/>
                    <w:snapToGrid w:val="0"/>
                    <w:jc w:val="center"/>
                    <w:rPr>
                      <w:szCs w:val="21"/>
                    </w:rPr>
                  </w:pPr>
                  <w:r>
                    <w:rPr>
                      <w:rFonts w:hint="eastAsia"/>
                      <w:szCs w:val="21"/>
                      <w:lang w:eastAsia="zh-CN"/>
                    </w:rPr>
                    <w:t>废气处理</w:t>
                  </w:r>
                </w:p>
              </w:tc>
              <w:tc>
                <w:tcPr>
                  <w:tcW w:w="2081" w:type="dxa"/>
                  <w:tcBorders>
                    <w:tl2br w:val="nil"/>
                    <w:tr2bl w:val="nil"/>
                  </w:tcBorders>
                  <w:vAlign w:val="center"/>
                </w:tcPr>
                <w:p>
                  <w:pPr>
                    <w:adjustRightInd w:val="0"/>
                    <w:snapToGrid w:val="0"/>
                    <w:jc w:val="center"/>
                    <w:rPr>
                      <w:szCs w:val="21"/>
                    </w:rPr>
                  </w:pPr>
                  <w:r>
                    <w:rPr>
                      <w:rFonts w:hint="eastAsia"/>
                      <w:szCs w:val="21"/>
                    </w:rPr>
                    <w:t>废活性炭</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493" w:hRule="atLeast"/>
                <w:jc w:val="center"/>
              </w:trPr>
              <w:tc>
                <w:tcPr>
                  <w:tcW w:w="800" w:type="dxa"/>
                  <w:vMerge w:val="continue"/>
                  <w:tcBorders>
                    <w:tl2br w:val="nil"/>
                    <w:tr2bl w:val="nil"/>
                  </w:tcBorders>
                  <w:vAlign w:val="center"/>
                </w:tcPr>
                <w:p>
                  <w:pPr>
                    <w:adjustRightInd w:val="0"/>
                    <w:snapToGrid w:val="0"/>
                    <w:jc w:val="center"/>
                    <w:rPr>
                      <w:szCs w:val="21"/>
                    </w:rPr>
                  </w:pPr>
                </w:p>
              </w:tc>
              <w:tc>
                <w:tcPr>
                  <w:tcW w:w="694" w:type="dxa"/>
                  <w:vMerge w:val="continue"/>
                  <w:tcBorders>
                    <w:tl2br w:val="nil"/>
                    <w:tr2bl w:val="nil"/>
                  </w:tcBorders>
                  <w:vAlign w:val="center"/>
                </w:tcPr>
                <w:p>
                  <w:pPr>
                    <w:adjustRightInd w:val="0"/>
                    <w:snapToGrid w:val="0"/>
                    <w:jc w:val="center"/>
                    <w:rPr>
                      <w:szCs w:val="21"/>
                    </w:rPr>
                  </w:pPr>
                </w:p>
              </w:tc>
              <w:tc>
                <w:tcPr>
                  <w:tcW w:w="1166" w:type="dxa"/>
                  <w:tcBorders>
                    <w:tl2br w:val="nil"/>
                    <w:tr2bl w:val="nil"/>
                  </w:tcBorders>
                  <w:vAlign w:val="center"/>
                </w:tcPr>
                <w:p>
                  <w:pPr>
                    <w:adjustRightInd w:val="0"/>
                    <w:snapToGrid w:val="0"/>
                    <w:jc w:val="center"/>
                    <w:rPr>
                      <w:szCs w:val="21"/>
                    </w:rPr>
                  </w:pPr>
                  <w:r>
                    <w:rPr>
                      <w:rFonts w:hint="eastAsia"/>
                      <w:szCs w:val="21"/>
                      <w:lang w:eastAsia="zh-CN"/>
                    </w:rPr>
                    <w:t>设备维护</w:t>
                  </w:r>
                </w:p>
              </w:tc>
              <w:tc>
                <w:tcPr>
                  <w:tcW w:w="1425" w:type="dxa"/>
                  <w:tcBorders>
                    <w:tl2br w:val="nil"/>
                    <w:tr2bl w:val="nil"/>
                  </w:tcBorders>
                  <w:vAlign w:val="center"/>
                </w:tcPr>
                <w:p>
                  <w:pPr>
                    <w:adjustRightInd w:val="0"/>
                    <w:snapToGrid w:val="0"/>
                    <w:jc w:val="center"/>
                    <w:rPr>
                      <w:rFonts w:hint="eastAsia" w:eastAsia="宋体"/>
                      <w:szCs w:val="21"/>
                      <w:lang w:eastAsia="zh-CN"/>
                    </w:rPr>
                  </w:pPr>
                  <w:r>
                    <w:rPr>
                      <w:rFonts w:hint="eastAsia"/>
                      <w:szCs w:val="21"/>
                      <w:lang w:eastAsia="zh-CN"/>
                    </w:rPr>
                    <w:t>废润滑油</w:t>
                  </w:r>
                </w:p>
              </w:tc>
              <w:tc>
                <w:tcPr>
                  <w:tcW w:w="2146" w:type="dxa"/>
                  <w:tcBorders>
                    <w:tl2br w:val="nil"/>
                    <w:tr2bl w:val="nil"/>
                  </w:tcBorders>
                  <w:vAlign w:val="center"/>
                </w:tcPr>
                <w:p>
                  <w:pPr>
                    <w:adjustRightInd w:val="0"/>
                    <w:snapToGrid w:val="0"/>
                    <w:jc w:val="center"/>
                    <w:rPr>
                      <w:szCs w:val="21"/>
                    </w:rPr>
                  </w:pPr>
                  <w:r>
                    <w:rPr>
                      <w:rFonts w:hint="eastAsia"/>
                      <w:szCs w:val="21"/>
                      <w:lang w:eastAsia="zh-CN"/>
                    </w:rPr>
                    <w:t>设备维护</w:t>
                  </w:r>
                </w:p>
              </w:tc>
              <w:tc>
                <w:tcPr>
                  <w:tcW w:w="2081" w:type="dxa"/>
                  <w:tcBorders>
                    <w:tl2br w:val="nil"/>
                    <w:tr2bl w:val="nil"/>
                  </w:tcBorders>
                  <w:vAlign w:val="center"/>
                </w:tcPr>
                <w:p>
                  <w:pPr>
                    <w:adjustRightInd w:val="0"/>
                    <w:snapToGrid w:val="0"/>
                    <w:jc w:val="center"/>
                    <w:rPr>
                      <w:szCs w:val="21"/>
                    </w:rPr>
                  </w:pPr>
                  <w:r>
                    <w:rPr>
                      <w:rFonts w:hint="eastAsia"/>
                      <w:szCs w:val="21"/>
                    </w:rPr>
                    <w:t>废润滑油</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800" w:type="dxa"/>
                  <w:vMerge w:val="continue"/>
                  <w:tcBorders>
                    <w:tl2br w:val="nil"/>
                    <w:tr2bl w:val="nil"/>
                  </w:tcBorders>
                  <w:vAlign w:val="center"/>
                </w:tcPr>
                <w:p>
                  <w:pPr>
                    <w:adjustRightInd w:val="0"/>
                    <w:snapToGrid w:val="0"/>
                    <w:jc w:val="center"/>
                    <w:rPr>
                      <w:szCs w:val="21"/>
                    </w:rPr>
                  </w:pPr>
                </w:p>
              </w:tc>
              <w:tc>
                <w:tcPr>
                  <w:tcW w:w="694" w:type="dxa"/>
                  <w:vMerge w:val="continue"/>
                  <w:tcBorders>
                    <w:tl2br w:val="nil"/>
                    <w:tr2bl w:val="nil"/>
                  </w:tcBorders>
                  <w:vAlign w:val="center"/>
                </w:tcPr>
                <w:p>
                  <w:pPr>
                    <w:adjustRightInd w:val="0"/>
                    <w:snapToGrid w:val="0"/>
                    <w:jc w:val="center"/>
                    <w:rPr>
                      <w:szCs w:val="21"/>
                    </w:rPr>
                  </w:pPr>
                </w:p>
              </w:tc>
              <w:tc>
                <w:tcPr>
                  <w:tcW w:w="1166" w:type="dxa"/>
                  <w:tcBorders>
                    <w:tl2br w:val="nil"/>
                    <w:tr2bl w:val="nil"/>
                  </w:tcBorders>
                  <w:vAlign w:val="center"/>
                </w:tcPr>
                <w:p>
                  <w:pPr>
                    <w:adjustRightInd w:val="0"/>
                    <w:snapToGrid w:val="0"/>
                    <w:jc w:val="center"/>
                    <w:rPr>
                      <w:rFonts w:hint="eastAsia" w:eastAsia="宋体"/>
                      <w:szCs w:val="21"/>
                      <w:lang w:eastAsia="zh-CN"/>
                    </w:rPr>
                  </w:pPr>
                  <w:r>
                    <w:rPr>
                      <w:rFonts w:hint="eastAsia"/>
                      <w:szCs w:val="21"/>
                      <w:lang w:eastAsia="zh-CN"/>
                    </w:rPr>
                    <w:t>原料拆封</w:t>
                  </w:r>
                </w:p>
              </w:tc>
              <w:tc>
                <w:tcPr>
                  <w:tcW w:w="1425" w:type="dxa"/>
                  <w:tcBorders>
                    <w:tl2br w:val="nil"/>
                    <w:tr2bl w:val="nil"/>
                  </w:tcBorders>
                  <w:vAlign w:val="center"/>
                </w:tcPr>
                <w:p>
                  <w:pPr>
                    <w:adjustRightInd w:val="0"/>
                    <w:snapToGrid w:val="0"/>
                    <w:jc w:val="center"/>
                    <w:rPr>
                      <w:rFonts w:hint="eastAsia" w:eastAsia="宋体"/>
                      <w:szCs w:val="21"/>
                      <w:lang w:eastAsia="zh-CN"/>
                    </w:rPr>
                  </w:pPr>
                  <w:r>
                    <w:rPr>
                      <w:rFonts w:hint="eastAsia"/>
                      <w:szCs w:val="21"/>
                      <w:lang w:eastAsia="zh-CN"/>
                    </w:rPr>
                    <w:t>废包装桶</w:t>
                  </w:r>
                </w:p>
              </w:tc>
              <w:tc>
                <w:tcPr>
                  <w:tcW w:w="2146" w:type="dxa"/>
                  <w:tcBorders>
                    <w:tl2br w:val="nil"/>
                    <w:tr2bl w:val="nil"/>
                  </w:tcBorders>
                  <w:vAlign w:val="center"/>
                </w:tcPr>
                <w:p>
                  <w:pPr>
                    <w:adjustRightInd w:val="0"/>
                    <w:snapToGrid w:val="0"/>
                    <w:jc w:val="center"/>
                    <w:rPr>
                      <w:szCs w:val="21"/>
                    </w:rPr>
                  </w:pPr>
                  <w:r>
                    <w:rPr>
                      <w:rFonts w:hint="eastAsia"/>
                      <w:szCs w:val="21"/>
                      <w:lang w:eastAsia="zh-CN"/>
                    </w:rPr>
                    <w:t>原料拆封</w:t>
                  </w:r>
                </w:p>
              </w:tc>
              <w:tc>
                <w:tcPr>
                  <w:tcW w:w="2081" w:type="dxa"/>
                  <w:tcBorders>
                    <w:tl2br w:val="nil"/>
                    <w:tr2bl w:val="nil"/>
                  </w:tcBorders>
                  <w:vAlign w:val="center"/>
                </w:tcPr>
                <w:p>
                  <w:pPr>
                    <w:adjustRightInd w:val="0"/>
                    <w:snapToGrid w:val="0"/>
                    <w:jc w:val="center"/>
                    <w:rPr>
                      <w:rFonts w:hint="eastAsia" w:eastAsia="宋体"/>
                      <w:szCs w:val="21"/>
                      <w:lang w:eastAsia="zh-CN"/>
                    </w:rPr>
                  </w:pPr>
                  <w:r>
                    <w:rPr>
                      <w:rFonts w:hint="eastAsia"/>
                      <w:szCs w:val="21"/>
                    </w:rPr>
                    <w:t>废包装桶</w:t>
                  </w:r>
                  <w:r>
                    <w:rPr>
                      <w:rFonts w:hint="eastAsia"/>
                      <w:szCs w:val="21"/>
                      <w:lang w:eastAsia="zh-CN"/>
                    </w:rPr>
                    <w:t>、废切削液、废润滑油</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800" w:type="dxa"/>
                  <w:vMerge w:val="continue"/>
                  <w:tcBorders>
                    <w:tl2br w:val="nil"/>
                    <w:tr2bl w:val="nil"/>
                  </w:tcBorders>
                  <w:vAlign w:val="center"/>
                </w:tcPr>
                <w:p>
                  <w:pPr>
                    <w:adjustRightInd w:val="0"/>
                    <w:snapToGrid w:val="0"/>
                    <w:jc w:val="center"/>
                    <w:rPr>
                      <w:szCs w:val="21"/>
                    </w:rPr>
                  </w:pPr>
                </w:p>
              </w:tc>
              <w:tc>
                <w:tcPr>
                  <w:tcW w:w="694" w:type="dxa"/>
                  <w:vMerge w:val="continue"/>
                  <w:tcBorders>
                    <w:tl2br w:val="nil"/>
                    <w:tr2bl w:val="nil"/>
                  </w:tcBorders>
                  <w:vAlign w:val="center"/>
                </w:tcPr>
                <w:p>
                  <w:pPr>
                    <w:adjustRightInd w:val="0"/>
                    <w:snapToGrid w:val="0"/>
                    <w:jc w:val="center"/>
                    <w:rPr>
                      <w:szCs w:val="21"/>
                    </w:rPr>
                  </w:pPr>
                </w:p>
              </w:tc>
              <w:tc>
                <w:tcPr>
                  <w:tcW w:w="1166" w:type="dxa"/>
                  <w:tcBorders>
                    <w:tl2br w:val="nil"/>
                    <w:tr2bl w:val="nil"/>
                  </w:tcBorders>
                  <w:vAlign w:val="center"/>
                </w:tcPr>
                <w:p>
                  <w:pPr>
                    <w:adjustRightInd w:val="0"/>
                    <w:snapToGrid w:val="0"/>
                    <w:jc w:val="center"/>
                    <w:rPr>
                      <w:rFonts w:hint="eastAsia" w:eastAsia="宋体"/>
                      <w:szCs w:val="21"/>
                      <w:lang w:eastAsia="zh-CN"/>
                    </w:rPr>
                  </w:pPr>
                  <w:r>
                    <w:rPr>
                      <w:rFonts w:hint="eastAsia"/>
                      <w:szCs w:val="21"/>
                      <w:lang w:eastAsia="zh-CN"/>
                    </w:rPr>
                    <w:t>设备维护</w:t>
                  </w:r>
                </w:p>
              </w:tc>
              <w:tc>
                <w:tcPr>
                  <w:tcW w:w="1425" w:type="dxa"/>
                  <w:tcBorders>
                    <w:tl2br w:val="nil"/>
                    <w:tr2bl w:val="nil"/>
                  </w:tcBorders>
                  <w:vAlign w:val="center"/>
                </w:tcPr>
                <w:p>
                  <w:pPr>
                    <w:adjustRightInd w:val="0"/>
                    <w:snapToGrid w:val="0"/>
                    <w:jc w:val="center"/>
                    <w:rPr>
                      <w:rFonts w:hint="eastAsia" w:eastAsia="宋体"/>
                      <w:szCs w:val="21"/>
                      <w:lang w:eastAsia="zh-CN"/>
                    </w:rPr>
                  </w:pPr>
                  <w:r>
                    <w:rPr>
                      <w:rFonts w:hint="eastAsia"/>
                      <w:szCs w:val="21"/>
                      <w:lang w:eastAsia="zh-CN"/>
                    </w:rPr>
                    <w:t>废含油抹布</w:t>
                  </w:r>
                </w:p>
              </w:tc>
              <w:tc>
                <w:tcPr>
                  <w:tcW w:w="2146" w:type="dxa"/>
                  <w:tcBorders>
                    <w:tl2br w:val="nil"/>
                    <w:tr2bl w:val="nil"/>
                  </w:tcBorders>
                  <w:vAlign w:val="center"/>
                </w:tcPr>
                <w:p>
                  <w:pPr>
                    <w:adjustRightInd w:val="0"/>
                    <w:snapToGrid w:val="0"/>
                    <w:jc w:val="center"/>
                    <w:rPr>
                      <w:szCs w:val="21"/>
                    </w:rPr>
                  </w:pPr>
                  <w:r>
                    <w:rPr>
                      <w:rFonts w:hint="eastAsia"/>
                      <w:szCs w:val="21"/>
                      <w:lang w:eastAsia="zh-CN"/>
                    </w:rPr>
                    <w:t>设备维护</w:t>
                  </w:r>
                </w:p>
              </w:tc>
              <w:tc>
                <w:tcPr>
                  <w:tcW w:w="2081" w:type="dxa"/>
                  <w:tcBorders>
                    <w:tl2br w:val="nil"/>
                    <w:tr2bl w:val="nil"/>
                  </w:tcBorders>
                  <w:vAlign w:val="center"/>
                </w:tcPr>
                <w:p>
                  <w:pPr>
                    <w:adjustRightInd w:val="0"/>
                    <w:snapToGrid w:val="0"/>
                    <w:jc w:val="center"/>
                    <w:rPr>
                      <w:szCs w:val="21"/>
                    </w:rPr>
                  </w:pPr>
                  <w:r>
                    <w:rPr>
                      <w:rFonts w:hint="eastAsia"/>
                      <w:szCs w:val="21"/>
                    </w:rPr>
                    <w:t>废抹布</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800" w:type="dxa"/>
                  <w:vMerge w:val="continue"/>
                  <w:tcBorders>
                    <w:tl2br w:val="nil"/>
                    <w:tr2bl w:val="nil"/>
                  </w:tcBorders>
                  <w:vAlign w:val="center"/>
                </w:tcPr>
                <w:p>
                  <w:pPr>
                    <w:adjustRightInd w:val="0"/>
                    <w:snapToGrid w:val="0"/>
                    <w:jc w:val="center"/>
                    <w:rPr>
                      <w:szCs w:val="21"/>
                    </w:rPr>
                  </w:pPr>
                </w:p>
              </w:tc>
              <w:tc>
                <w:tcPr>
                  <w:tcW w:w="694" w:type="dxa"/>
                  <w:tcBorders>
                    <w:tl2br w:val="nil"/>
                    <w:tr2bl w:val="nil"/>
                  </w:tcBorders>
                  <w:vAlign w:val="center"/>
                </w:tcPr>
                <w:p>
                  <w:pPr>
                    <w:adjustRightInd w:val="0"/>
                    <w:snapToGrid w:val="0"/>
                    <w:jc w:val="center"/>
                    <w:rPr>
                      <w:szCs w:val="21"/>
                    </w:rPr>
                  </w:pPr>
                  <w:r>
                    <w:rPr>
                      <w:rFonts w:hint="eastAsia"/>
                      <w:szCs w:val="21"/>
                    </w:rPr>
                    <w:t>生活垃圾</w:t>
                  </w:r>
                </w:p>
              </w:tc>
              <w:tc>
                <w:tcPr>
                  <w:tcW w:w="1166" w:type="dxa"/>
                  <w:tcBorders>
                    <w:tl2br w:val="nil"/>
                    <w:tr2bl w:val="nil"/>
                  </w:tcBorders>
                  <w:vAlign w:val="center"/>
                </w:tcPr>
                <w:p>
                  <w:pPr>
                    <w:adjustRightInd w:val="0"/>
                    <w:snapToGrid w:val="0"/>
                    <w:jc w:val="center"/>
                    <w:rPr>
                      <w:szCs w:val="21"/>
                    </w:rPr>
                  </w:pPr>
                  <w:r>
                    <w:rPr>
                      <w:rFonts w:hint="eastAsia"/>
                      <w:szCs w:val="21"/>
                    </w:rPr>
                    <w:t>员工日常生活</w:t>
                  </w:r>
                </w:p>
              </w:tc>
              <w:tc>
                <w:tcPr>
                  <w:tcW w:w="1425" w:type="dxa"/>
                  <w:tcBorders>
                    <w:tl2br w:val="nil"/>
                    <w:tr2bl w:val="nil"/>
                  </w:tcBorders>
                  <w:vAlign w:val="center"/>
                </w:tcPr>
                <w:p>
                  <w:pPr>
                    <w:adjustRightInd w:val="0"/>
                    <w:snapToGrid w:val="0"/>
                    <w:jc w:val="center"/>
                    <w:rPr>
                      <w:szCs w:val="21"/>
                    </w:rPr>
                  </w:pPr>
                  <w:r>
                    <w:rPr>
                      <w:rFonts w:hint="eastAsia"/>
                      <w:szCs w:val="21"/>
                    </w:rPr>
                    <w:t>生活垃圾</w:t>
                  </w:r>
                </w:p>
              </w:tc>
              <w:tc>
                <w:tcPr>
                  <w:tcW w:w="2146" w:type="dxa"/>
                  <w:tcBorders>
                    <w:tl2br w:val="nil"/>
                    <w:tr2bl w:val="nil"/>
                  </w:tcBorders>
                  <w:vAlign w:val="center"/>
                </w:tcPr>
                <w:p>
                  <w:pPr>
                    <w:adjustRightInd w:val="0"/>
                    <w:snapToGrid w:val="0"/>
                    <w:jc w:val="center"/>
                    <w:rPr>
                      <w:szCs w:val="21"/>
                    </w:rPr>
                  </w:pPr>
                  <w:r>
                    <w:rPr>
                      <w:rFonts w:hint="eastAsia"/>
                      <w:szCs w:val="21"/>
                    </w:rPr>
                    <w:t>员工日常生活</w:t>
                  </w:r>
                </w:p>
              </w:tc>
              <w:tc>
                <w:tcPr>
                  <w:tcW w:w="2081" w:type="dxa"/>
                  <w:tcBorders>
                    <w:tl2br w:val="nil"/>
                    <w:tr2bl w:val="nil"/>
                  </w:tcBorders>
                  <w:vAlign w:val="center"/>
                </w:tcPr>
                <w:p>
                  <w:pPr>
                    <w:adjustRightInd w:val="0"/>
                    <w:snapToGrid w:val="0"/>
                    <w:jc w:val="center"/>
                    <w:rPr>
                      <w:szCs w:val="21"/>
                    </w:rPr>
                  </w:pPr>
                  <w:r>
                    <w:rPr>
                      <w:rFonts w:hint="eastAsia"/>
                      <w:szCs w:val="21"/>
                    </w:rPr>
                    <w:t>生活垃圾</w:t>
                  </w:r>
                </w:p>
              </w:tc>
            </w:tr>
          </w:tbl>
          <w:p>
            <w:pPr>
              <w:spacing w:line="360" w:lineRule="auto"/>
              <w:ind w:firstLine="480" w:firstLineChars="200"/>
              <w:rPr>
                <w:b/>
                <w:sz w:val="24"/>
                <w:szCs w:val="24"/>
              </w:rPr>
            </w:pPr>
            <w:r>
              <w:rPr>
                <w:rFonts w:hint="eastAsia"/>
                <w:b/>
                <w:sz w:val="24"/>
                <w:szCs w:val="24"/>
              </w:rPr>
              <w:t>四、污染工序及源强分析：</w:t>
            </w:r>
          </w:p>
          <w:p>
            <w:pPr>
              <w:pStyle w:val="21"/>
              <w:spacing w:after="0" w:line="360" w:lineRule="auto"/>
              <w:ind w:firstLine="480" w:firstLineChars="200"/>
              <w:rPr>
                <w:rFonts w:hint="eastAsia" w:eastAsia="宋体"/>
                <w:sz w:val="24"/>
                <w:lang w:val="en-US" w:eastAsia="zh-CN"/>
              </w:rPr>
            </w:pPr>
            <w:r>
              <w:rPr>
                <w:rFonts w:hint="eastAsia"/>
                <w:sz w:val="24"/>
                <w:lang w:val="en-US" w:eastAsia="zh-CN"/>
              </w:rPr>
              <w:t>1、废气</w:t>
            </w:r>
          </w:p>
          <w:p>
            <w:pPr>
              <w:pStyle w:val="21"/>
              <w:spacing w:after="0" w:line="360" w:lineRule="auto"/>
              <w:ind w:firstLine="480" w:firstLineChars="200"/>
              <w:rPr>
                <w:rFonts w:hint="default" w:eastAsia="宋体"/>
                <w:b/>
                <w:bCs/>
                <w:sz w:val="24"/>
                <w:szCs w:val="22"/>
                <w:lang w:val="en-US" w:eastAsia="zh-CN"/>
              </w:rPr>
            </w:pPr>
            <w:r>
              <w:rPr>
                <w:sz w:val="24"/>
              </w:rPr>
              <w:t>运行期废气主要为</w:t>
            </w:r>
            <w:r>
              <w:rPr>
                <w:rFonts w:hint="eastAsia"/>
                <w:sz w:val="24"/>
                <w:lang w:eastAsia="zh-CN"/>
              </w:rPr>
              <w:t>投料混合工序产生的</w:t>
            </w:r>
            <w:r>
              <w:rPr>
                <w:rFonts w:hint="eastAsia"/>
                <w:sz w:val="24"/>
                <w:lang w:val="en-US" w:eastAsia="zh-CN"/>
              </w:rPr>
              <w:t>G1-1粉尘和</w:t>
            </w:r>
            <w:r>
              <w:rPr>
                <w:rFonts w:hint="eastAsia"/>
                <w:sz w:val="24"/>
                <w:lang w:eastAsia="zh-CN"/>
              </w:rPr>
              <w:t>注塑工序产生的注塑废气</w:t>
            </w:r>
            <w:r>
              <w:rPr>
                <w:rFonts w:hint="eastAsia"/>
                <w:sz w:val="24"/>
                <w:lang w:val="en-US" w:eastAsia="zh-CN"/>
              </w:rPr>
              <w:t>G1-2</w:t>
            </w:r>
            <w:r>
              <w:rPr>
                <w:rFonts w:hint="eastAsia"/>
                <w:sz w:val="24"/>
              </w:rPr>
              <w:t>。</w:t>
            </w:r>
            <w:r>
              <w:rPr>
                <w:rFonts w:hint="eastAsia"/>
                <w:sz w:val="24"/>
                <w:lang w:eastAsia="zh-CN"/>
              </w:rPr>
              <w:t>注塑工序每个月生产</w:t>
            </w:r>
            <w:r>
              <w:rPr>
                <w:rFonts w:hint="eastAsia"/>
                <w:sz w:val="24"/>
                <w:lang w:val="en-US" w:eastAsia="zh-CN"/>
              </w:rPr>
              <w:t>1次，1次生产5小时，即年注塑时长60h。</w:t>
            </w:r>
          </w:p>
          <w:p>
            <w:pPr>
              <w:pStyle w:val="21"/>
              <w:spacing w:after="0" w:line="360" w:lineRule="auto"/>
              <w:ind w:firstLine="480" w:firstLineChars="200"/>
              <w:rPr>
                <w:rFonts w:hint="eastAsia"/>
                <w:b/>
                <w:bCs/>
                <w:sz w:val="24"/>
                <w:szCs w:val="22"/>
                <w:lang w:eastAsia="zh-CN"/>
              </w:rPr>
            </w:pPr>
            <w:r>
              <w:rPr>
                <w:rFonts w:hint="eastAsia"/>
                <w:b/>
                <w:bCs/>
                <w:sz w:val="24"/>
                <w:szCs w:val="22"/>
                <w:lang w:val="en-US" w:eastAsia="zh-CN"/>
              </w:rPr>
              <w:t>（1）</w:t>
            </w:r>
            <w:r>
              <w:rPr>
                <w:rFonts w:hint="eastAsia"/>
                <w:b/>
                <w:bCs/>
                <w:sz w:val="24"/>
                <w:szCs w:val="22"/>
                <w:lang w:eastAsia="zh-CN"/>
              </w:rPr>
              <w:t>粉尘：</w:t>
            </w:r>
          </w:p>
          <w:p>
            <w:pPr>
              <w:pStyle w:val="21"/>
              <w:spacing w:after="0" w:line="360" w:lineRule="auto"/>
              <w:ind w:firstLine="480" w:firstLineChars="200"/>
              <w:rPr>
                <w:rFonts w:hint="eastAsia" w:eastAsia="宋体"/>
                <w:b/>
                <w:bCs/>
                <w:sz w:val="24"/>
                <w:szCs w:val="22"/>
                <w:lang w:eastAsia="zh-CN"/>
              </w:rPr>
            </w:pPr>
            <w:r>
              <w:rPr>
                <w:rFonts w:hint="eastAsia"/>
                <w:b w:val="0"/>
                <w:bCs w:val="0"/>
                <w:sz w:val="24"/>
                <w:szCs w:val="22"/>
                <w:lang w:eastAsia="zh-CN"/>
              </w:rPr>
              <w:t>项目注塑机上料过程，采用人工将装有原料的供料箱搬运至送料工位，经过螺旋输送系统向注塑机供料，输送系统为全密封。在人工向料槽倒料过程将有少量粉尘产生，项目原料为粉状和粒料，类比同类项目，粉尘产生量约为原料用量的</w:t>
            </w:r>
            <w:r>
              <w:rPr>
                <w:rFonts w:hint="eastAsia"/>
                <w:b w:val="0"/>
                <w:bCs w:val="0"/>
                <w:sz w:val="24"/>
                <w:szCs w:val="22"/>
                <w:lang w:val="en-US" w:eastAsia="zh-CN"/>
              </w:rPr>
              <w:t>1%</w:t>
            </w:r>
            <w:r>
              <w:rPr>
                <w:rFonts w:hint="eastAsia"/>
                <w:b w:val="0"/>
                <w:bCs w:val="0"/>
                <w:sz w:val="24"/>
                <w:szCs w:val="22"/>
                <w:lang w:eastAsia="zh-CN"/>
              </w:rPr>
              <w:t>，则项目上料粉尘产生量为0.0</w:t>
            </w:r>
            <w:r>
              <w:rPr>
                <w:rFonts w:hint="eastAsia"/>
                <w:b w:val="0"/>
                <w:bCs w:val="0"/>
                <w:sz w:val="24"/>
                <w:szCs w:val="22"/>
                <w:lang w:val="en-US" w:eastAsia="zh-CN"/>
              </w:rPr>
              <w:t>11</w:t>
            </w:r>
            <w:r>
              <w:rPr>
                <w:rFonts w:hint="eastAsia"/>
                <w:b w:val="0"/>
                <w:bCs w:val="0"/>
                <w:sz w:val="24"/>
                <w:szCs w:val="22"/>
                <w:lang w:eastAsia="zh-CN"/>
              </w:rPr>
              <w:t>t/a。由于拟建项目上料工序每次投料</w:t>
            </w:r>
            <w:r>
              <w:rPr>
                <w:rFonts w:hint="eastAsia"/>
                <w:b w:val="0"/>
                <w:bCs w:val="0"/>
                <w:sz w:val="24"/>
                <w:szCs w:val="22"/>
                <w:lang w:val="en-US" w:eastAsia="zh-CN"/>
              </w:rPr>
              <w:t>3h，则年投料时长为36h。</w:t>
            </w:r>
            <w:r>
              <w:rPr>
                <w:rFonts w:hint="eastAsia"/>
                <w:b w:val="0"/>
                <w:bCs w:val="0"/>
                <w:sz w:val="24"/>
                <w:szCs w:val="22"/>
                <w:lang w:eastAsia="zh-CN"/>
              </w:rPr>
              <w:t>产生的粉尘经半密闭的集气罩（收集效率以</w:t>
            </w:r>
            <w:r>
              <w:rPr>
                <w:rFonts w:hint="eastAsia"/>
                <w:b w:val="0"/>
                <w:bCs w:val="0"/>
                <w:sz w:val="24"/>
                <w:szCs w:val="22"/>
                <w:lang w:val="en-US" w:eastAsia="zh-CN"/>
              </w:rPr>
              <w:t>90%</w:t>
            </w:r>
            <w:r>
              <w:rPr>
                <w:rFonts w:hint="eastAsia"/>
                <w:b w:val="0"/>
                <w:bCs w:val="0"/>
                <w:sz w:val="24"/>
                <w:szCs w:val="22"/>
                <w:lang w:eastAsia="zh-CN"/>
              </w:rPr>
              <w:t>）收集至布袋除尘器处理（处理效率以</w:t>
            </w:r>
            <w:r>
              <w:rPr>
                <w:rFonts w:hint="eastAsia"/>
                <w:b w:val="0"/>
                <w:bCs w:val="0"/>
                <w:sz w:val="24"/>
                <w:szCs w:val="22"/>
                <w:lang w:val="en-US" w:eastAsia="zh-CN"/>
              </w:rPr>
              <w:t>95%计</w:t>
            </w:r>
            <w:r>
              <w:rPr>
                <w:rFonts w:hint="eastAsia"/>
                <w:b w:val="0"/>
                <w:bCs w:val="0"/>
                <w:sz w:val="24"/>
                <w:szCs w:val="22"/>
                <w:lang w:eastAsia="zh-CN"/>
              </w:rPr>
              <w:t>）后经</w:t>
            </w:r>
            <w:r>
              <w:rPr>
                <w:rFonts w:hint="eastAsia"/>
                <w:b w:val="0"/>
                <w:bCs w:val="0"/>
                <w:sz w:val="24"/>
                <w:szCs w:val="22"/>
                <w:lang w:val="en-US" w:eastAsia="zh-CN"/>
              </w:rPr>
              <w:t>15m排气筒DA001排放；配套风机风量为4000</w:t>
            </w:r>
            <w:r>
              <w:rPr>
                <w:rFonts w:hint="eastAsia"/>
                <w:sz w:val="24"/>
              </w:rPr>
              <w:t>m</w:t>
            </w:r>
            <w:r>
              <w:rPr>
                <w:rFonts w:hint="eastAsia"/>
                <w:sz w:val="24"/>
                <w:vertAlign w:val="superscript"/>
                <w:lang w:val="en-US" w:eastAsia="zh-CN"/>
              </w:rPr>
              <w:t>3</w:t>
            </w:r>
            <w:r>
              <w:rPr>
                <w:rFonts w:hint="eastAsia"/>
                <w:sz w:val="24"/>
              </w:rPr>
              <w:t>/h</w:t>
            </w:r>
            <w:r>
              <w:rPr>
                <w:rFonts w:hint="eastAsia"/>
                <w:sz w:val="24"/>
                <w:lang w:eastAsia="zh-CN"/>
              </w:rPr>
              <w:t>。</w:t>
            </w:r>
          </w:p>
          <w:p>
            <w:pPr>
              <w:pStyle w:val="21"/>
              <w:spacing w:after="0" w:line="360" w:lineRule="auto"/>
              <w:ind w:firstLine="480" w:firstLineChars="200"/>
              <w:rPr>
                <w:b/>
                <w:bCs/>
                <w:sz w:val="24"/>
                <w:szCs w:val="22"/>
              </w:rPr>
            </w:pPr>
            <w:r>
              <w:rPr>
                <w:rFonts w:hint="eastAsia"/>
                <w:b/>
                <w:bCs/>
                <w:sz w:val="24"/>
                <w:szCs w:val="22"/>
                <w:lang w:eastAsia="zh-CN"/>
              </w:rPr>
              <w:t>（</w:t>
            </w:r>
            <w:r>
              <w:rPr>
                <w:rFonts w:hint="eastAsia"/>
                <w:b/>
                <w:bCs/>
                <w:sz w:val="24"/>
                <w:szCs w:val="22"/>
                <w:lang w:val="en-US" w:eastAsia="zh-CN"/>
              </w:rPr>
              <w:t>2</w:t>
            </w:r>
            <w:r>
              <w:rPr>
                <w:rFonts w:hint="eastAsia"/>
                <w:b/>
                <w:bCs/>
                <w:sz w:val="24"/>
                <w:szCs w:val="22"/>
                <w:lang w:eastAsia="zh-CN"/>
              </w:rPr>
              <w:t>）注塑废气</w:t>
            </w:r>
            <w:r>
              <w:rPr>
                <w:rFonts w:hint="eastAsia"/>
                <w:b/>
                <w:bCs/>
                <w:sz w:val="24"/>
                <w:szCs w:val="22"/>
              </w:rPr>
              <w:t>：</w:t>
            </w:r>
          </w:p>
          <w:p>
            <w:pPr>
              <w:pStyle w:val="21"/>
              <w:spacing w:after="0" w:line="360" w:lineRule="auto"/>
              <w:ind w:firstLine="480" w:firstLineChars="200"/>
              <w:rPr>
                <w:rFonts w:hint="default" w:eastAsia="宋体"/>
                <w:sz w:val="24"/>
                <w:lang w:val="en-US" w:eastAsia="zh-CN"/>
              </w:rPr>
            </w:pPr>
            <w:r>
              <w:rPr>
                <w:rFonts w:hint="eastAsia"/>
                <w:sz w:val="24"/>
              </w:rPr>
              <w:t>项目使用PVC</w:t>
            </w:r>
            <w:r>
              <w:rPr>
                <w:rFonts w:hint="eastAsia"/>
                <w:sz w:val="24"/>
                <w:lang w:eastAsia="zh-CN"/>
              </w:rPr>
              <w:t>、</w:t>
            </w:r>
            <w:r>
              <w:rPr>
                <w:rFonts w:hint="eastAsia"/>
                <w:sz w:val="24"/>
                <w:lang w:val="en-US" w:eastAsia="zh-CN"/>
              </w:rPr>
              <w:t>TPVC及色母粒</w:t>
            </w:r>
            <w:r>
              <w:rPr>
                <w:rFonts w:hint="eastAsia"/>
                <w:sz w:val="24"/>
              </w:rPr>
              <w:t>作为原料，生产过程中均需要求对物料进行加热熔融，项目生产过程温度为170</w:t>
            </w:r>
            <w:r>
              <w:rPr>
                <w:rFonts w:hint="eastAsia"/>
                <w:sz w:val="24"/>
                <w:lang w:eastAsia="zh-CN"/>
              </w:rPr>
              <w:t>℃</w:t>
            </w:r>
            <w:r>
              <w:rPr>
                <w:rFonts w:hint="eastAsia"/>
                <w:sz w:val="24"/>
              </w:rPr>
              <w:t>-190</w:t>
            </w:r>
            <w:r>
              <w:rPr>
                <w:rFonts w:hint="eastAsia"/>
                <w:sz w:val="24"/>
                <w:lang w:eastAsia="zh-CN"/>
              </w:rPr>
              <w:t>℃</w:t>
            </w:r>
            <w:r>
              <w:rPr>
                <w:rFonts w:hint="eastAsia"/>
                <w:sz w:val="24"/>
              </w:rPr>
              <w:t>，</w:t>
            </w:r>
            <w:r>
              <w:rPr>
                <w:rFonts w:hint="eastAsia"/>
                <w:sz w:val="24"/>
                <w:lang w:eastAsia="zh-CN"/>
              </w:rPr>
              <w:t>一般</w:t>
            </w:r>
            <w:r>
              <w:rPr>
                <w:rFonts w:hint="eastAsia"/>
                <w:sz w:val="24"/>
              </w:rPr>
              <w:t>温度为180</w:t>
            </w:r>
            <w:r>
              <w:rPr>
                <w:rFonts w:hint="eastAsia"/>
                <w:sz w:val="24"/>
                <w:lang w:eastAsia="zh-CN"/>
              </w:rPr>
              <w:t>℃</w:t>
            </w:r>
            <w:r>
              <w:rPr>
                <w:rFonts w:hint="eastAsia"/>
                <w:sz w:val="24"/>
              </w:rPr>
              <w:t>，冬季外界温度较低，加热致190</w:t>
            </w:r>
            <w:r>
              <w:rPr>
                <w:rFonts w:hint="eastAsia"/>
                <w:sz w:val="24"/>
                <w:lang w:eastAsia="zh-CN"/>
              </w:rPr>
              <w:t>℃</w:t>
            </w:r>
            <w:r>
              <w:rPr>
                <w:rFonts w:hint="eastAsia"/>
                <w:sz w:val="24"/>
              </w:rPr>
              <w:t>。PVC</w:t>
            </w:r>
            <w:r>
              <w:rPr>
                <w:rFonts w:hint="eastAsia"/>
                <w:sz w:val="24"/>
                <w:lang w:eastAsia="zh-CN"/>
              </w:rPr>
              <w:t>和</w:t>
            </w:r>
            <w:r>
              <w:rPr>
                <w:rFonts w:hint="eastAsia"/>
                <w:sz w:val="24"/>
                <w:lang w:val="en-US" w:eastAsia="zh-CN"/>
              </w:rPr>
              <w:t>TPVC</w:t>
            </w:r>
            <w:r>
              <w:rPr>
                <w:rFonts w:hint="eastAsia"/>
                <w:sz w:val="24"/>
              </w:rPr>
              <w:t>的分解温度较高在200</w:t>
            </w:r>
            <w:r>
              <w:rPr>
                <w:rFonts w:hint="eastAsia"/>
                <w:sz w:val="24"/>
                <w:lang w:eastAsia="zh-CN"/>
              </w:rPr>
              <w:t>℃</w:t>
            </w:r>
            <w:r>
              <w:rPr>
                <w:rFonts w:hint="eastAsia"/>
                <w:sz w:val="24"/>
              </w:rPr>
              <w:t>左右开始反应，280</w:t>
            </w:r>
            <w:r>
              <w:rPr>
                <w:rFonts w:hint="eastAsia"/>
                <w:sz w:val="24"/>
                <w:lang w:eastAsia="zh-CN"/>
              </w:rPr>
              <w:t>℃</w:t>
            </w:r>
            <w:r>
              <w:rPr>
                <w:rFonts w:hint="eastAsia"/>
                <w:sz w:val="24"/>
              </w:rPr>
              <w:t>时反应才剧烈，</w:t>
            </w:r>
            <w:r>
              <w:rPr>
                <w:rFonts w:hint="eastAsia"/>
                <w:sz w:val="24"/>
                <w:lang w:eastAsia="zh-CN"/>
              </w:rPr>
              <w:t>项目</w:t>
            </w:r>
            <w:r>
              <w:rPr>
                <w:rFonts w:hint="eastAsia"/>
                <w:sz w:val="24"/>
              </w:rPr>
              <w:t>加热温度达不到PVC</w:t>
            </w:r>
            <w:r>
              <w:rPr>
                <w:rFonts w:hint="eastAsia"/>
                <w:sz w:val="24"/>
                <w:lang w:eastAsia="zh-CN"/>
              </w:rPr>
              <w:t>和</w:t>
            </w:r>
            <w:r>
              <w:rPr>
                <w:rFonts w:hint="eastAsia"/>
                <w:sz w:val="24"/>
                <w:lang w:val="en-US" w:eastAsia="zh-CN"/>
              </w:rPr>
              <w:t>TPVC的</w:t>
            </w:r>
            <w:r>
              <w:rPr>
                <w:rFonts w:hint="eastAsia"/>
                <w:sz w:val="24"/>
              </w:rPr>
              <w:t>分解分度，但是有少量游离氯化氢和游离氯乙烯等释放，以非甲烷总烃进行计量和评价</w:t>
            </w:r>
            <w:r>
              <w:rPr>
                <w:rFonts w:hint="eastAsia"/>
                <w:sz w:val="24"/>
                <w:lang w:eastAsia="zh-CN"/>
              </w:rPr>
              <w:t>，对氯乙烯进行定性评价</w:t>
            </w:r>
            <w:r>
              <w:rPr>
                <w:rFonts w:hint="eastAsia"/>
                <w:sz w:val="24"/>
              </w:rPr>
              <w:t>。</w:t>
            </w:r>
            <w:r>
              <w:rPr>
                <w:rFonts w:hint="eastAsia"/>
                <w:sz w:val="24"/>
                <w:lang w:eastAsia="zh-CN"/>
              </w:rPr>
              <w:t>根据建设单位提供资料，注塑工序年工作时间为</w:t>
            </w:r>
            <w:r>
              <w:rPr>
                <w:rFonts w:hint="eastAsia"/>
                <w:sz w:val="24"/>
                <w:lang w:val="en-US" w:eastAsia="zh-CN"/>
              </w:rPr>
              <w:t>60h。</w:t>
            </w:r>
          </w:p>
          <w:p>
            <w:pPr>
              <w:pStyle w:val="21"/>
              <w:spacing w:after="0" w:line="360" w:lineRule="auto"/>
              <w:ind w:firstLine="480" w:firstLineChars="200"/>
              <w:rPr>
                <w:rFonts w:hint="eastAsia" w:eastAsia="宋体"/>
                <w:sz w:val="24"/>
                <w:lang w:eastAsia="zh-CN"/>
              </w:rPr>
            </w:pPr>
            <w:r>
              <w:rPr>
                <w:rFonts w:hint="eastAsia"/>
                <w:sz w:val="24"/>
                <w:lang w:eastAsia="zh-CN"/>
              </w:rPr>
              <w:t>①非甲烷总烃</w:t>
            </w:r>
          </w:p>
          <w:p>
            <w:pPr>
              <w:pStyle w:val="21"/>
              <w:spacing w:after="0" w:line="360" w:lineRule="auto"/>
              <w:ind w:firstLine="480" w:firstLineChars="200"/>
              <w:rPr>
                <w:rFonts w:hint="eastAsia"/>
                <w:sz w:val="24"/>
              </w:rPr>
            </w:pPr>
            <w:r>
              <w:rPr>
                <w:rFonts w:hint="eastAsia"/>
                <w:sz w:val="24"/>
              </w:rPr>
              <w:t>产污系数采用《合成树脂工业污染物排放标准》(GB31572-2015) 表</w:t>
            </w:r>
            <w:r>
              <w:rPr>
                <w:rFonts w:hint="eastAsia"/>
                <w:sz w:val="24"/>
                <w:lang w:val="en-US" w:eastAsia="zh-CN"/>
              </w:rPr>
              <w:t>5</w:t>
            </w:r>
            <w:r>
              <w:rPr>
                <w:rFonts w:hint="eastAsia"/>
                <w:sz w:val="24"/>
              </w:rPr>
              <w:t>中推荐的排放系数，非甲烷总烃的排放系数为0.</w:t>
            </w:r>
            <w:r>
              <w:rPr>
                <w:rFonts w:hint="eastAsia"/>
                <w:sz w:val="24"/>
                <w:lang w:val="en-US" w:eastAsia="zh-CN"/>
              </w:rPr>
              <w:t>3</w:t>
            </w:r>
            <w:r>
              <w:rPr>
                <w:rFonts w:hint="eastAsia"/>
                <w:sz w:val="24"/>
              </w:rPr>
              <w:t>kg/t原料，拟建项目PVC</w:t>
            </w:r>
            <w:r>
              <w:rPr>
                <w:rFonts w:hint="eastAsia"/>
                <w:sz w:val="24"/>
                <w:lang w:eastAsia="zh-CN"/>
              </w:rPr>
              <w:t>、</w:t>
            </w:r>
            <w:r>
              <w:rPr>
                <w:rFonts w:hint="eastAsia"/>
                <w:sz w:val="24"/>
                <w:lang w:val="en-US" w:eastAsia="zh-CN"/>
              </w:rPr>
              <w:t>TPVC和色母粒</w:t>
            </w:r>
            <w:r>
              <w:rPr>
                <w:rFonts w:hint="eastAsia"/>
                <w:sz w:val="24"/>
              </w:rPr>
              <w:t>年使用量</w:t>
            </w:r>
            <w:r>
              <w:rPr>
                <w:rFonts w:hint="eastAsia"/>
                <w:sz w:val="24"/>
                <w:lang w:eastAsia="zh-CN"/>
              </w:rPr>
              <w:t>共</w:t>
            </w:r>
            <w:r>
              <w:rPr>
                <w:rFonts w:hint="eastAsia"/>
                <w:sz w:val="24"/>
                <w:lang w:val="en-US" w:eastAsia="zh-CN"/>
              </w:rPr>
              <w:t>1.05</w:t>
            </w:r>
            <w:r>
              <w:rPr>
                <w:rFonts w:hint="eastAsia"/>
                <w:sz w:val="24"/>
              </w:rPr>
              <w:t>t/a</w:t>
            </w:r>
            <w:r>
              <w:rPr>
                <w:rFonts w:hint="eastAsia"/>
                <w:sz w:val="24"/>
                <w:lang w:eastAsia="zh-CN"/>
              </w:rPr>
              <w:t>，</w:t>
            </w:r>
            <w:r>
              <w:rPr>
                <w:rFonts w:hint="eastAsia"/>
                <w:sz w:val="24"/>
              </w:rPr>
              <w:t>则非甲烷总烃年产生量约0.</w:t>
            </w:r>
            <w:r>
              <w:rPr>
                <w:rFonts w:hint="eastAsia"/>
                <w:sz w:val="24"/>
                <w:lang w:val="en-US" w:eastAsia="zh-CN"/>
              </w:rPr>
              <w:t>31kg</w:t>
            </w:r>
            <w:r>
              <w:rPr>
                <w:rFonts w:hint="eastAsia"/>
                <w:sz w:val="24"/>
              </w:rPr>
              <w:t>/a。拟建项目在5台注塑机上方均安装</w:t>
            </w:r>
            <w:r>
              <w:rPr>
                <w:rFonts w:hint="eastAsia"/>
                <w:sz w:val="24"/>
                <w:lang w:eastAsia="zh-CN"/>
              </w:rPr>
              <w:t>半密闭的</w:t>
            </w:r>
            <w:r>
              <w:rPr>
                <w:rFonts w:hint="eastAsia"/>
                <w:sz w:val="24"/>
              </w:rPr>
              <w:t>集气罩，生产过程中产生的废气经集气罩(捕集率</w:t>
            </w:r>
            <w:r>
              <w:rPr>
                <w:rFonts w:hint="eastAsia"/>
                <w:sz w:val="24"/>
                <w:lang w:val="en-US" w:eastAsia="zh-CN"/>
              </w:rPr>
              <w:t>8</w:t>
            </w:r>
            <w:r>
              <w:rPr>
                <w:rFonts w:hint="eastAsia"/>
                <w:sz w:val="24"/>
              </w:rPr>
              <w:t>0%)收集，经风机(风量</w:t>
            </w:r>
            <w:r>
              <w:rPr>
                <w:rFonts w:hint="eastAsia"/>
                <w:sz w:val="24"/>
                <w:lang w:val="en-US" w:eastAsia="zh-CN"/>
              </w:rPr>
              <w:t>1000</w:t>
            </w:r>
            <w:r>
              <w:rPr>
                <w:rFonts w:hint="eastAsia"/>
                <w:sz w:val="24"/>
              </w:rPr>
              <w:t>m</w:t>
            </w:r>
            <w:r>
              <w:rPr>
                <w:rFonts w:hint="eastAsia"/>
                <w:sz w:val="24"/>
                <w:vertAlign w:val="superscript"/>
                <w:lang w:val="en-US" w:eastAsia="zh-CN"/>
              </w:rPr>
              <w:t>3</w:t>
            </w:r>
            <w:r>
              <w:rPr>
                <w:rFonts w:hint="eastAsia"/>
                <w:sz w:val="24"/>
              </w:rPr>
              <w:t>/h)通过管道收集进入一根总管道然后经</w:t>
            </w:r>
            <w:r>
              <w:rPr>
                <w:rFonts w:hint="eastAsia"/>
                <w:sz w:val="24"/>
                <w:lang w:eastAsia="zh-CN"/>
              </w:rPr>
              <w:t>“二级</w:t>
            </w:r>
            <w:r>
              <w:rPr>
                <w:rFonts w:hint="eastAsia"/>
                <w:sz w:val="24"/>
              </w:rPr>
              <w:t>活性炭装置</w:t>
            </w:r>
            <w:r>
              <w:rPr>
                <w:rFonts w:hint="eastAsia"/>
                <w:sz w:val="24"/>
                <w:lang w:eastAsia="zh-CN"/>
              </w:rPr>
              <w:t>”</w:t>
            </w:r>
            <w:r>
              <w:rPr>
                <w:rFonts w:hint="eastAsia"/>
                <w:sz w:val="24"/>
              </w:rPr>
              <w:t>吸附处理后通过15m高排气筒</w:t>
            </w:r>
            <w:r>
              <w:rPr>
                <w:rFonts w:hint="eastAsia"/>
                <w:sz w:val="24"/>
                <w:lang w:val="en-US" w:eastAsia="zh-CN"/>
              </w:rPr>
              <w:t>DA001</w:t>
            </w:r>
            <w:r>
              <w:rPr>
                <w:rFonts w:hint="eastAsia"/>
                <w:sz w:val="24"/>
              </w:rPr>
              <w:t>排放。</w:t>
            </w:r>
          </w:p>
          <w:p>
            <w:pPr>
              <w:pStyle w:val="21"/>
              <w:spacing w:after="0" w:line="360" w:lineRule="auto"/>
              <w:ind w:firstLine="480" w:firstLineChars="200"/>
              <w:rPr>
                <w:rFonts w:hint="eastAsia" w:eastAsia="宋体"/>
                <w:sz w:val="24"/>
                <w:lang w:eastAsia="zh-CN"/>
              </w:rPr>
            </w:pPr>
            <w:r>
              <w:rPr>
                <w:rFonts w:hint="eastAsia"/>
                <w:sz w:val="24"/>
                <w:lang w:eastAsia="zh-CN"/>
              </w:rPr>
              <w:t>②氯乙烯</w:t>
            </w:r>
          </w:p>
          <w:p>
            <w:pPr>
              <w:spacing w:line="360" w:lineRule="auto"/>
              <w:ind w:firstLine="480" w:firstLineChars="200"/>
              <w:rPr>
                <w:rFonts w:hint="default" w:ascii="Times New Roman" w:hAnsi="Times New Roman" w:eastAsia="宋体" w:cs="Times New Roman"/>
                <w:sz w:val="24"/>
                <w:szCs w:val="24"/>
              </w:rPr>
            </w:pPr>
            <w:r>
              <w:rPr>
                <w:rFonts w:hint="default" w:ascii="Times New Roman" w:hAnsi="Times New Roman" w:eastAsia="宋体" w:cs="Times New Roman"/>
                <w:sz w:val="24"/>
                <w:szCs w:val="24"/>
              </w:rPr>
              <w:t>生产过程中均需要求对物料进行加热熔融，原辅料在熔融过程PVC</w:t>
            </w:r>
            <w:r>
              <w:rPr>
                <w:rFonts w:hint="eastAsia" w:cs="Times New Roman"/>
                <w:sz w:val="24"/>
                <w:szCs w:val="24"/>
                <w:lang w:eastAsia="zh-CN"/>
              </w:rPr>
              <w:t>、</w:t>
            </w:r>
            <w:r>
              <w:rPr>
                <w:rFonts w:hint="eastAsia" w:cs="Times New Roman"/>
                <w:sz w:val="24"/>
                <w:szCs w:val="24"/>
                <w:lang w:val="en-US" w:eastAsia="zh-CN"/>
              </w:rPr>
              <w:t>TPVC</w:t>
            </w:r>
            <w:r>
              <w:rPr>
                <w:rFonts w:hint="default" w:ascii="Times New Roman" w:hAnsi="Times New Roman" w:eastAsia="宋体" w:cs="Times New Roman"/>
                <w:sz w:val="24"/>
                <w:szCs w:val="24"/>
              </w:rPr>
              <w:t>会产生有极少量的HCl废气。</w:t>
            </w:r>
          </w:p>
          <w:p>
            <w:pPr>
              <w:spacing w:line="360" w:lineRule="auto"/>
              <w:ind w:firstLine="480" w:firstLineChars="200"/>
              <w:rPr>
                <w:rFonts w:hint="default" w:ascii="Times New Roman" w:hAnsi="Times New Roman" w:eastAsia="宋体" w:cs="Times New Roman"/>
                <w:sz w:val="24"/>
                <w:szCs w:val="24"/>
              </w:rPr>
            </w:pPr>
            <w:r>
              <w:rPr>
                <w:rFonts w:hint="default" w:ascii="Times New Roman" w:hAnsi="Times New Roman" w:eastAsia="宋体" w:cs="Times New Roman"/>
                <w:sz w:val="24"/>
                <w:szCs w:val="24"/>
              </w:rPr>
              <w:t>本项目PVC</w:t>
            </w:r>
            <w:r>
              <w:rPr>
                <w:rFonts w:hint="eastAsia" w:ascii="Times New Roman" w:hAnsi="Times New Roman" w:eastAsia="宋体" w:cs="Times New Roman"/>
                <w:sz w:val="24"/>
                <w:szCs w:val="24"/>
                <w:lang w:eastAsia="zh-CN"/>
              </w:rPr>
              <w:t>、</w:t>
            </w:r>
            <w:r>
              <w:rPr>
                <w:rFonts w:hint="eastAsia" w:ascii="Times New Roman" w:hAnsi="Times New Roman" w:eastAsia="宋体" w:cs="Times New Roman"/>
                <w:sz w:val="24"/>
                <w:szCs w:val="24"/>
                <w:lang w:val="en-US" w:eastAsia="zh-CN"/>
              </w:rPr>
              <w:t>TPVC</w:t>
            </w:r>
            <w:r>
              <w:rPr>
                <w:rFonts w:hint="eastAsia" w:cs="Times New Roman"/>
                <w:sz w:val="24"/>
                <w:szCs w:val="24"/>
                <w:lang w:val="en-US" w:eastAsia="zh-CN"/>
              </w:rPr>
              <w:t>、色母粒</w:t>
            </w:r>
            <w:r>
              <w:rPr>
                <w:rFonts w:hint="default" w:ascii="Times New Roman" w:hAnsi="Times New Roman" w:eastAsia="宋体" w:cs="Times New Roman"/>
                <w:sz w:val="24"/>
                <w:szCs w:val="24"/>
              </w:rPr>
              <w:t>熔融阶段加热停留时间极短，加热温度为170~190</w:t>
            </w:r>
            <w:r>
              <w:rPr>
                <w:rFonts w:hint="eastAsia" w:ascii="Times New Roman" w:hAnsi="Times New Roman" w:eastAsia="宋体" w:cs="Times New Roman"/>
                <w:sz w:val="24"/>
                <w:szCs w:val="24"/>
                <w:lang w:eastAsia="zh-CN"/>
              </w:rPr>
              <w:t>℃</w:t>
            </w:r>
            <w:r>
              <w:rPr>
                <w:rFonts w:hint="default" w:ascii="Times New Roman" w:hAnsi="Times New Roman" w:eastAsia="宋体" w:cs="Times New Roman"/>
                <w:sz w:val="24"/>
                <w:szCs w:val="24"/>
              </w:rPr>
              <w:t>。根据《铜铁》2003年7月第7期文献一《加热方式与载气性质对废气PVC热解脱氯的影响》，聚氯乙烯的热解温度较高在200°C左右开始反应，280</w:t>
            </w:r>
            <w:r>
              <w:rPr>
                <w:rFonts w:hint="eastAsia" w:ascii="Times New Roman" w:hAnsi="Times New Roman" w:eastAsia="宋体" w:cs="Times New Roman"/>
                <w:sz w:val="24"/>
                <w:szCs w:val="24"/>
                <w:lang w:eastAsia="zh-CN"/>
              </w:rPr>
              <w:t>℃</w:t>
            </w:r>
            <w:r>
              <w:rPr>
                <w:rFonts w:hint="default" w:ascii="Times New Roman" w:hAnsi="Times New Roman" w:eastAsia="宋体" w:cs="Times New Roman"/>
                <w:sz w:val="24"/>
                <w:szCs w:val="24"/>
              </w:rPr>
              <w:t>时反应才剧烈进行。同时根据《高分子学报》2005年10月第5期文献一《PVC燃烧时HCI的释放规律》，表明在加热时间5min (温度200°C左右)内释放出HCl的量很少。本项目年消耗PVC</w:t>
            </w:r>
            <w:r>
              <w:rPr>
                <w:rFonts w:hint="eastAsia" w:ascii="Times New Roman" w:hAnsi="Times New Roman" w:eastAsia="宋体" w:cs="Times New Roman"/>
                <w:sz w:val="24"/>
                <w:szCs w:val="24"/>
                <w:lang w:eastAsia="zh-CN"/>
              </w:rPr>
              <w:t>、</w:t>
            </w:r>
            <w:r>
              <w:rPr>
                <w:rFonts w:hint="eastAsia" w:ascii="Times New Roman" w:hAnsi="Times New Roman" w:eastAsia="宋体" w:cs="Times New Roman"/>
                <w:sz w:val="24"/>
                <w:szCs w:val="24"/>
                <w:lang w:val="en-US" w:eastAsia="zh-CN"/>
              </w:rPr>
              <w:t>TPVC</w:t>
            </w:r>
            <w:r>
              <w:rPr>
                <w:rFonts w:hint="eastAsia" w:cs="Times New Roman"/>
                <w:sz w:val="24"/>
                <w:szCs w:val="24"/>
                <w:lang w:val="en-US" w:eastAsia="zh-CN"/>
              </w:rPr>
              <w:t>、色母粒</w:t>
            </w:r>
            <w:r>
              <w:rPr>
                <w:rFonts w:hint="eastAsia" w:ascii="Times New Roman" w:hAnsi="Times New Roman" w:eastAsia="宋体" w:cs="Times New Roman"/>
                <w:sz w:val="24"/>
                <w:szCs w:val="24"/>
                <w:lang w:val="en-US" w:eastAsia="zh-CN"/>
              </w:rPr>
              <w:t>共计1</w:t>
            </w:r>
            <w:r>
              <w:rPr>
                <w:rFonts w:hint="eastAsia" w:cs="Times New Roman"/>
                <w:sz w:val="24"/>
                <w:szCs w:val="24"/>
                <w:lang w:val="en-US" w:eastAsia="zh-CN"/>
              </w:rPr>
              <w:t>.05</w:t>
            </w:r>
            <w:r>
              <w:rPr>
                <w:rFonts w:hint="default" w:ascii="Times New Roman" w:hAnsi="Times New Roman" w:eastAsia="宋体" w:cs="Times New Roman"/>
                <w:sz w:val="24"/>
                <w:szCs w:val="24"/>
              </w:rPr>
              <w:t>t</w:t>
            </w:r>
            <w:r>
              <w:rPr>
                <w:rFonts w:hint="eastAsia" w:ascii="Times New Roman" w:hAnsi="Times New Roman" w:eastAsia="宋体" w:cs="Times New Roman"/>
                <w:sz w:val="24"/>
                <w:szCs w:val="24"/>
                <w:lang w:eastAsia="zh-CN"/>
              </w:rPr>
              <w:t>，</w:t>
            </w:r>
            <w:r>
              <w:rPr>
                <w:rFonts w:hint="default" w:ascii="Times New Roman" w:hAnsi="Times New Roman" w:eastAsia="宋体" w:cs="Times New Roman"/>
                <w:sz w:val="24"/>
                <w:szCs w:val="24"/>
              </w:rPr>
              <w:t>注塑机上方及注射口上方设置集气罩，收集后与非甲烷总烃经同</w:t>
            </w:r>
            <w:r>
              <w:rPr>
                <w:rFonts w:hint="eastAsia" w:ascii="Times New Roman" w:hAnsi="Times New Roman" w:eastAsia="宋体" w:cs="Times New Roman"/>
                <w:sz w:val="24"/>
                <w:szCs w:val="24"/>
                <w:lang w:eastAsia="zh-CN"/>
              </w:rPr>
              <w:t>一</w:t>
            </w:r>
            <w:r>
              <w:rPr>
                <w:rFonts w:hint="default" w:ascii="Times New Roman" w:hAnsi="Times New Roman" w:eastAsia="宋体" w:cs="Times New Roman"/>
                <w:sz w:val="24"/>
                <w:szCs w:val="24"/>
              </w:rPr>
              <w:t>根排气筒排放，对环境空气影响很小。</w:t>
            </w:r>
          </w:p>
          <w:p>
            <w:pPr>
              <w:pStyle w:val="21"/>
              <w:spacing w:after="0" w:line="360" w:lineRule="auto"/>
              <w:ind w:firstLine="480" w:firstLineChars="200"/>
              <w:rPr>
                <w:sz w:val="24"/>
              </w:rPr>
            </w:pPr>
            <w:r>
              <w:rPr>
                <w:rFonts w:hint="eastAsia"/>
                <w:sz w:val="24"/>
              </w:rPr>
              <w:t>本项目废气产生及排放情况见下表。</w:t>
            </w:r>
          </w:p>
          <w:p>
            <w:pPr>
              <w:pStyle w:val="21"/>
              <w:spacing w:after="0" w:line="360" w:lineRule="auto"/>
              <w:ind w:firstLine="480" w:firstLineChars="200"/>
              <w:rPr>
                <w:sz w:val="24"/>
              </w:rPr>
            </w:pPr>
          </w:p>
          <w:p>
            <w:pPr>
              <w:pStyle w:val="21"/>
              <w:spacing w:after="0" w:line="360" w:lineRule="auto"/>
              <w:ind w:firstLine="480" w:firstLineChars="200"/>
              <w:rPr>
                <w:sz w:val="24"/>
              </w:rPr>
            </w:pPr>
          </w:p>
          <w:p>
            <w:pPr>
              <w:pStyle w:val="21"/>
              <w:spacing w:after="0" w:line="360" w:lineRule="auto"/>
              <w:ind w:firstLine="480" w:firstLineChars="200"/>
              <w:rPr>
                <w:sz w:val="24"/>
              </w:rPr>
            </w:pPr>
          </w:p>
          <w:p>
            <w:pPr>
              <w:pStyle w:val="21"/>
              <w:spacing w:after="0" w:line="360" w:lineRule="auto"/>
              <w:ind w:firstLine="480" w:firstLineChars="200"/>
              <w:rPr>
                <w:sz w:val="24"/>
              </w:rPr>
            </w:pPr>
          </w:p>
          <w:p>
            <w:pPr>
              <w:spacing w:line="360" w:lineRule="auto"/>
              <w:rPr>
                <w:sz w:val="24"/>
                <w:szCs w:val="24"/>
              </w:rPr>
            </w:pPr>
          </w:p>
        </w:tc>
      </w:tr>
    </w:tbl>
    <w:p>
      <w:pPr>
        <w:pStyle w:val="312"/>
        <w:rPr>
          <w:rFonts w:ascii="Times New Roman" w:hAnsi="Times New Roman"/>
        </w:rPr>
        <w:sectPr>
          <w:pgSz w:w="11906" w:h="16838"/>
          <w:pgMar w:top="1440" w:right="1797" w:bottom="1440" w:left="1797" w:header="851" w:footer="992" w:gutter="0"/>
          <w:pgBorders>
            <w:top w:val="none" w:sz="0" w:space="0"/>
            <w:left w:val="none" w:sz="0" w:space="0"/>
            <w:bottom w:val="none" w:sz="0" w:space="0"/>
            <w:right w:val="none" w:sz="0" w:space="0"/>
          </w:pgBorders>
          <w:cols w:space="720" w:num="1"/>
          <w:docGrid w:type="linesAndChars" w:linePitch="312" w:charSpace="0"/>
        </w:sectPr>
      </w:pPr>
    </w:p>
    <w:tbl>
      <w:tblPr>
        <w:tblStyle w:val="57"/>
        <w:tblW w:w="0" w:type="auto"/>
        <w:tblInd w:w="0" w:type="dxa"/>
        <w:tblBorders>
          <w:top w:val="single" w:color="auto" w:sz="12" w:space="0"/>
          <w:left w:val="single" w:color="auto" w:sz="12" w:space="0"/>
          <w:bottom w:val="single" w:color="auto" w:sz="12" w:space="0"/>
          <w:right w:val="single" w:color="auto" w:sz="12" w:space="0"/>
          <w:insideH w:val="single" w:color="auto" w:sz="4" w:space="0"/>
          <w:insideV w:val="none" w:color="auto" w:sz="0" w:space="0"/>
        </w:tblBorders>
        <w:tblLayout w:type="fixed"/>
        <w:tblCellMar>
          <w:top w:w="0" w:type="dxa"/>
          <w:left w:w="108" w:type="dxa"/>
          <w:bottom w:w="0" w:type="dxa"/>
          <w:right w:w="108" w:type="dxa"/>
        </w:tblCellMar>
      </w:tblPr>
      <w:tblGrid>
        <w:gridCol w:w="14174"/>
      </w:tblGrid>
      <w:tr>
        <w:tblPrEx>
          <w:tblBorders>
            <w:top w:val="single" w:color="auto" w:sz="12" w:space="0"/>
            <w:left w:val="single" w:color="auto" w:sz="12" w:space="0"/>
            <w:bottom w:val="single" w:color="auto" w:sz="12" w:space="0"/>
            <w:right w:val="single" w:color="auto" w:sz="12" w:space="0"/>
            <w:insideH w:val="single" w:color="auto" w:sz="4" w:space="0"/>
            <w:insideV w:val="none" w:color="auto" w:sz="0" w:space="0"/>
          </w:tblBorders>
          <w:tblCellMar>
            <w:top w:w="0" w:type="dxa"/>
            <w:left w:w="108" w:type="dxa"/>
            <w:bottom w:w="0" w:type="dxa"/>
            <w:right w:w="108" w:type="dxa"/>
          </w:tblCellMar>
        </w:tblPrEx>
        <w:trPr>
          <w:trHeight w:val="7037" w:hRule="atLeast"/>
        </w:trPr>
        <w:tc>
          <w:tcPr>
            <w:tcW w:w="14174" w:type="dxa"/>
            <w:tcBorders>
              <w:tl2br w:val="nil"/>
              <w:tr2bl w:val="nil"/>
            </w:tcBorders>
          </w:tcPr>
          <w:p>
            <w:pPr>
              <w:adjustRightInd w:val="0"/>
              <w:snapToGrid w:val="0"/>
              <w:jc w:val="center"/>
              <w:rPr>
                <w:b/>
                <w:szCs w:val="21"/>
              </w:rPr>
            </w:pPr>
            <w:r>
              <w:rPr>
                <w:rFonts w:hint="eastAsia"/>
                <w:b/>
                <w:szCs w:val="21"/>
                <w:lang w:val="en-US" w:eastAsia="zh-CN"/>
              </w:rPr>
              <w:t xml:space="preserve"> </w:t>
            </w:r>
            <w:r>
              <w:rPr>
                <w:b/>
                <w:szCs w:val="21"/>
              </w:rPr>
              <w:t>表5-</w:t>
            </w:r>
            <w:r>
              <w:rPr>
                <w:rFonts w:hint="eastAsia"/>
                <w:b/>
                <w:szCs w:val="21"/>
              </w:rPr>
              <w:t>2</w:t>
            </w:r>
            <w:r>
              <w:rPr>
                <w:b/>
                <w:szCs w:val="21"/>
              </w:rPr>
              <w:t xml:space="preserve">  有组织废气产生及排放情况一览表</w:t>
            </w:r>
          </w:p>
          <w:tbl>
            <w:tblPr>
              <w:tblStyle w:val="56"/>
              <w:tblW w:w="4997" w:type="pct"/>
              <w:jc w:val="center"/>
              <w:tblBorders>
                <w:top w:val="single" w:color="000000" w:sz="12" w:space="0"/>
                <w:left w:val="none" w:color="auto" w:sz="0" w:space="0"/>
                <w:bottom w:val="single" w:color="000000" w:sz="12" w:space="0"/>
                <w:right w:val="none" w:color="auto" w:sz="0" w:space="0"/>
                <w:insideH w:val="single" w:color="000000" w:sz="2" w:space="0"/>
                <w:insideV w:val="single" w:color="000000" w:sz="2" w:space="0"/>
              </w:tblBorders>
              <w:tblLayout w:type="fixed"/>
              <w:tblCellMar>
                <w:top w:w="0" w:type="dxa"/>
                <w:left w:w="11" w:type="dxa"/>
                <w:bottom w:w="0" w:type="dxa"/>
                <w:right w:w="11" w:type="dxa"/>
              </w:tblCellMar>
            </w:tblPr>
            <w:tblGrid>
              <w:gridCol w:w="302"/>
              <w:gridCol w:w="3"/>
              <w:gridCol w:w="360"/>
              <w:gridCol w:w="550"/>
              <w:gridCol w:w="567"/>
              <w:gridCol w:w="870"/>
              <w:gridCol w:w="459"/>
              <w:gridCol w:w="786"/>
              <w:gridCol w:w="685"/>
              <w:gridCol w:w="639"/>
              <w:gridCol w:w="972"/>
              <w:gridCol w:w="681"/>
              <w:gridCol w:w="1041"/>
              <w:gridCol w:w="1397"/>
              <w:gridCol w:w="812"/>
              <w:gridCol w:w="676"/>
              <w:gridCol w:w="863"/>
              <w:gridCol w:w="564"/>
              <w:gridCol w:w="564"/>
              <w:gridCol w:w="589"/>
              <w:gridCol w:w="570"/>
            </w:tblGrid>
            <w:tr>
              <w:tblPrEx>
                <w:tblBorders>
                  <w:top w:val="single" w:color="000000" w:sz="12" w:space="0"/>
                  <w:left w:val="none" w:color="auto" w:sz="0" w:space="0"/>
                  <w:bottom w:val="single" w:color="000000" w:sz="12" w:space="0"/>
                  <w:right w:val="none" w:color="auto" w:sz="0" w:space="0"/>
                  <w:insideH w:val="single" w:color="000000" w:sz="2" w:space="0"/>
                  <w:insideV w:val="single" w:color="000000" w:sz="2" w:space="0"/>
                </w:tblBorders>
                <w:tblCellMar>
                  <w:top w:w="0" w:type="dxa"/>
                  <w:left w:w="11" w:type="dxa"/>
                  <w:bottom w:w="0" w:type="dxa"/>
                  <w:right w:w="11" w:type="dxa"/>
                </w:tblCellMar>
              </w:tblPrEx>
              <w:trPr>
                <w:trHeight w:val="348" w:hRule="atLeast"/>
                <w:jc w:val="center"/>
              </w:trPr>
              <w:tc>
                <w:tcPr>
                  <w:tcW w:w="108" w:type="pct"/>
                  <w:vMerge w:val="restart"/>
                  <w:tcBorders>
                    <w:tl2br w:val="nil"/>
                    <w:tr2bl w:val="nil"/>
                  </w:tcBorders>
                  <w:tcMar>
                    <w:top w:w="28" w:type="dxa"/>
                    <w:left w:w="28" w:type="dxa"/>
                    <w:bottom w:w="28" w:type="dxa"/>
                    <w:right w:w="28" w:type="dxa"/>
                  </w:tcMar>
                  <w:vAlign w:val="center"/>
                </w:tcPr>
                <w:p>
                  <w:pPr>
                    <w:adjustRightInd w:val="0"/>
                    <w:snapToGrid w:val="0"/>
                    <w:jc w:val="center"/>
                    <w:rPr>
                      <w:sz w:val="18"/>
                      <w:szCs w:val="18"/>
                    </w:rPr>
                  </w:pPr>
                  <w:r>
                    <w:rPr>
                      <w:b/>
                      <w:snapToGrid w:val="0"/>
                      <w:kern w:val="18"/>
                      <w:sz w:val="18"/>
                      <w:szCs w:val="18"/>
                    </w:rPr>
                    <w:t>工序/生产线</w:t>
                  </w:r>
                </w:p>
              </w:tc>
              <w:tc>
                <w:tcPr>
                  <w:tcW w:w="130" w:type="pct"/>
                  <w:gridSpan w:val="2"/>
                  <w:vMerge w:val="restart"/>
                  <w:tcBorders>
                    <w:tl2br w:val="nil"/>
                    <w:tr2bl w:val="nil"/>
                  </w:tcBorders>
                  <w:tcMar>
                    <w:top w:w="28" w:type="dxa"/>
                    <w:left w:w="28" w:type="dxa"/>
                    <w:bottom w:w="28" w:type="dxa"/>
                    <w:right w:w="28" w:type="dxa"/>
                  </w:tcMar>
                  <w:vAlign w:val="center"/>
                </w:tcPr>
                <w:p>
                  <w:pPr>
                    <w:adjustRightInd w:val="0"/>
                    <w:snapToGrid w:val="0"/>
                    <w:jc w:val="center"/>
                    <w:rPr>
                      <w:b/>
                      <w:snapToGrid w:val="0"/>
                      <w:kern w:val="18"/>
                      <w:sz w:val="18"/>
                      <w:szCs w:val="18"/>
                    </w:rPr>
                  </w:pPr>
                  <w:r>
                    <w:rPr>
                      <w:b/>
                      <w:snapToGrid w:val="0"/>
                      <w:kern w:val="18"/>
                      <w:sz w:val="18"/>
                      <w:szCs w:val="18"/>
                    </w:rPr>
                    <w:t>装置</w:t>
                  </w:r>
                </w:p>
              </w:tc>
              <w:tc>
                <w:tcPr>
                  <w:tcW w:w="197" w:type="pct"/>
                  <w:vMerge w:val="restart"/>
                  <w:tcBorders>
                    <w:tl2br w:val="nil"/>
                    <w:tr2bl w:val="nil"/>
                  </w:tcBorders>
                  <w:tcMar>
                    <w:top w:w="28" w:type="dxa"/>
                    <w:left w:w="28" w:type="dxa"/>
                    <w:bottom w:w="28" w:type="dxa"/>
                    <w:right w:w="28" w:type="dxa"/>
                  </w:tcMar>
                  <w:vAlign w:val="center"/>
                </w:tcPr>
                <w:p>
                  <w:pPr>
                    <w:adjustRightInd w:val="0"/>
                    <w:snapToGrid w:val="0"/>
                    <w:jc w:val="center"/>
                    <w:rPr>
                      <w:b/>
                      <w:snapToGrid w:val="0"/>
                      <w:kern w:val="18"/>
                      <w:sz w:val="18"/>
                      <w:szCs w:val="18"/>
                    </w:rPr>
                  </w:pPr>
                  <w:r>
                    <w:rPr>
                      <w:b/>
                      <w:snapToGrid w:val="0"/>
                      <w:kern w:val="18"/>
                      <w:sz w:val="18"/>
                      <w:szCs w:val="18"/>
                    </w:rPr>
                    <w:t>排放源</w:t>
                  </w:r>
                </w:p>
              </w:tc>
              <w:tc>
                <w:tcPr>
                  <w:tcW w:w="203" w:type="pct"/>
                  <w:vMerge w:val="restart"/>
                  <w:tcBorders>
                    <w:tl2br w:val="nil"/>
                    <w:tr2bl w:val="nil"/>
                  </w:tcBorders>
                  <w:tcMar>
                    <w:top w:w="28" w:type="dxa"/>
                    <w:left w:w="28" w:type="dxa"/>
                    <w:bottom w:w="28" w:type="dxa"/>
                    <w:right w:w="28" w:type="dxa"/>
                  </w:tcMar>
                  <w:vAlign w:val="center"/>
                </w:tcPr>
                <w:p>
                  <w:pPr>
                    <w:adjustRightInd w:val="0"/>
                    <w:snapToGrid w:val="0"/>
                    <w:jc w:val="center"/>
                    <w:rPr>
                      <w:b/>
                      <w:snapToGrid w:val="0"/>
                      <w:kern w:val="18"/>
                      <w:sz w:val="18"/>
                      <w:szCs w:val="18"/>
                    </w:rPr>
                  </w:pPr>
                  <w:r>
                    <w:rPr>
                      <w:b/>
                      <w:snapToGrid w:val="0"/>
                      <w:kern w:val="18"/>
                      <w:sz w:val="18"/>
                      <w:szCs w:val="18"/>
                    </w:rPr>
                    <w:t>污染物名称</w:t>
                  </w:r>
                </w:p>
              </w:tc>
              <w:tc>
                <w:tcPr>
                  <w:tcW w:w="311" w:type="pct"/>
                  <w:vMerge w:val="restart"/>
                  <w:tcBorders>
                    <w:tl2br w:val="nil"/>
                    <w:tr2bl w:val="nil"/>
                  </w:tcBorders>
                  <w:tcMar>
                    <w:top w:w="28" w:type="dxa"/>
                    <w:left w:w="28" w:type="dxa"/>
                    <w:bottom w:w="28" w:type="dxa"/>
                    <w:right w:w="28" w:type="dxa"/>
                  </w:tcMar>
                  <w:vAlign w:val="center"/>
                </w:tcPr>
                <w:p>
                  <w:pPr>
                    <w:adjustRightInd w:val="0"/>
                    <w:snapToGrid w:val="0"/>
                    <w:jc w:val="center"/>
                    <w:rPr>
                      <w:rFonts w:hint="eastAsia" w:eastAsia="宋体"/>
                      <w:b/>
                      <w:snapToGrid w:val="0"/>
                      <w:kern w:val="18"/>
                      <w:sz w:val="18"/>
                      <w:szCs w:val="18"/>
                      <w:lang w:val="en-US" w:eastAsia="zh-CN"/>
                    </w:rPr>
                  </w:pPr>
                  <w:r>
                    <w:rPr>
                      <w:b/>
                      <w:snapToGrid w:val="0"/>
                      <w:kern w:val="18"/>
                      <w:sz w:val="18"/>
                      <w:szCs w:val="18"/>
                    </w:rPr>
                    <w:t>风机风量</w:t>
                  </w:r>
                  <w:r>
                    <w:rPr>
                      <w:rFonts w:hint="eastAsia"/>
                      <w:b/>
                      <w:bCs/>
                      <w:sz w:val="18"/>
                      <w:szCs w:val="18"/>
                    </w:rPr>
                    <w:t>m</w:t>
                  </w:r>
                  <w:r>
                    <w:rPr>
                      <w:rFonts w:hint="eastAsia"/>
                      <w:b/>
                      <w:bCs/>
                      <w:sz w:val="18"/>
                      <w:szCs w:val="18"/>
                      <w:vertAlign w:val="superscript"/>
                    </w:rPr>
                    <w:t>3</w:t>
                  </w:r>
                  <w:r>
                    <w:rPr>
                      <w:rFonts w:hint="eastAsia"/>
                      <w:b/>
                      <w:bCs/>
                      <w:sz w:val="18"/>
                      <w:szCs w:val="18"/>
                    </w:rPr>
                    <w:t>/</w:t>
                  </w:r>
                  <w:r>
                    <w:rPr>
                      <w:rFonts w:hint="eastAsia"/>
                      <w:b/>
                      <w:bCs/>
                      <w:sz w:val="18"/>
                      <w:szCs w:val="18"/>
                      <w:lang w:val="en-US" w:eastAsia="zh-CN"/>
                    </w:rPr>
                    <w:t>h</w:t>
                  </w:r>
                </w:p>
              </w:tc>
              <w:tc>
                <w:tcPr>
                  <w:tcW w:w="920" w:type="pct"/>
                  <w:gridSpan w:val="4"/>
                  <w:tcBorders>
                    <w:tl2br w:val="nil"/>
                    <w:tr2bl w:val="nil"/>
                  </w:tcBorders>
                  <w:vAlign w:val="center"/>
                </w:tcPr>
                <w:p>
                  <w:pPr>
                    <w:adjustRightInd w:val="0"/>
                    <w:snapToGrid w:val="0"/>
                    <w:jc w:val="center"/>
                    <w:rPr>
                      <w:b/>
                      <w:snapToGrid w:val="0"/>
                      <w:kern w:val="18"/>
                      <w:sz w:val="18"/>
                      <w:szCs w:val="18"/>
                    </w:rPr>
                  </w:pPr>
                  <w:r>
                    <w:rPr>
                      <w:b/>
                      <w:snapToGrid w:val="0"/>
                      <w:kern w:val="18"/>
                      <w:sz w:val="18"/>
                      <w:szCs w:val="18"/>
                    </w:rPr>
                    <w:t>污染物产生</w:t>
                  </w:r>
                </w:p>
              </w:tc>
              <w:tc>
                <w:tcPr>
                  <w:tcW w:w="592" w:type="pct"/>
                  <w:gridSpan w:val="2"/>
                  <w:tcBorders>
                    <w:tl2br w:val="nil"/>
                    <w:tr2bl w:val="nil"/>
                  </w:tcBorders>
                  <w:tcMar>
                    <w:top w:w="28" w:type="dxa"/>
                    <w:left w:w="28" w:type="dxa"/>
                    <w:bottom w:w="28" w:type="dxa"/>
                    <w:right w:w="28" w:type="dxa"/>
                  </w:tcMar>
                  <w:vAlign w:val="center"/>
                </w:tcPr>
                <w:p>
                  <w:pPr>
                    <w:adjustRightInd w:val="0"/>
                    <w:snapToGrid w:val="0"/>
                    <w:jc w:val="center"/>
                    <w:rPr>
                      <w:b/>
                      <w:snapToGrid w:val="0"/>
                      <w:kern w:val="18"/>
                      <w:sz w:val="18"/>
                      <w:szCs w:val="18"/>
                    </w:rPr>
                  </w:pPr>
                  <w:r>
                    <w:rPr>
                      <w:b/>
                      <w:snapToGrid w:val="0"/>
                      <w:kern w:val="18"/>
                      <w:sz w:val="18"/>
                      <w:szCs w:val="18"/>
                    </w:rPr>
                    <w:t>治理措施</w:t>
                  </w:r>
                </w:p>
              </w:tc>
              <w:tc>
                <w:tcPr>
                  <w:tcW w:w="373" w:type="pct"/>
                  <w:tcBorders>
                    <w:tl2br w:val="nil"/>
                    <w:tr2bl w:val="nil"/>
                  </w:tcBorders>
                  <w:tcMar>
                    <w:top w:w="28" w:type="dxa"/>
                    <w:left w:w="28" w:type="dxa"/>
                    <w:bottom w:w="28" w:type="dxa"/>
                    <w:right w:w="28" w:type="dxa"/>
                  </w:tcMar>
                  <w:vAlign w:val="center"/>
                </w:tcPr>
                <w:p>
                  <w:pPr>
                    <w:adjustRightInd w:val="0"/>
                    <w:snapToGrid w:val="0"/>
                    <w:jc w:val="center"/>
                    <w:rPr>
                      <w:rFonts w:hint="eastAsia" w:eastAsia="宋体"/>
                      <w:b/>
                      <w:snapToGrid w:val="0"/>
                      <w:kern w:val="18"/>
                      <w:sz w:val="18"/>
                      <w:szCs w:val="18"/>
                      <w:lang w:eastAsia="zh-CN"/>
                    </w:rPr>
                  </w:pPr>
                  <w:r>
                    <w:rPr>
                      <w:b/>
                      <w:snapToGrid w:val="0"/>
                      <w:kern w:val="18"/>
                      <w:sz w:val="18"/>
                      <w:szCs w:val="18"/>
                    </w:rPr>
                    <w:t>风机风量</w:t>
                  </w:r>
                  <w:r>
                    <w:rPr>
                      <w:rFonts w:hint="eastAsia"/>
                      <w:b/>
                      <w:bCs/>
                      <w:sz w:val="18"/>
                      <w:szCs w:val="18"/>
                    </w:rPr>
                    <w:t>m</w:t>
                  </w:r>
                  <w:r>
                    <w:rPr>
                      <w:rFonts w:hint="eastAsia"/>
                      <w:b/>
                      <w:bCs/>
                      <w:sz w:val="18"/>
                      <w:szCs w:val="18"/>
                      <w:vertAlign w:val="superscript"/>
                    </w:rPr>
                    <w:t>3</w:t>
                  </w:r>
                  <w:r>
                    <w:rPr>
                      <w:rFonts w:hint="eastAsia"/>
                      <w:b/>
                      <w:bCs/>
                      <w:sz w:val="18"/>
                      <w:szCs w:val="18"/>
                    </w:rPr>
                    <w:t>/</w:t>
                  </w:r>
                  <w:r>
                    <w:rPr>
                      <w:rFonts w:hint="eastAsia"/>
                      <w:b/>
                      <w:bCs/>
                      <w:sz w:val="18"/>
                      <w:szCs w:val="18"/>
                      <w:lang w:val="en-US" w:eastAsia="zh-CN"/>
                    </w:rPr>
                    <w:t>h</w:t>
                  </w:r>
                </w:p>
              </w:tc>
              <w:tc>
                <w:tcPr>
                  <w:tcW w:w="1343" w:type="pct"/>
                  <w:gridSpan w:val="4"/>
                  <w:tcBorders>
                    <w:tl2br w:val="nil"/>
                    <w:tr2bl w:val="nil"/>
                  </w:tcBorders>
                  <w:tcMar>
                    <w:top w:w="28" w:type="dxa"/>
                    <w:left w:w="28" w:type="dxa"/>
                    <w:bottom w:w="28" w:type="dxa"/>
                    <w:right w:w="28" w:type="dxa"/>
                  </w:tcMar>
                  <w:vAlign w:val="center"/>
                </w:tcPr>
                <w:p>
                  <w:pPr>
                    <w:adjustRightInd w:val="0"/>
                    <w:snapToGrid w:val="0"/>
                    <w:jc w:val="center"/>
                    <w:rPr>
                      <w:b/>
                      <w:snapToGrid w:val="0"/>
                      <w:kern w:val="18"/>
                      <w:sz w:val="18"/>
                      <w:szCs w:val="18"/>
                    </w:rPr>
                  </w:pPr>
                  <w:r>
                    <w:rPr>
                      <w:b/>
                      <w:snapToGrid w:val="0"/>
                      <w:kern w:val="18"/>
                      <w:sz w:val="18"/>
                      <w:szCs w:val="18"/>
                    </w:rPr>
                    <w:t>污染物排放</w:t>
                  </w:r>
                </w:p>
              </w:tc>
              <w:tc>
                <w:tcPr>
                  <w:tcW w:w="615" w:type="pct"/>
                  <w:gridSpan w:val="3"/>
                  <w:tcBorders>
                    <w:tl2br w:val="nil"/>
                    <w:tr2bl w:val="nil"/>
                  </w:tcBorders>
                  <w:tcMar>
                    <w:top w:w="28" w:type="dxa"/>
                    <w:left w:w="28" w:type="dxa"/>
                    <w:bottom w:w="28" w:type="dxa"/>
                    <w:right w:w="28" w:type="dxa"/>
                  </w:tcMar>
                  <w:vAlign w:val="center"/>
                </w:tcPr>
                <w:p>
                  <w:pPr>
                    <w:adjustRightInd w:val="0"/>
                    <w:snapToGrid w:val="0"/>
                    <w:jc w:val="center"/>
                    <w:rPr>
                      <w:b/>
                      <w:snapToGrid w:val="0"/>
                      <w:kern w:val="18"/>
                      <w:sz w:val="18"/>
                      <w:szCs w:val="18"/>
                    </w:rPr>
                  </w:pPr>
                  <w:r>
                    <w:rPr>
                      <w:rFonts w:hint="eastAsia"/>
                      <w:b/>
                      <w:snapToGrid w:val="0"/>
                      <w:kern w:val="18"/>
                      <w:sz w:val="18"/>
                      <w:szCs w:val="18"/>
                    </w:rPr>
                    <w:t>排放参数</w:t>
                  </w:r>
                </w:p>
              </w:tc>
              <w:tc>
                <w:tcPr>
                  <w:tcW w:w="204" w:type="pct"/>
                  <w:vMerge w:val="restart"/>
                  <w:tcBorders>
                    <w:tl2br w:val="nil"/>
                    <w:tr2bl w:val="nil"/>
                  </w:tcBorders>
                  <w:tcMar>
                    <w:top w:w="28" w:type="dxa"/>
                    <w:left w:w="28" w:type="dxa"/>
                    <w:bottom w:w="28" w:type="dxa"/>
                    <w:right w:w="28" w:type="dxa"/>
                  </w:tcMar>
                  <w:vAlign w:val="center"/>
                </w:tcPr>
                <w:p>
                  <w:pPr>
                    <w:adjustRightInd w:val="0"/>
                    <w:snapToGrid w:val="0"/>
                    <w:jc w:val="center"/>
                    <w:rPr>
                      <w:b/>
                      <w:snapToGrid w:val="0"/>
                      <w:kern w:val="18"/>
                      <w:sz w:val="18"/>
                      <w:szCs w:val="18"/>
                    </w:rPr>
                  </w:pPr>
                  <w:r>
                    <w:rPr>
                      <w:b/>
                      <w:snapToGrid w:val="0"/>
                      <w:kern w:val="18"/>
                      <w:sz w:val="18"/>
                      <w:szCs w:val="18"/>
                    </w:rPr>
                    <w:t>排放时间</w:t>
                  </w:r>
                  <w:r>
                    <w:rPr>
                      <w:rFonts w:hint="eastAsia"/>
                      <w:b/>
                      <w:snapToGrid w:val="0"/>
                      <w:kern w:val="18"/>
                      <w:sz w:val="18"/>
                      <w:szCs w:val="18"/>
                    </w:rPr>
                    <w:t>h/a</w:t>
                  </w:r>
                </w:p>
              </w:tc>
            </w:tr>
            <w:tr>
              <w:tblPrEx>
                <w:tblBorders>
                  <w:top w:val="single" w:color="000000" w:sz="12" w:space="0"/>
                  <w:left w:val="none" w:color="auto" w:sz="0" w:space="0"/>
                  <w:bottom w:val="single" w:color="000000" w:sz="12" w:space="0"/>
                  <w:right w:val="none" w:color="auto" w:sz="0" w:space="0"/>
                  <w:insideH w:val="single" w:color="000000" w:sz="2" w:space="0"/>
                  <w:insideV w:val="single" w:color="000000" w:sz="2" w:space="0"/>
                </w:tblBorders>
                <w:tblCellMar>
                  <w:top w:w="0" w:type="dxa"/>
                  <w:left w:w="11" w:type="dxa"/>
                  <w:bottom w:w="0" w:type="dxa"/>
                  <w:right w:w="11" w:type="dxa"/>
                </w:tblCellMar>
              </w:tblPrEx>
              <w:trPr>
                <w:trHeight w:val="340" w:hRule="atLeast"/>
                <w:jc w:val="center"/>
              </w:trPr>
              <w:tc>
                <w:tcPr>
                  <w:tcW w:w="108" w:type="pct"/>
                  <w:vMerge w:val="continue"/>
                  <w:tcBorders>
                    <w:tl2br w:val="nil"/>
                    <w:tr2bl w:val="nil"/>
                  </w:tcBorders>
                  <w:vAlign w:val="center"/>
                </w:tcPr>
                <w:p>
                  <w:pPr>
                    <w:widowControl/>
                    <w:jc w:val="center"/>
                    <w:rPr>
                      <w:sz w:val="18"/>
                      <w:szCs w:val="18"/>
                    </w:rPr>
                  </w:pPr>
                </w:p>
              </w:tc>
              <w:tc>
                <w:tcPr>
                  <w:tcW w:w="130" w:type="pct"/>
                  <w:gridSpan w:val="2"/>
                  <w:vMerge w:val="continue"/>
                  <w:tcBorders>
                    <w:tl2br w:val="nil"/>
                    <w:tr2bl w:val="nil"/>
                  </w:tcBorders>
                  <w:vAlign w:val="center"/>
                </w:tcPr>
                <w:p>
                  <w:pPr>
                    <w:adjustRightInd w:val="0"/>
                    <w:snapToGrid w:val="0"/>
                    <w:jc w:val="center"/>
                    <w:rPr>
                      <w:b/>
                      <w:snapToGrid w:val="0"/>
                      <w:kern w:val="18"/>
                      <w:sz w:val="18"/>
                      <w:szCs w:val="18"/>
                    </w:rPr>
                  </w:pPr>
                </w:p>
              </w:tc>
              <w:tc>
                <w:tcPr>
                  <w:tcW w:w="197" w:type="pct"/>
                  <w:vMerge w:val="continue"/>
                  <w:tcBorders>
                    <w:tl2br w:val="nil"/>
                    <w:tr2bl w:val="nil"/>
                  </w:tcBorders>
                  <w:vAlign w:val="center"/>
                </w:tcPr>
                <w:p>
                  <w:pPr>
                    <w:adjustRightInd w:val="0"/>
                    <w:snapToGrid w:val="0"/>
                    <w:jc w:val="center"/>
                    <w:rPr>
                      <w:b/>
                      <w:snapToGrid w:val="0"/>
                      <w:kern w:val="18"/>
                      <w:sz w:val="18"/>
                      <w:szCs w:val="18"/>
                    </w:rPr>
                  </w:pPr>
                </w:p>
              </w:tc>
              <w:tc>
                <w:tcPr>
                  <w:tcW w:w="203" w:type="pct"/>
                  <w:vMerge w:val="continue"/>
                  <w:tcBorders>
                    <w:tl2br w:val="nil"/>
                    <w:tr2bl w:val="nil"/>
                  </w:tcBorders>
                  <w:vAlign w:val="center"/>
                </w:tcPr>
                <w:p>
                  <w:pPr>
                    <w:adjustRightInd w:val="0"/>
                    <w:snapToGrid w:val="0"/>
                    <w:jc w:val="center"/>
                    <w:rPr>
                      <w:b/>
                      <w:snapToGrid w:val="0"/>
                      <w:kern w:val="18"/>
                      <w:sz w:val="18"/>
                      <w:szCs w:val="18"/>
                    </w:rPr>
                  </w:pPr>
                </w:p>
              </w:tc>
              <w:tc>
                <w:tcPr>
                  <w:tcW w:w="311" w:type="pct"/>
                  <w:vMerge w:val="continue"/>
                  <w:tcBorders>
                    <w:tl2br w:val="nil"/>
                    <w:tr2bl w:val="nil"/>
                  </w:tcBorders>
                  <w:vAlign w:val="center"/>
                </w:tcPr>
                <w:p>
                  <w:pPr>
                    <w:adjustRightInd w:val="0"/>
                    <w:snapToGrid w:val="0"/>
                    <w:jc w:val="center"/>
                    <w:rPr>
                      <w:b/>
                      <w:snapToGrid w:val="0"/>
                      <w:kern w:val="18"/>
                      <w:sz w:val="18"/>
                      <w:szCs w:val="18"/>
                    </w:rPr>
                  </w:pPr>
                </w:p>
              </w:tc>
              <w:tc>
                <w:tcPr>
                  <w:tcW w:w="164" w:type="pct"/>
                  <w:tcBorders>
                    <w:tl2br w:val="nil"/>
                    <w:tr2bl w:val="nil"/>
                  </w:tcBorders>
                  <w:vAlign w:val="center"/>
                </w:tcPr>
                <w:p>
                  <w:pPr>
                    <w:adjustRightInd w:val="0"/>
                    <w:snapToGrid w:val="0"/>
                    <w:jc w:val="center"/>
                    <w:rPr>
                      <w:b/>
                      <w:snapToGrid w:val="0"/>
                      <w:kern w:val="18"/>
                      <w:sz w:val="18"/>
                      <w:szCs w:val="18"/>
                    </w:rPr>
                  </w:pPr>
                  <w:r>
                    <w:rPr>
                      <w:b/>
                      <w:snapToGrid w:val="0"/>
                      <w:kern w:val="18"/>
                      <w:sz w:val="18"/>
                      <w:szCs w:val="18"/>
                    </w:rPr>
                    <w:t>核算</w:t>
                  </w:r>
                </w:p>
                <w:p>
                  <w:pPr>
                    <w:adjustRightInd w:val="0"/>
                    <w:snapToGrid w:val="0"/>
                    <w:jc w:val="center"/>
                    <w:rPr>
                      <w:b/>
                      <w:snapToGrid w:val="0"/>
                      <w:kern w:val="18"/>
                      <w:sz w:val="18"/>
                      <w:szCs w:val="18"/>
                    </w:rPr>
                  </w:pPr>
                  <w:r>
                    <w:rPr>
                      <w:b/>
                      <w:snapToGrid w:val="0"/>
                      <w:kern w:val="18"/>
                      <w:sz w:val="18"/>
                      <w:szCs w:val="18"/>
                    </w:rPr>
                    <w:t>方法</w:t>
                  </w:r>
                </w:p>
              </w:tc>
              <w:tc>
                <w:tcPr>
                  <w:tcW w:w="281" w:type="pct"/>
                  <w:tcBorders>
                    <w:tl2br w:val="nil"/>
                    <w:tr2bl w:val="nil"/>
                  </w:tcBorders>
                  <w:tcMar>
                    <w:top w:w="28" w:type="dxa"/>
                    <w:left w:w="28" w:type="dxa"/>
                    <w:bottom w:w="28" w:type="dxa"/>
                    <w:right w:w="28" w:type="dxa"/>
                  </w:tcMar>
                  <w:vAlign w:val="center"/>
                </w:tcPr>
                <w:p>
                  <w:pPr>
                    <w:adjustRightInd w:val="0"/>
                    <w:snapToGrid w:val="0"/>
                    <w:jc w:val="center"/>
                    <w:rPr>
                      <w:b/>
                      <w:snapToGrid w:val="0"/>
                      <w:kern w:val="18"/>
                      <w:sz w:val="18"/>
                      <w:szCs w:val="18"/>
                    </w:rPr>
                  </w:pPr>
                  <w:r>
                    <w:rPr>
                      <w:b/>
                      <w:snapToGrid w:val="0"/>
                      <w:kern w:val="18"/>
                      <w:sz w:val="18"/>
                      <w:szCs w:val="18"/>
                    </w:rPr>
                    <w:t>产生量</w:t>
                  </w:r>
                </w:p>
                <w:p>
                  <w:pPr>
                    <w:adjustRightInd w:val="0"/>
                    <w:snapToGrid w:val="0"/>
                    <w:jc w:val="center"/>
                    <w:rPr>
                      <w:b/>
                      <w:snapToGrid w:val="0"/>
                      <w:kern w:val="18"/>
                      <w:sz w:val="18"/>
                      <w:szCs w:val="18"/>
                    </w:rPr>
                  </w:pPr>
                  <w:r>
                    <w:rPr>
                      <w:rFonts w:hint="eastAsia"/>
                      <w:b/>
                      <w:snapToGrid w:val="0"/>
                      <w:kern w:val="18"/>
                      <w:sz w:val="18"/>
                      <w:szCs w:val="18"/>
                      <w:lang w:val="en-US" w:eastAsia="zh-CN"/>
                    </w:rPr>
                    <w:t>t</w:t>
                  </w:r>
                  <w:r>
                    <w:rPr>
                      <w:b/>
                      <w:snapToGrid w:val="0"/>
                      <w:kern w:val="18"/>
                      <w:sz w:val="18"/>
                      <w:szCs w:val="18"/>
                    </w:rPr>
                    <w:t>/a</w:t>
                  </w:r>
                </w:p>
              </w:tc>
              <w:tc>
                <w:tcPr>
                  <w:tcW w:w="245" w:type="pct"/>
                  <w:tcBorders>
                    <w:tl2br w:val="nil"/>
                    <w:tr2bl w:val="nil"/>
                  </w:tcBorders>
                  <w:tcMar>
                    <w:top w:w="28" w:type="dxa"/>
                    <w:left w:w="28" w:type="dxa"/>
                    <w:bottom w:w="28" w:type="dxa"/>
                    <w:right w:w="28" w:type="dxa"/>
                  </w:tcMar>
                  <w:vAlign w:val="center"/>
                </w:tcPr>
                <w:p>
                  <w:pPr>
                    <w:adjustRightInd w:val="0"/>
                    <w:snapToGrid w:val="0"/>
                    <w:jc w:val="center"/>
                    <w:rPr>
                      <w:b/>
                      <w:snapToGrid w:val="0"/>
                      <w:kern w:val="18"/>
                      <w:sz w:val="18"/>
                      <w:szCs w:val="18"/>
                    </w:rPr>
                  </w:pPr>
                  <w:r>
                    <w:rPr>
                      <w:b/>
                      <w:snapToGrid w:val="0"/>
                      <w:kern w:val="18"/>
                      <w:sz w:val="18"/>
                      <w:szCs w:val="18"/>
                    </w:rPr>
                    <w:t>速率</w:t>
                  </w:r>
                </w:p>
                <w:p>
                  <w:pPr>
                    <w:adjustRightInd w:val="0"/>
                    <w:snapToGrid w:val="0"/>
                    <w:jc w:val="center"/>
                    <w:rPr>
                      <w:b/>
                      <w:snapToGrid w:val="0"/>
                      <w:kern w:val="18"/>
                      <w:sz w:val="18"/>
                      <w:szCs w:val="18"/>
                    </w:rPr>
                  </w:pPr>
                  <w:r>
                    <w:rPr>
                      <w:b/>
                      <w:snapToGrid w:val="0"/>
                      <w:kern w:val="18"/>
                      <w:sz w:val="18"/>
                      <w:szCs w:val="18"/>
                    </w:rPr>
                    <w:t>kg/h</w:t>
                  </w:r>
                </w:p>
              </w:tc>
              <w:tc>
                <w:tcPr>
                  <w:tcW w:w="229" w:type="pct"/>
                  <w:tcBorders>
                    <w:tl2br w:val="nil"/>
                    <w:tr2bl w:val="nil"/>
                  </w:tcBorders>
                  <w:tcMar>
                    <w:top w:w="28" w:type="dxa"/>
                    <w:left w:w="28" w:type="dxa"/>
                    <w:bottom w:w="28" w:type="dxa"/>
                    <w:right w:w="28" w:type="dxa"/>
                  </w:tcMar>
                  <w:vAlign w:val="center"/>
                </w:tcPr>
                <w:p>
                  <w:pPr>
                    <w:adjustRightInd w:val="0"/>
                    <w:snapToGrid w:val="0"/>
                    <w:jc w:val="center"/>
                    <w:rPr>
                      <w:b/>
                      <w:snapToGrid w:val="0"/>
                      <w:kern w:val="18"/>
                      <w:sz w:val="18"/>
                      <w:szCs w:val="18"/>
                    </w:rPr>
                  </w:pPr>
                  <w:r>
                    <w:rPr>
                      <w:b/>
                      <w:snapToGrid w:val="0"/>
                      <w:kern w:val="18"/>
                      <w:sz w:val="18"/>
                      <w:szCs w:val="18"/>
                    </w:rPr>
                    <w:t>浓度</w:t>
                  </w:r>
                </w:p>
                <w:p>
                  <w:pPr>
                    <w:adjustRightInd w:val="0"/>
                    <w:snapToGrid w:val="0"/>
                    <w:jc w:val="center"/>
                    <w:rPr>
                      <w:b/>
                      <w:snapToGrid w:val="0"/>
                      <w:kern w:val="18"/>
                      <w:sz w:val="18"/>
                      <w:szCs w:val="18"/>
                    </w:rPr>
                  </w:pPr>
                  <w:r>
                    <w:rPr>
                      <w:b/>
                      <w:snapToGrid w:val="0"/>
                      <w:kern w:val="18"/>
                      <w:sz w:val="18"/>
                      <w:szCs w:val="18"/>
                    </w:rPr>
                    <w:t>mg/m</w:t>
                  </w:r>
                  <w:r>
                    <w:rPr>
                      <w:b/>
                      <w:snapToGrid w:val="0"/>
                      <w:kern w:val="18"/>
                      <w:sz w:val="18"/>
                      <w:szCs w:val="18"/>
                      <w:vertAlign w:val="superscript"/>
                    </w:rPr>
                    <w:t>3</w:t>
                  </w:r>
                </w:p>
              </w:tc>
              <w:tc>
                <w:tcPr>
                  <w:tcW w:w="348" w:type="pct"/>
                  <w:tcBorders>
                    <w:tl2br w:val="nil"/>
                    <w:tr2bl w:val="nil"/>
                  </w:tcBorders>
                  <w:vAlign w:val="center"/>
                </w:tcPr>
                <w:p>
                  <w:pPr>
                    <w:adjustRightInd w:val="0"/>
                    <w:snapToGrid w:val="0"/>
                    <w:jc w:val="center"/>
                    <w:rPr>
                      <w:b/>
                      <w:snapToGrid w:val="0"/>
                      <w:kern w:val="18"/>
                      <w:sz w:val="18"/>
                      <w:szCs w:val="18"/>
                    </w:rPr>
                  </w:pPr>
                  <w:r>
                    <w:rPr>
                      <w:b/>
                      <w:snapToGrid w:val="0"/>
                      <w:kern w:val="18"/>
                      <w:sz w:val="18"/>
                      <w:szCs w:val="18"/>
                    </w:rPr>
                    <w:t>工艺</w:t>
                  </w:r>
                </w:p>
              </w:tc>
              <w:tc>
                <w:tcPr>
                  <w:tcW w:w="244" w:type="pct"/>
                  <w:tcBorders>
                    <w:tl2br w:val="nil"/>
                    <w:tr2bl w:val="nil"/>
                  </w:tcBorders>
                  <w:vAlign w:val="center"/>
                </w:tcPr>
                <w:p>
                  <w:pPr>
                    <w:adjustRightInd w:val="0"/>
                    <w:snapToGrid w:val="0"/>
                    <w:jc w:val="center"/>
                    <w:rPr>
                      <w:b/>
                      <w:snapToGrid w:val="0"/>
                      <w:kern w:val="18"/>
                      <w:sz w:val="18"/>
                      <w:szCs w:val="18"/>
                    </w:rPr>
                  </w:pPr>
                  <w:r>
                    <w:rPr>
                      <w:b/>
                      <w:snapToGrid w:val="0"/>
                      <w:kern w:val="18"/>
                      <w:sz w:val="18"/>
                      <w:szCs w:val="18"/>
                    </w:rPr>
                    <w:t>效率</w:t>
                  </w:r>
                </w:p>
              </w:tc>
              <w:tc>
                <w:tcPr>
                  <w:tcW w:w="373" w:type="pct"/>
                  <w:vMerge w:val="restart"/>
                  <w:tcBorders>
                    <w:tl2br w:val="nil"/>
                    <w:tr2bl w:val="nil"/>
                  </w:tcBorders>
                  <w:vAlign w:val="center"/>
                </w:tcPr>
                <w:p>
                  <w:pPr>
                    <w:adjustRightInd w:val="0"/>
                    <w:snapToGrid w:val="0"/>
                    <w:jc w:val="center"/>
                    <w:rPr>
                      <w:rFonts w:hint="default"/>
                      <w:b/>
                      <w:snapToGrid w:val="0"/>
                      <w:kern w:val="18"/>
                      <w:sz w:val="18"/>
                      <w:szCs w:val="18"/>
                      <w:lang w:val="en-US" w:eastAsia="zh-CN"/>
                    </w:rPr>
                  </w:pPr>
                  <w:r>
                    <w:rPr>
                      <w:rFonts w:hint="eastAsia"/>
                      <w:bCs/>
                      <w:snapToGrid w:val="0"/>
                      <w:kern w:val="18"/>
                      <w:sz w:val="18"/>
                      <w:szCs w:val="18"/>
                      <w:lang w:val="en-US" w:eastAsia="zh-CN"/>
                    </w:rPr>
                    <w:t>5000</w:t>
                  </w:r>
                </w:p>
              </w:tc>
              <w:tc>
                <w:tcPr>
                  <w:tcW w:w="500" w:type="pct"/>
                  <w:tcBorders>
                    <w:tl2br w:val="nil"/>
                    <w:tr2bl w:val="nil"/>
                  </w:tcBorders>
                  <w:vAlign w:val="center"/>
                </w:tcPr>
                <w:p>
                  <w:pPr>
                    <w:adjustRightInd w:val="0"/>
                    <w:snapToGrid w:val="0"/>
                    <w:jc w:val="center"/>
                    <w:rPr>
                      <w:b/>
                      <w:snapToGrid w:val="0"/>
                      <w:kern w:val="18"/>
                      <w:sz w:val="18"/>
                      <w:szCs w:val="18"/>
                    </w:rPr>
                  </w:pPr>
                  <w:r>
                    <w:rPr>
                      <w:b/>
                      <w:snapToGrid w:val="0"/>
                      <w:kern w:val="18"/>
                      <w:sz w:val="18"/>
                      <w:szCs w:val="18"/>
                    </w:rPr>
                    <w:t>核算</w:t>
                  </w:r>
                </w:p>
                <w:p>
                  <w:pPr>
                    <w:adjustRightInd w:val="0"/>
                    <w:snapToGrid w:val="0"/>
                    <w:jc w:val="center"/>
                    <w:rPr>
                      <w:b/>
                      <w:snapToGrid w:val="0"/>
                      <w:kern w:val="18"/>
                      <w:sz w:val="18"/>
                      <w:szCs w:val="18"/>
                    </w:rPr>
                  </w:pPr>
                  <w:r>
                    <w:rPr>
                      <w:b/>
                      <w:snapToGrid w:val="0"/>
                      <w:kern w:val="18"/>
                      <w:sz w:val="18"/>
                      <w:szCs w:val="18"/>
                    </w:rPr>
                    <w:t>方法</w:t>
                  </w:r>
                </w:p>
              </w:tc>
              <w:tc>
                <w:tcPr>
                  <w:tcW w:w="291" w:type="pct"/>
                  <w:tcBorders>
                    <w:tl2br w:val="nil"/>
                    <w:tr2bl w:val="nil"/>
                  </w:tcBorders>
                  <w:tcMar>
                    <w:top w:w="28" w:type="dxa"/>
                    <w:left w:w="28" w:type="dxa"/>
                    <w:bottom w:w="28" w:type="dxa"/>
                    <w:right w:w="28" w:type="dxa"/>
                  </w:tcMar>
                  <w:vAlign w:val="center"/>
                </w:tcPr>
                <w:p>
                  <w:pPr>
                    <w:adjustRightInd w:val="0"/>
                    <w:snapToGrid w:val="0"/>
                    <w:jc w:val="center"/>
                    <w:rPr>
                      <w:b/>
                      <w:snapToGrid w:val="0"/>
                      <w:kern w:val="18"/>
                      <w:sz w:val="18"/>
                      <w:szCs w:val="18"/>
                    </w:rPr>
                  </w:pPr>
                  <w:r>
                    <w:rPr>
                      <w:b/>
                      <w:snapToGrid w:val="0"/>
                      <w:kern w:val="18"/>
                      <w:sz w:val="18"/>
                      <w:szCs w:val="18"/>
                    </w:rPr>
                    <w:t>排放量</w:t>
                  </w:r>
                  <w:r>
                    <w:rPr>
                      <w:rFonts w:hint="eastAsia"/>
                      <w:b/>
                      <w:snapToGrid w:val="0"/>
                      <w:kern w:val="18"/>
                      <w:sz w:val="18"/>
                      <w:szCs w:val="18"/>
                      <w:lang w:val="en-US" w:eastAsia="zh-CN"/>
                    </w:rPr>
                    <w:t>t</w:t>
                  </w:r>
                  <w:r>
                    <w:rPr>
                      <w:b/>
                      <w:snapToGrid w:val="0"/>
                      <w:kern w:val="18"/>
                      <w:sz w:val="18"/>
                      <w:szCs w:val="18"/>
                    </w:rPr>
                    <w:t>/a</w:t>
                  </w:r>
                </w:p>
              </w:tc>
              <w:tc>
                <w:tcPr>
                  <w:tcW w:w="242" w:type="pct"/>
                  <w:tcBorders>
                    <w:tl2br w:val="nil"/>
                    <w:tr2bl w:val="nil"/>
                  </w:tcBorders>
                  <w:tcMar>
                    <w:top w:w="28" w:type="dxa"/>
                    <w:left w:w="28" w:type="dxa"/>
                    <w:bottom w:w="28" w:type="dxa"/>
                    <w:right w:w="28" w:type="dxa"/>
                  </w:tcMar>
                  <w:vAlign w:val="center"/>
                </w:tcPr>
                <w:p>
                  <w:pPr>
                    <w:adjustRightInd w:val="0"/>
                    <w:snapToGrid w:val="0"/>
                    <w:jc w:val="center"/>
                    <w:rPr>
                      <w:b/>
                      <w:snapToGrid w:val="0"/>
                      <w:kern w:val="18"/>
                      <w:sz w:val="18"/>
                      <w:szCs w:val="18"/>
                    </w:rPr>
                  </w:pPr>
                  <w:r>
                    <w:rPr>
                      <w:b/>
                      <w:snapToGrid w:val="0"/>
                      <w:kern w:val="18"/>
                      <w:sz w:val="18"/>
                      <w:szCs w:val="18"/>
                    </w:rPr>
                    <w:t>速率</w:t>
                  </w:r>
                </w:p>
                <w:p>
                  <w:pPr>
                    <w:adjustRightInd w:val="0"/>
                    <w:snapToGrid w:val="0"/>
                    <w:jc w:val="center"/>
                    <w:rPr>
                      <w:b/>
                      <w:snapToGrid w:val="0"/>
                      <w:kern w:val="18"/>
                      <w:sz w:val="18"/>
                      <w:szCs w:val="18"/>
                    </w:rPr>
                  </w:pPr>
                  <w:r>
                    <w:rPr>
                      <w:b/>
                      <w:snapToGrid w:val="0"/>
                      <w:kern w:val="18"/>
                      <w:sz w:val="18"/>
                      <w:szCs w:val="18"/>
                    </w:rPr>
                    <w:t>kg/h</w:t>
                  </w:r>
                </w:p>
              </w:tc>
              <w:tc>
                <w:tcPr>
                  <w:tcW w:w="309" w:type="pct"/>
                  <w:tcBorders>
                    <w:tl2br w:val="nil"/>
                    <w:tr2bl w:val="nil"/>
                  </w:tcBorders>
                  <w:tcMar>
                    <w:top w:w="28" w:type="dxa"/>
                    <w:left w:w="28" w:type="dxa"/>
                    <w:bottom w:w="28" w:type="dxa"/>
                    <w:right w:w="28" w:type="dxa"/>
                  </w:tcMar>
                  <w:vAlign w:val="center"/>
                </w:tcPr>
                <w:p>
                  <w:pPr>
                    <w:adjustRightInd w:val="0"/>
                    <w:snapToGrid w:val="0"/>
                    <w:jc w:val="center"/>
                    <w:rPr>
                      <w:b/>
                      <w:snapToGrid w:val="0"/>
                      <w:kern w:val="18"/>
                      <w:sz w:val="18"/>
                      <w:szCs w:val="18"/>
                    </w:rPr>
                  </w:pPr>
                  <w:r>
                    <w:rPr>
                      <w:b/>
                      <w:snapToGrid w:val="0"/>
                      <w:kern w:val="18"/>
                      <w:sz w:val="18"/>
                      <w:szCs w:val="18"/>
                    </w:rPr>
                    <w:t>浓度</w:t>
                  </w:r>
                </w:p>
                <w:p>
                  <w:pPr>
                    <w:adjustRightInd w:val="0"/>
                    <w:snapToGrid w:val="0"/>
                    <w:jc w:val="center"/>
                    <w:rPr>
                      <w:b/>
                      <w:snapToGrid w:val="0"/>
                      <w:kern w:val="18"/>
                      <w:sz w:val="18"/>
                      <w:szCs w:val="18"/>
                    </w:rPr>
                  </w:pPr>
                  <w:r>
                    <w:rPr>
                      <w:b/>
                      <w:snapToGrid w:val="0"/>
                      <w:kern w:val="18"/>
                      <w:sz w:val="18"/>
                      <w:szCs w:val="18"/>
                    </w:rPr>
                    <w:t>mg/m</w:t>
                  </w:r>
                  <w:r>
                    <w:rPr>
                      <w:b/>
                      <w:snapToGrid w:val="0"/>
                      <w:kern w:val="18"/>
                      <w:sz w:val="18"/>
                      <w:szCs w:val="18"/>
                      <w:vertAlign w:val="superscript"/>
                    </w:rPr>
                    <w:t>3</w:t>
                  </w:r>
                </w:p>
              </w:tc>
              <w:tc>
                <w:tcPr>
                  <w:tcW w:w="202" w:type="pct"/>
                  <w:tcBorders>
                    <w:tl2br w:val="nil"/>
                    <w:tr2bl w:val="nil"/>
                  </w:tcBorders>
                  <w:tcMar>
                    <w:top w:w="28" w:type="dxa"/>
                    <w:left w:w="28" w:type="dxa"/>
                    <w:bottom w:w="28" w:type="dxa"/>
                    <w:right w:w="28" w:type="dxa"/>
                  </w:tcMar>
                  <w:vAlign w:val="center"/>
                </w:tcPr>
                <w:p>
                  <w:pPr>
                    <w:adjustRightInd w:val="0"/>
                    <w:snapToGrid w:val="0"/>
                    <w:jc w:val="center"/>
                    <w:rPr>
                      <w:b/>
                      <w:snapToGrid w:val="0"/>
                      <w:kern w:val="18"/>
                      <w:sz w:val="18"/>
                      <w:szCs w:val="18"/>
                    </w:rPr>
                  </w:pPr>
                  <w:r>
                    <w:rPr>
                      <w:rFonts w:hint="eastAsia"/>
                      <w:b/>
                      <w:snapToGrid w:val="0"/>
                      <w:kern w:val="18"/>
                      <w:sz w:val="18"/>
                      <w:szCs w:val="18"/>
                    </w:rPr>
                    <w:t>高度</w:t>
                  </w:r>
                </w:p>
              </w:tc>
              <w:tc>
                <w:tcPr>
                  <w:tcW w:w="202" w:type="pct"/>
                  <w:tcBorders>
                    <w:tl2br w:val="nil"/>
                    <w:tr2bl w:val="nil"/>
                  </w:tcBorders>
                  <w:tcMar>
                    <w:top w:w="28" w:type="dxa"/>
                    <w:left w:w="28" w:type="dxa"/>
                    <w:bottom w:w="28" w:type="dxa"/>
                    <w:right w:w="28" w:type="dxa"/>
                  </w:tcMar>
                  <w:vAlign w:val="center"/>
                </w:tcPr>
                <w:p>
                  <w:pPr>
                    <w:adjustRightInd w:val="0"/>
                    <w:snapToGrid w:val="0"/>
                    <w:jc w:val="center"/>
                    <w:rPr>
                      <w:b/>
                      <w:snapToGrid w:val="0"/>
                      <w:kern w:val="18"/>
                      <w:sz w:val="18"/>
                      <w:szCs w:val="18"/>
                    </w:rPr>
                  </w:pPr>
                  <w:r>
                    <w:rPr>
                      <w:rFonts w:hint="eastAsia"/>
                      <w:b/>
                      <w:snapToGrid w:val="0"/>
                      <w:kern w:val="18"/>
                      <w:sz w:val="18"/>
                      <w:szCs w:val="18"/>
                    </w:rPr>
                    <w:t>直径</w:t>
                  </w:r>
                </w:p>
              </w:tc>
              <w:tc>
                <w:tcPr>
                  <w:tcW w:w="211" w:type="pct"/>
                  <w:tcBorders>
                    <w:tl2br w:val="nil"/>
                    <w:tr2bl w:val="nil"/>
                  </w:tcBorders>
                  <w:tcMar>
                    <w:top w:w="28" w:type="dxa"/>
                    <w:left w:w="28" w:type="dxa"/>
                    <w:bottom w:w="28" w:type="dxa"/>
                    <w:right w:w="28" w:type="dxa"/>
                  </w:tcMar>
                  <w:vAlign w:val="center"/>
                </w:tcPr>
                <w:p>
                  <w:pPr>
                    <w:adjustRightInd w:val="0"/>
                    <w:snapToGrid w:val="0"/>
                    <w:jc w:val="center"/>
                    <w:rPr>
                      <w:b/>
                      <w:snapToGrid w:val="0"/>
                      <w:kern w:val="18"/>
                      <w:sz w:val="18"/>
                      <w:szCs w:val="18"/>
                    </w:rPr>
                  </w:pPr>
                  <w:r>
                    <w:rPr>
                      <w:rFonts w:hint="eastAsia"/>
                      <w:b/>
                      <w:snapToGrid w:val="0"/>
                      <w:kern w:val="18"/>
                      <w:sz w:val="18"/>
                      <w:szCs w:val="18"/>
                    </w:rPr>
                    <w:t>温度</w:t>
                  </w:r>
                </w:p>
              </w:tc>
              <w:tc>
                <w:tcPr>
                  <w:tcW w:w="204" w:type="pct"/>
                  <w:vMerge w:val="continue"/>
                  <w:tcBorders>
                    <w:tl2br w:val="nil"/>
                    <w:tr2bl w:val="nil"/>
                  </w:tcBorders>
                  <w:tcMar>
                    <w:top w:w="28" w:type="dxa"/>
                    <w:left w:w="28" w:type="dxa"/>
                    <w:bottom w:w="28" w:type="dxa"/>
                    <w:right w:w="28" w:type="dxa"/>
                  </w:tcMar>
                  <w:vAlign w:val="center"/>
                </w:tcPr>
                <w:p>
                  <w:pPr>
                    <w:adjustRightInd w:val="0"/>
                    <w:snapToGrid w:val="0"/>
                    <w:jc w:val="center"/>
                    <w:rPr>
                      <w:b/>
                      <w:snapToGrid w:val="0"/>
                      <w:kern w:val="18"/>
                      <w:sz w:val="18"/>
                      <w:szCs w:val="18"/>
                    </w:rPr>
                  </w:pPr>
                </w:p>
              </w:tc>
            </w:tr>
            <w:tr>
              <w:tblPrEx>
                <w:tblBorders>
                  <w:top w:val="single" w:color="000000" w:sz="12" w:space="0"/>
                  <w:left w:val="none" w:color="auto" w:sz="0" w:space="0"/>
                  <w:bottom w:val="single" w:color="000000" w:sz="12" w:space="0"/>
                  <w:right w:val="none" w:color="auto" w:sz="0" w:space="0"/>
                  <w:insideH w:val="single" w:color="000000" w:sz="2" w:space="0"/>
                  <w:insideV w:val="single" w:color="000000" w:sz="2" w:space="0"/>
                </w:tblBorders>
                <w:tblCellMar>
                  <w:top w:w="0" w:type="dxa"/>
                  <w:left w:w="11" w:type="dxa"/>
                  <w:bottom w:w="0" w:type="dxa"/>
                  <w:right w:w="11" w:type="dxa"/>
                </w:tblCellMar>
              </w:tblPrEx>
              <w:trPr>
                <w:trHeight w:val="340" w:hRule="atLeast"/>
                <w:jc w:val="center"/>
              </w:trPr>
              <w:tc>
                <w:tcPr>
                  <w:tcW w:w="109" w:type="pct"/>
                  <w:gridSpan w:val="2"/>
                  <w:tcBorders>
                    <w:tl2br w:val="nil"/>
                    <w:tr2bl w:val="nil"/>
                  </w:tcBorders>
                  <w:vAlign w:val="center"/>
                </w:tcPr>
                <w:p>
                  <w:pPr>
                    <w:adjustRightInd w:val="0"/>
                    <w:snapToGrid w:val="0"/>
                    <w:jc w:val="center"/>
                    <w:rPr>
                      <w:rFonts w:hint="eastAsia"/>
                      <w:sz w:val="18"/>
                      <w:szCs w:val="18"/>
                      <w:lang w:eastAsia="zh-CN"/>
                    </w:rPr>
                  </w:pPr>
                  <w:r>
                    <w:rPr>
                      <w:rFonts w:hint="eastAsia"/>
                      <w:sz w:val="18"/>
                      <w:szCs w:val="18"/>
                      <w:lang w:eastAsia="zh-CN"/>
                    </w:rPr>
                    <w:t>投料混合</w:t>
                  </w:r>
                </w:p>
              </w:tc>
              <w:tc>
                <w:tcPr>
                  <w:tcW w:w="129" w:type="pct"/>
                  <w:vMerge w:val="restart"/>
                  <w:tcBorders>
                    <w:tl2br w:val="nil"/>
                    <w:tr2bl w:val="nil"/>
                  </w:tcBorders>
                  <w:vAlign w:val="center"/>
                </w:tcPr>
                <w:p>
                  <w:pPr>
                    <w:adjustRightInd w:val="0"/>
                    <w:snapToGrid w:val="0"/>
                    <w:jc w:val="center"/>
                    <w:rPr>
                      <w:rFonts w:hint="eastAsia"/>
                      <w:sz w:val="18"/>
                      <w:szCs w:val="18"/>
                      <w:lang w:eastAsia="zh-CN"/>
                    </w:rPr>
                  </w:pPr>
                  <w:r>
                    <w:rPr>
                      <w:rFonts w:hint="eastAsia"/>
                      <w:sz w:val="18"/>
                      <w:szCs w:val="18"/>
                      <w:lang w:eastAsia="zh-CN"/>
                    </w:rPr>
                    <w:t>注塑机</w:t>
                  </w:r>
                </w:p>
              </w:tc>
              <w:tc>
                <w:tcPr>
                  <w:tcW w:w="197" w:type="pct"/>
                  <w:vMerge w:val="restart"/>
                  <w:tcBorders>
                    <w:tl2br w:val="nil"/>
                    <w:tr2bl w:val="nil"/>
                  </w:tcBorders>
                  <w:vAlign w:val="center"/>
                </w:tcPr>
                <w:p>
                  <w:pPr>
                    <w:adjustRightInd w:val="0"/>
                    <w:snapToGrid w:val="0"/>
                    <w:jc w:val="center"/>
                    <w:rPr>
                      <w:bCs/>
                      <w:snapToGrid w:val="0"/>
                      <w:kern w:val="18"/>
                      <w:sz w:val="18"/>
                      <w:szCs w:val="18"/>
                    </w:rPr>
                  </w:pPr>
                  <w:r>
                    <w:rPr>
                      <w:rFonts w:hint="eastAsia"/>
                      <w:bCs/>
                      <w:snapToGrid w:val="0"/>
                      <w:kern w:val="18"/>
                      <w:sz w:val="18"/>
                      <w:szCs w:val="18"/>
                    </w:rPr>
                    <w:t>排气筒DA001</w:t>
                  </w:r>
                </w:p>
              </w:tc>
              <w:tc>
                <w:tcPr>
                  <w:tcW w:w="203" w:type="pct"/>
                  <w:tcBorders>
                    <w:tl2br w:val="nil"/>
                    <w:tr2bl w:val="nil"/>
                  </w:tcBorders>
                  <w:vAlign w:val="center"/>
                </w:tcPr>
                <w:p>
                  <w:pPr>
                    <w:adjustRightInd w:val="0"/>
                    <w:snapToGrid w:val="0"/>
                    <w:jc w:val="center"/>
                    <w:rPr>
                      <w:rFonts w:hint="eastAsia"/>
                      <w:bCs/>
                      <w:snapToGrid w:val="0"/>
                      <w:kern w:val="18"/>
                      <w:sz w:val="18"/>
                      <w:szCs w:val="18"/>
                      <w:lang w:eastAsia="zh-CN"/>
                    </w:rPr>
                  </w:pPr>
                  <w:r>
                    <w:rPr>
                      <w:rFonts w:hint="eastAsia"/>
                      <w:bCs/>
                      <w:snapToGrid w:val="0"/>
                      <w:kern w:val="18"/>
                      <w:sz w:val="18"/>
                      <w:szCs w:val="18"/>
                      <w:lang w:eastAsia="zh-CN"/>
                    </w:rPr>
                    <w:t>粉尘</w:t>
                  </w:r>
                </w:p>
              </w:tc>
              <w:tc>
                <w:tcPr>
                  <w:tcW w:w="311" w:type="pct"/>
                  <w:tcBorders>
                    <w:tl2br w:val="nil"/>
                    <w:tr2bl w:val="nil"/>
                  </w:tcBorders>
                  <w:vAlign w:val="center"/>
                </w:tcPr>
                <w:p>
                  <w:pPr>
                    <w:adjustRightInd w:val="0"/>
                    <w:snapToGrid w:val="0"/>
                    <w:jc w:val="center"/>
                    <w:rPr>
                      <w:rFonts w:hint="default"/>
                      <w:bCs/>
                      <w:snapToGrid w:val="0"/>
                      <w:kern w:val="18"/>
                      <w:sz w:val="18"/>
                      <w:szCs w:val="18"/>
                      <w:lang w:val="en-US" w:eastAsia="zh-CN"/>
                    </w:rPr>
                  </w:pPr>
                  <w:r>
                    <w:rPr>
                      <w:rFonts w:hint="eastAsia"/>
                      <w:bCs/>
                      <w:snapToGrid w:val="0"/>
                      <w:kern w:val="18"/>
                      <w:sz w:val="18"/>
                      <w:szCs w:val="18"/>
                      <w:lang w:val="en-US" w:eastAsia="zh-CN"/>
                    </w:rPr>
                    <w:t>4000</w:t>
                  </w:r>
                </w:p>
              </w:tc>
              <w:tc>
                <w:tcPr>
                  <w:tcW w:w="164" w:type="pct"/>
                  <w:vMerge w:val="restart"/>
                  <w:tcBorders>
                    <w:tl2br w:val="nil"/>
                    <w:tr2bl w:val="nil"/>
                  </w:tcBorders>
                  <w:vAlign w:val="center"/>
                </w:tcPr>
                <w:p>
                  <w:pPr>
                    <w:adjustRightInd w:val="0"/>
                    <w:snapToGrid w:val="0"/>
                    <w:jc w:val="center"/>
                    <w:rPr>
                      <w:bCs/>
                      <w:snapToGrid w:val="0"/>
                      <w:kern w:val="18"/>
                      <w:sz w:val="18"/>
                      <w:szCs w:val="18"/>
                    </w:rPr>
                  </w:pPr>
                  <w:r>
                    <w:rPr>
                      <w:rFonts w:hint="eastAsia"/>
                      <w:bCs/>
                      <w:snapToGrid w:val="0"/>
                      <w:kern w:val="18"/>
                      <w:sz w:val="18"/>
                      <w:szCs w:val="18"/>
                    </w:rPr>
                    <w:t>产污系数法</w:t>
                  </w:r>
                </w:p>
              </w:tc>
              <w:tc>
                <w:tcPr>
                  <w:tcW w:w="281" w:type="pct"/>
                  <w:tcBorders>
                    <w:tl2br w:val="nil"/>
                    <w:tr2bl w:val="nil"/>
                  </w:tcBorders>
                  <w:tcMar>
                    <w:top w:w="28" w:type="dxa"/>
                    <w:left w:w="28" w:type="dxa"/>
                    <w:bottom w:w="28" w:type="dxa"/>
                    <w:right w:w="28" w:type="dxa"/>
                  </w:tcMar>
                  <w:vAlign w:val="center"/>
                </w:tcPr>
                <w:p>
                  <w:pPr>
                    <w:adjustRightInd w:val="0"/>
                    <w:snapToGrid w:val="0"/>
                    <w:jc w:val="center"/>
                    <w:rPr>
                      <w:rFonts w:hint="default"/>
                      <w:bCs/>
                      <w:snapToGrid w:val="0"/>
                      <w:kern w:val="18"/>
                      <w:sz w:val="18"/>
                      <w:szCs w:val="18"/>
                      <w:lang w:val="en-US" w:eastAsia="zh-CN"/>
                    </w:rPr>
                  </w:pPr>
                  <w:r>
                    <w:rPr>
                      <w:rFonts w:hint="eastAsia"/>
                      <w:bCs/>
                      <w:snapToGrid w:val="0"/>
                      <w:kern w:val="18"/>
                      <w:sz w:val="18"/>
                      <w:szCs w:val="18"/>
                      <w:lang w:val="en-US" w:eastAsia="zh-CN"/>
                    </w:rPr>
                    <w:t>0.01</w:t>
                  </w:r>
                </w:p>
              </w:tc>
              <w:tc>
                <w:tcPr>
                  <w:tcW w:w="245" w:type="pct"/>
                  <w:tcBorders>
                    <w:tl2br w:val="nil"/>
                    <w:tr2bl w:val="nil"/>
                  </w:tcBorders>
                  <w:tcMar>
                    <w:top w:w="28" w:type="dxa"/>
                    <w:left w:w="28" w:type="dxa"/>
                    <w:bottom w:w="28" w:type="dxa"/>
                    <w:right w:w="28" w:type="dxa"/>
                  </w:tcMar>
                  <w:vAlign w:val="center"/>
                </w:tcPr>
                <w:p>
                  <w:pPr>
                    <w:adjustRightInd w:val="0"/>
                    <w:snapToGrid w:val="0"/>
                    <w:jc w:val="center"/>
                    <w:rPr>
                      <w:rFonts w:hint="default"/>
                      <w:bCs/>
                      <w:snapToGrid w:val="0"/>
                      <w:kern w:val="18"/>
                      <w:sz w:val="18"/>
                      <w:szCs w:val="18"/>
                      <w:lang w:val="en-US" w:eastAsia="zh-CN"/>
                    </w:rPr>
                  </w:pPr>
                  <w:r>
                    <w:rPr>
                      <w:rFonts w:hint="eastAsia"/>
                      <w:bCs/>
                      <w:snapToGrid w:val="0"/>
                      <w:kern w:val="18"/>
                      <w:sz w:val="18"/>
                      <w:szCs w:val="18"/>
                      <w:lang w:val="en-US" w:eastAsia="zh-CN"/>
                    </w:rPr>
                    <w:t>0.28</w:t>
                  </w:r>
                </w:p>
              </w:tc>
              <w:tc>
                <w:tcPr>
                  <w:tcW w:w="229" w:type="pct"/>
                  <w:tcBorders>
                    <w:tl2br w:val="nil"/>
                    <w:tr2bl w:val="nil"/>
                  </w:tcBorders>
                  <w:tcMar>
                    <w:top w:w="28" w:type="dxa"/>
                    <w:left w:w="28" w:type="dxa"/>
                    <w:bottom w:w="28" w:type="dxa"/>
                    <w:right w:w="28" w:type="dxa"/>
                  </w:tcMar>
                  <w:vAlign w:val="center"/>
                </w:tcPr>
                <w:p>
                  <w:pPr>
                    <w:adjustRightInd w:val="0"/>
                    <w:snapToGrid w:val="0"/>
                    <w:jc w:val="center"/>
                    <w:rPr>
                      <w:rFonts w:hint="default"/>
                      <w:bCs/>
                      <w:snapToGrid w:val="0"/>
                      <w:kern w:val="18"/>
                      <w:sz w:val="18"/>
                      <w:szCs w:val="18"/>
                      <w:lang w:val="en-US" w:eastAsia="zh-CN"/>
                    </w:rPr>
                  </w:pPr>
                  <w:r>
                    <w:rPr>
                      <w:rFonts w:hint="eastAsia"/>
                      <w:bCs/>
                      <w:snapToGrid w:val="0"/>
                      <w:kern w:val="18"/>
                      <w:sz w:val="18"/>
                      <w:szCs w:val="18"/>
                      <w:lang w:val="en-US" w:eastAsia="zh-CN"/>
                    </w:rPr>
                    <w:t>70</w:t>
                  </w:r>
                </w:p>
              </w:tc>
              <w:tc>
                <w:tcPr>
                  <w:tcW w:w="348" w:type="pct"/>
                  <w:tcBorders>
                    <w:tl2br w:val="nil"/>
                    <w:tr2bl w:val="nil"/>
                  </w:tcBorders>
                  <w:vAlign w:val="center"/>
                </w:tcPr>
                <w:p>
                  <w:pPr>
                    <w:adjustRightInd w:val="0"/>
                    <w:snapToGrid w:val="0"/>
                    <w:jc w:val="center"/>
                    <w:rPr>
                      <w:rFonts w:hint="eastAsia" w:eastAsia="宋体"/>
                      <w:bCs/>
                      <w:snapToGrid w:val="0"/>
                      <w:kern w:val="18"/>
                      <w:sz w:val="18"/>
                      <w:szCs w:val="18"/>
                      <w:lang w:eastAsia="zh-CN"/>
                    </w:rPr>
                  </w:pPr>
                  <w:r>
                    <w:rPr>
                      <w:rFonts w:hint="eastAsia"/>
                      <w:bCs/>
                      <w:snapToGrid w:val="0"/>
                      <w:kern w:val="18"/>
                      <w:sz w:val="18"/>
                      <w:szCs w:val="18"/>
                      <w:lang w:eastAsia="zh-CN"/>
                    </w:rPr>
                    <w:t>布袋除尘器</w:t>
                  </w:r>
                </w:p>
              </w:tc>
              <w:tc>
                <w:tcPr>
                  <w:tcW w:w="244" w:type="pct"/>
                  <w:tcBorders>
                    <w:tl2br w:val="nil"/>
                    <w:tr2bl w:val="nil"/>
                  </w:tcBorders>
                  <w:vAlign w:val="center"/>
                </w:tcPr>
                <w:p>
                  <w:pPr>
                    <w:adjustRightInd w:val="0"/>
                    <w:snapToGrid w:val="0"/>
                    <w:jc w:val="center"/>
                    <w:rPr>
                      <w:rFonts w:hint="default"/>
                      <w:bCs/>
                      <w:snapToGrid w:val="0"/>
                      <w:kern w:val="18"/>
                      <w:sz w:val="18"/>
                      <w:szCs w:val="18"/>
                      <w:lang w:val="en-US" w:eastAsia="zh-CN"/>
                    </w:rPr>
                  </w:pPr>
                  <w:r>
                    <w:rPr>
                      <w:rFonts w:hint="eastAsia"/>
                      <w:bCs/>
                      <w:snapToGrid w:val="0"/>
                      <w:kern w:val="18"/>
                      <w:sz w:val="18"/>
                      <w:szCs w:val="18"/>
                      <w:lang w:val="en-US" w:eastAsia="zh-CN"/>
                    </w:rPr>
                    <w:t>95%</w:t>
                  </w:r>
                </w:p>
              </w:tc>
              <w:tc>
                <w:tcPr>
                  <w:tcW w:w="373" w:type="pct"/>
                  <w:vMerge w:val="continue"/>
                  <w:tcBorders>
                    <w:tl2br w:val="nil"/>
                    <w:tr2bl w:val="nil"/>
                  </w:tcBorders>
                  <w:vAlign w:val="center"/>
                </w:tcPr>
                <w:p>
                  <w:pPr>
                    <w:adjustRightInd w:val="0"/>
                    <w:snapToGrid w:val="0"/>
                    <w:jc w:val="center"/>
                    <w:rPr>
                      <w:rFonts w:hint="eastAsia"/>
                      <w:bCs/>
                      <w:snapToGrid w:val="0"/>
                      <w:kern w:val="18"/>
                      <w:sz w:val="18"/>
                      <w:szCs w:val="18"/>
                    </w:rPr>
                  </w:pPr>
                </w:p>
              </w:tc>
              <w:tc>
                <w:tcPr>
                  <w:tcW w:w="500" w:type="pct"/>
                  <w:tcBorders>
                    <w:tl2br w:val="nil"/>
                    <w:tr2bl w:val="nil"/>
                  </w:tcBorders>
                  <w:vAlign w:val="center"/>
                </w:tcPr>
                <w:p>
                  <w:pPr>
                    <w:adjustRightInd w:val="0"/>
                    <w:snapToGrid w:val="0"/>
                    <w:jc w:val="center"/>
                    <w:rPr>
                      <w:rFonts w:hint="eastAsia"/>
                      <w:bCs/>
                      <w:snapToGrid w:val="0"/>
                      <w:kern w:val="18"/>
                      <w:sz w:val="18"/>
                      <w:szCs w:val="18"/>
                    </w:rPr>
                  </w:pPr>
                  <w:r>
                    <w:rPr>
                      <w:rFonts w:hint="eastAsia"/>
                      <w:bCs/>
                      <w:snapToGrid w:val="0"/>
                      <w:kern w:val="18"/>
                      <w:sz w:val="18"/>
                      <w:szCs w:val="18"/>
                    </w:rPr>
                    <w:t>产污系数法</w:t>
                  </w:r>
                </w:p>
              </w:tc>
              <w:tc>
                <w:tcPr>
                  <w:tcW w:w="291" w:type="pct"/>
                  <w:tcBorders>
                    <w:tl2br w:val="nil"/>
                    <w:tr2bl w:val="nil"/>
                  </w:tcBorders>
                  <w:tcMar>
                    <w:top w:w="28" w:type="dxa"/>
                    <w:left w:w="28" w:type="dxa"/>
                    <w:bottom w:w="28" w:type="dxa"/>
                    <w:right w:w="28" w:type="dxa"/>
                  </w:tcMar>
                  <w:vAlign w:val="center"/>
                </w:tcPr>
                <w:p>
                  <w:pPr>
                    <w:adjustRightInd w:val="0"/>
                    <w:snapToGrid w:val="0"/>
                    <w:jc w:val="center"/>
                    <w:rPr>
                      <w:rFonts w:hint="default"/>
                      <w:bCs/>
                      <w:snapToGrid w:val="0"/>
                      <w:color w:val="0000FF"/>
                      <w:kern w:val="18"/>
                      <w:sz w:val="18"/>
                      <w:szCs w:val="18"/>
                      <w:lang w:val="en-US" w:eastAsia="zh-CN"/>
                    </w:rPr>
                  </w:pPr>
                  <w:r>
                    <w:rPr>
                      <w:rFonts w:hint="eastAsia"/>
                      <w:bCs/>
                      <w:snapToGrid w:val="0"/>
                      <w:color w:val="0000FF"/>
                      <w:kern w:val="18"/>
                      <w:sz w:val="18"/>
                      <w:szCs w:val="18"/>
                      <w:lang w:val="en-US" w:eastAsia="zh-CN"/>
                    </w:rPr>
                    <w:t>0.0005</w:t>
                  </w:r>
                </w:p>
              </w:tc>
              <w:tc>
                <w:tcPr>
                  <w:tcW w:w="242" w:type="pct"/>
                  <w:tcBorders>
                    <w:tl2br w:val="nil"/>
                    <w:tr2bl w:val="nil"/>
                  </w:tcBorders>
                  <w:tcMar>
                    <w:top w:w="28" w:type="dxa"/>
                    <w:left w:w="28" w:type="dxa"/>
                    <w:bottom w:w="28" w:type="dxa"/>
                    <w:right w:w="28" w:type="dxa"/>
                  </w:tcMar>
                  <w:vAlign w:val="center"/>
                </w:tcPr>
                <w:p>
                  <w:pPr>
                    <w:adjustRightInd w:val="0"/>
                    <w:snapToGrid w:val="0"/>
                    <w:jc w:val="center"/>
                    <w:rPr>
                      <w:rFonts w:hint="default"/>
                      <w:bCs/>
                      <w:snapToGrid w:val="0"/>
                      <w:kern w:val="18"/>
                      <w:sz w:val="18"/>
                      <w:szCs w:val="18"/>
                      <w:lang w:val="en-US" w:eastAsia="zh-CN"/>
                    </w:rPr>
                  </w:pPr>
                  <w:r>
                    <w:rPr>
                      <w:rFonts w:hint="eastAsia"/>
                      <w:bCs/>
                      <w:snapToGrid w:val="0"/>
                      <w:kern w:val="18"/>
                      <w:sz w:val="18"/>
                      <w:szCs w:val="18"/>
                      <w:lang w:val="en-US" w:eastAsia="zh-CN"/>
                    </w:rPr>
                    <w:t>0.014</w:t>
                  </w:r>
                </w:p>
              </w:tc>
              <w:tc>
                <w:tcPr>
                  <w:tcW w:w="309" w:type="pct"/>
                  <w:tcBorders>
                    <w:tl2br w:val="nil"/>
                    <w:tr2bl w:val="nil"/>
                  </w:tcBorders>
                  <w:tcMar>
                    <w:top w:w="28" w:type="dxa"/>
                    <w:left w:w="28" w:type="dxa"/>
                    <w:bottom w:w="28" w:type="dxa"/>
                    <w:right w:w="28" w:type="dxa"/>
                  </w:tcMar>
                  <w:vAlign w:val="center"/>
                </w:tcPr>
                <w:p>
                  <w:pPr>
                    <w:adjustRightInd w:val="0"/>
                    <w:snapToGrid w:val="0"/>
                    <w:jc w:val="center"/>
                    <w:rPr>
                      <w:rFonts w:hint="default"/>
                      <w:bCs/>
                      <w:snapToGrid w:val="0"/>
                      <w:kern w:val="18"/>
                      <w:sz w:val="18"/>
                      <w:szCs w:val="18"/>
                      <w:lang w:val="en-US" w:eastAsia="zh-CN"/>
                    </w:rPr>
                  </w:pPr>
                  <w:r>
                    <w:rPr>
                      <w:rFonts w:hint="eastAsia"/>
                      <w:bCs/>
                      <w:snapToGrid w:val="0"/>
                      <w:kern w:val="18"/>
                      <w:sz w:val="18"/>
                      <w:szCs w:val="18"/>
                      <w:lang w:val="en-US" w:eastAsia="zh-CN"/>
                    </w:rPr>
                    <w:t>2.8</w:t>
                  </w:r>
                </w:p>
              </w:tc>
              <w:tc>
                <w:tcPr>
                  <w:tcW w:w="202" w:type="pct"/>
                  <w:vMerge w:val="restart"/>
                  <w:tcBorders>
                    <w:tl2br w:val="nil"/>
                    <w:tr2bl w:val="nil"/>
                  </w:tcBorders>
                  <w:tcMar>
                    <w:top w:w="28" w:type="dxa"/>
                    <w:left w:w="28" w:type="dxa"/>
                    <w:bottom w:w="28" w:type="dxa"/>
                    <w:right w:w="28" w:type="dxa"/>
                  </w:tcMar>
                  <w:vAlign w:val="center"/>
                </w:tcPr>
                <w:p>
                  <w:pPr>
                    <w:adjustRightInd w:val="0"/>
                    <w:snapToGrid w:val="0"/>
                    <w:jc w:val="center"/>
                    <w:rPr>
                      <w:rFonts w:hint="default" w:eastAsia="宋体"/>
                      <w:bCs/>
                      <w:snapToGrid w:val="0"/>
                      <w:kern w:val="18"/>
                      <w:sz w:val="18"/>
                      <w:szCs w:val="18"/>
                      <w:lang w:val="en-US" w:eastAsia="zh-CN"/>
                    </w:rPr>
                  </w:pPr>
                  <w:r>
                    <w:rPr>
                      <w:rFonts w:hint="eastAsia"/>
                      <w:bCs/>
                      <w:snapToGrid w:val="0"/>
                      <w:kern w:val="18"/>
                      <w:sz w:val="18"/>
                      <w:szCs w:val="18"/>
                      <w:lang w:val="en-US" w:eastAsia="zh-CN"/>
                    </w:rPr>
                    <w:t>15m</w:t>
                  </w:r>
                </w:p>
              </w:tc>
              <w:tc>
                <w:tcPr>
                  <w:tcW w:w="202" w:type="pct"/>
                  <w:vMerge w:val="restart"/>
                  <w:tcBorders>
                    <w:tl2br w:val="nil"/>
                    <w:tr2bl w:val="nil"/>
                  </w:tcBorders>
                  <w:tcMar>
                    <w:top w:w="28" w:type="dxa"/>
                    <w:left w:w="28" w:type="dxa"/>
                    <w:bottom w:w="28" w:type="dxa"/>
                    <w:right w:w="28" w:type="dxa"/>
                  </w:tcMar>
                  <w:vAlign w:val="center"/>
                </w:tcPr>
                <w:p>
                  <w:pPr>
                    <w:adjustRightInd w:val="0"/>
                    <w:snapToGrid w:val="0"/>
                    <w:jc w:val="center"/>
                    <w:rPr>
                      <w:rFonts w:hint="default" w:eastAsia="宋体"/>
                      <w:bCs/>
                      <w:snapToGrid w:val="0"/>
                      <w:kern w:val="18"/>
                      <w:sz w:val="18"/>
                      <w:szCs w:val="18"/>
                      <w:lang w:val="en-US" w:eastAsia="zh-CN"/>
                    </w:rPr>
                  </w:pPr>
                  <w:r>
                    <w:rPr>
                      <w:rFonts w:hint="eastAsia"/>
                      <w:bCs/>
                      <w:snapToGrid w:val="0"/>
                      <w:kern w:val="18"/>
                      <w:sz w:val="18"/>
                      <w:szCs w:val="18"/>
                      <w:lang w:val="en-US" w:eastAsia="zh-CN"/>
                    </w:rPr>
                    <w:t>0.35m</w:t>
                  </w:r>
                </w:p>
              </w:tc>
              <w:tc>
                <w:tcPr>
                  <w:tcW w:w="211" w:type="pct"/>
                  <w:vMerge w:val="restart"/>
                  <w:tcBorders>
                    <w:tl2br w:val="nil"/>
                    <w:tr2bl w:val="nil"/>
                  </w:tcBorders>
                  <w:tcMar>
                    <w:top w:w="28" w:type="dxa"/>
                    <w:left w:w="28" w:type="dxa"/>
                    <w:bottom w:w="28" w:type="dxa"/>
                    <w:right w:w="28" w:type="dxa"/>
                  </w:tcMar>
                  <w:vAlign w:val="center"/>
                </w:tcPr>
                <w:p>
                  <w:pPr>
                    <w:adjustRightInd w:val="0"/>
                    <w:snapToGrid w:val="0"/>
                    <w:jc w:val="center"/>
                    <w:rPr>
                      <w:bCs/>
                      <w:snapToGrid w:val="0"/>
                      <w:kern w:val="18"/>
                      <w:sz w:val="18"/>
                      <w:szCs w:val="18"/>
                    </w:rPr>
                  </w:pPr>
                  <w:r>
                    <w:rPr>
                      <w:rFonts w:hint="eastAsia"/>
                      <w:bCs/>
                      <w:snapToGrid w:val="0"/>
                      <w:kern w:val="18"/>
                      <w:sz w:val="18"/>
                      <w:szCs w:val="18"/>
                    </w:rPr>
                    <w:t>室温25℃</w:t>
                  </w:r>
                </w:p>
              </w:tc>
              <w:tc>
                <w:tcPr>
                  <w:tcW w:w="204" w:type="pct"/>
                  <w:vMerge w:val="restart"/>
                  <w:tcBorders>
                    <w:tl2br w:val="nil"/>
                    <w:tr2bl w:val="nil"/>
                  </w:tcBorders>
                  <w:tcMar>
                    <w:top w:w="28" w:type="dxa"/>
                    <w:left w:w="28" w:type="dxa"/>
                    <w:bottom w:w="28" w:type="dxa"/>
                    <w:right w:w="28" w:type="dxa"/>
                  </w:tcMar>
                  <w:vAlign w:val="center"/>
                </w:tcPr>
                <w:p>
                  <w:pPr>
                    <w:adjustRightInd w:val="0"/>
                    <w:snapToGrid w:val="0"/>
                    <w:jc w:val="center"/>
                    <w:rPr>
                      <w:rFonts w:hint="default" w:eastAsia="宋体"/>
                      <w:bCs/>
                      <w:snapToGrid w:val="0"/>
                      <w:kern w:val="18"/>
                      <w:sz w:val="18"/>
                      <w:szCs w:val="18"/>
                      <w:lang w:val="en-US" w:eastAsia="zh-CN"/>
                    </w:rPr>
                  </w:pPr>
                  <w:r>
                    <w:rPr>
                      <w:rFonts w:hint="eastAsia"/>
                      <w:bCs/>
                      <w:snapToGrid w:val="0"/>
                      <w:kern w:val="18"/>
                      <w:sz w:val="18"/>
                      <w:szCs w:val="18"/>
                      <w:lang w:val="en-US" w:eastAsia="zh-CN"/>
                    </w:rPr>
                    <w:t>60</w:t>
                  </w:r>
                </w:p>
              </w:tc>
            </w:tr>
            <w:tr>
              <w:tblPrEx>
                <w:tblBorders>
                  <w:top w:val="single" w:color="000000" w:sz="12" w:space="0"/>
                  <w:left w:val="none" w:color="auto" w:sz="0" w:space="0"/>
                  <w:bottom w:val="single" w:color="000000" w:sz="12" w:space="0"/>
                  <w:right w:val="none" w:color="auto" w:sz="0" w:space="0"/>
                  <w:insideH w:val="single" w:color="000000" w:sz="2" w:space="0"/>
                  <w:insideV w:val="single" w:color="000000" w:sz="2" w:space="0"/>
                </w:tblBorders>
                <w:tblCellMar>
                  <w:top w:w="0" w:type="dxa"/>
                  <w:left w:w="11" w:type="dxa"/>
                  <w:bottom w:w="0" w:type="dxa"/>
                  <w:right w:w="11" w:type="dxa"/>
                </w:tblCellMar>
              </w:tblPrEx>
              <w:trPr>
                <w:trHeight w:val="340" w:hRule="atLeast"/>
                <w:jc w:val="center"/>
              </w:trPr>
              <w:tc>
                <w:tcPr>
                  <w:tcW w:w="109" w:type="pct"/>
                  <w:gridSpan w:val="2"/>
                  <w:vMerge w:val="restart"/>
                  <w:tcBorders>
                    <w:tl2br w:val="nil"/>
                    <w:tr2bl w:val="nil"/>
                  </w:tcBorders>
                  <w:vAlign w:val="center"/>
                </w:tcPr>
                <w:p>
                  <w:pPr>
                    <w:adjustRightInd w:val="0"/>
                    <w:snapToGrid w:val="0"/>
                    <w:jc w:val="center"/>
                    <w:rPr>
                      <w:rFonts w:hint="eastAsia" w:eastAsia="宋体"/>
                      <w:sz w:val="18"/>
                      <w:szCs w:val="18"/>
                      <w:lang w:eastAsia="zh-CN"/>
                    </w:rPr>
                  </w:pPr>
                  <w:r>
                    <w:rPr>
                      <w:rFonts w:hint="eastAsia"/>
                      <w:sz w:val="18"/>
                      <w:szCs w:val="18"/>
                      <w:lang w:eastAsia="zh-CN"/>
                    </w:rPr>
                    <w:t>注塑成型</w:t>
                  </w:r>
                </w:p>
              </w:tc>
              <w:tc>
                <w:tcPr>
                  <w:tcW w:w="129" w:type="pct"/>
                  <w:vMerge w:val="continue"/>
                  <w:tcBorders>
                    <w:tl2br w:val="nil"/>
                    <w:tr2bl w:val="nil"/>
                  </w:tcBorders>
                  <w:vAlign w:val="center"/>
                </w:tcPr>
                <w:p>
                  <w:pPr>
                    <w:adjustRightInd w:val="0"/>
                    <w:snapToGrid w:val="0"/>
                    <w:jc w:val="center"/>
                    <w:rPr>
                      <w:rFonts w:hint="eastAsia"/>
                      <w:sz w:val="18"/>
                      <w:szCs w:val="18"/>
                      <w:lang w:eastAsia="zh-CN"/>
                    </w:rPr>
                  </w:pPr>
                </w:p>
              </w:tc>
              <w:tc>
                <w:tcPr>
                  <w:tcW w:w="197" w:type="pct"/>
                  <w:vMerge w:val="continue"/>
                  <w:tcBorders>
                    <w:tl2br w:val="nil"/>
                    <w:tr2bl w:val="nil"/>
                  </w:tcBorders>
                  <w:vAlign w:val="center"/>
                </w:tcPr>
                <w:p>
                  <w:pPr>
                    <w:adjustRightInd w:val="0"/>
                    <w:snapToGrid w:val="0"/>
                    <w:jc w:val="center"/>
                    <w:rPr>
                      <w:bCs/>
                      <w:snapToGrid w:val="0"/>
                      <w:kern w:val="18"/>
                      <w:sz w:val="18"/>
                      <w:szCs w:val="18"/>
                    </w:rPr>
                  </w:pPr>
                </w:p>
              </w:tc>
              <w:tc>
                <w:tcPr>
                  <w:tcW w:w="203" w:type="pct"/>
                  <w:tcBorders>
                    <w:tl2br w:val="nil"/>
                    <w:tr2bl w:val="nil"/>
                  </w:tcBorders>
                  <w:vAlign w:val="center"/>
                </w:tcPr>
                <w:p>
                  <w:pPr>
                    <w:adjustRightInd w:val="0"/>
                    <w:snapToGrid w:val="0"/>
                    <w:jc w:val="center"/>
                    <w:rPr>
                      <w:rFonts w:hint="eastAsia" w:eastAsia="宋体"/>
                      <w:bCs/>
                      <w:snapToGrid w:val="0"/>
                      <w:kern w:val="18"/>
                      <w:sz w:val="18"/>
                      <w:szCs w:val="18"/>
                      <w:lang w:eastAsia="zh-CN"/>
                    </w:rPr>
                  </w:pPr>
                  <w:r>
                    <w:rPr>
                      <w:rFonts w:hint="eastAsia"/>
                      <w:bCs/>
                      <w:snapToGrid w:val="0"/>
                      <w:kern w:val="18"/>
                      <w:sz w:val="18"/>
                      <w:szCs w:val="18"/>
                      <w:lang w:eastAsia="zh-CN"/>
                    </w:rPr>
                    <w:t>非甲烷总烃</w:t>
                  </w:r>
                </w:p>
              </w:tc>
              <w:tc>
                <w:tcPr>
                  <w:tcW w:w="311" w:type="pct"/>
                  <w:vMerge w:val="restart"/>
                  <w:tcBorders>
                    <w:tl2br w:val="nil"/>
                    <w:tr2bl w:val="nil"/>
                  </w:tcBorders>
                  <w:vAlign w:val="center"/>
                </w:tcPr>
                <w:p>
                  <w:pPr>
                    <w:adjustRightInd w:val="0"/>
                    <w:snapToGrid w:val="0"/>
                    <w:jc w:val="center"/>
                    <w:rPr>
                      <w:rFonts w:hint="default" w:eastAsia="宋体"/>
                      <w:bCs/>
                      <w:snapToGrid w:val="0"/>
                      <w:kern w:val="18"/>
                      <w:sz w:val="18"/>
                      <w:szCs w:val="18"/>
                      <w:lang w:val="en-US" w:eastAsia="zh-CN"/>
                    </w:rPr>
                  </w:pPr>
                  <w:r>
                    <w:rPr>
                      <w:rFonts w:hint="eastAsia"/>
                      <w:bCs/>
                      <w:snapToGrid w:val="0"/>
                      <w:kern w:val="18"/>
                      <w:sz w:val="18"/>
                      <w:szCs w:val="18"/>
                      <w:lang w:val="en-US" w:eastAsia="zh-CN"/>
                    </w:rPr>
                    <w:t>1000</w:t>
                  </w:r>
                </w:p>
              </w:tc>
              <w:tc>
                <w:tcPr>
                  <w:tcW w:w="164" w:type="pct"/>
                  <w:vMerge w:val="continue"/>
                  <w:tcBorders>
                    <w:tl2br w:val="nil"/>
                    <w:tr2bl w:val="nil"/>
                  </w:tcBorders>
                  <w:vAlign w:val="center"/>
                </w:tcPr>
                <w:p>
                  <w:pPr>
                    <w:adjustRightInd w:val="0"/>
                    <w:snapToGrid w:val="0"/>
                    <w:jc w:val="center"/>
                    <w:rPr>
                      <w:bCs/>
                      <w:snapToGrid w:val="0"/>
                      <w:kern w:val="18"/>
                      <w:sz w:val="18"/>
                      <w:szCs w:val="18"/>
                    </w:rPr>
                  </w:pPr>
                </w:p>
              </w:tc>
              <w:tc>
                <w:tcPr>
                  <w:tcW w:w="281" w:type="pct"/>
                  <w:tcBorders>
                    <w:tl2br w:val="nil"/>
                    <w:tr2bl w:val="nil"/>
                  </w:tcBorders>
                  <w:tcMar>
                    <w:top w:w="28" w:type="dxa"/>
                    <w:left w:w="28" w:type="dxa"/>
                    <w:bottom w:w="28" w:type="dxa"/>
                    <w:right w:w="28" w:type="dxa"/>
                  </w:tcMar>
                  <w:vAlign w:val="center"/>
                </w:tcPr>
                <w:p>
                  <w:pPr>
                    <w:adjustRightInd w:val="0"/>
                    <w:snapToGrid w:val="0"/>
                    <w:jc w:val="center"/>
                    <w:rPr>
                      <w:rFonts w:hint="default" w:eastAsia="宋体"/>
                      <w:bCs/>
                      <w:snapToGrid w:val="0"/>
                      <w:kern w:val="18"/>
                      <w:sz w:val="18"/>
                      <w:szCs w:val="18"/>
                      <w:lang w:val="en-US" w:eastAsia="zh-CN"/>
                    </w:rPr>
                  </w:pPr>
                  <w:r>
                    <w:rPr>
                      <w:rFonts w:hint="eastAsia"/>
                      <w:bCs/>
                      <w:snapToGrid w:val="0"/>
                      <w:kern w:val="18"/>
                      <w:sz w:val="18"/>
                      <w:szCs w:val="18"/>
                      <w:lang w:val="en-US" w:eastAsia="zh-CN"/>
                    </w:rPr>
                    <w:t>0.25</w:t>
                  </w:r>
                  <w:r>
                    <w:rPr>
                      <w:rFonts w:hint="eastAsia"/>
                      <w:b/>
                      <w:snapToGrid w:val="0"/>
                      <w:kern w:val="18"/>
                      <w:sz w:val="18"/>
                      <w:szCs w:val="18"/>
                      <w:lang w:val="en-US" w:eastAsia="zh-CN"/>
                    </w:rPr>
                    <w:t>kg</w:t>
                  </w:r>
                  <w:r>
                    <w:rPr>
                      <w:b/>
                      <w:snapToGrid w:val="0"/>
                      <w:kern w:val="18"/>
                      <w:sz w:val="18"/>
                      <w:szCs w:val="18"/>
                    </w:rPr>
                    <w:t>/a</w:t>
                  </w:r>
                </w:p>
              </w:tc>
              <w:tc>
                <w:tcPr>
                  <w:tcW w:w="245" w:type="pct"/>
                  <w:tcBorders>
                    <w:tl2br w:val="nil"/>
                    <w:tr2bl w:val="nil"/>
                  </w:tcBorders>
                  <w:tcMar>
                    <w:top w:w="28" w:type="dxa"/>
                    <w:left w:w="28" w:type="dxa"/>
                    <w:bottom w:w="28" w:type="dxa"/>
                    <w:right w:w="28" w:type="dxa"/>
                  </w:tcMar>
                  <w:vAlign w:val="center"/>
                </w:tcPr>
                <w:p>
                  <w:pPr>
                    <w:adjustRightInd w:val="0"/>
                    <w:snapToGrid w:val="0"/>
                    <w:jc w:val="center"/>
                    <w:rPr>
                      <w:rFonts w:hint="default" w:eastAsia="宋体"/>
                      <w:bCs/>
                      <w:snapToGrid w:val="0"/>
                      <w:kern w:val="18"/>
                      <w:sz w:val="18"/>
                      <w:szCs w:val="18"/>
                      <w:lang w:val="en-US" w:eastAsia="zh-CN"/>
                    </w:rPr>
                  </w:pPr>
                  <w:r>
                    <w:rPr>
                      <w:rFonts w:hint="eastAsia"/>
                      <w:bCs/>
                      <w:snapToGrid w:val="0"/>
                      <w:kern w:val="18"/>
                      <w:sz w:val="18"/>
                      <w:szCs w:val="18"/>
                      <w:lang w:val="en-US" w:eastAsia="zh-CN"/>
                    </w:rPr>
                    <w:t>0.004</w:t>
                  </w:r>
                </w:p>
              </w:tc>
              <w:tc>
                <w:tcPr>
                  <w:tcW w:w="229" w:type="pct"/>
                  <w:tcBorders>
                    <w:tl2br w:val="nil"/>
                    <w:tr2bl w:val="nil"/>
                  </w:tcBorders>
                  <w:tcMar>
                    <w:top w:w="28" w:type="dxa"/>
                    <w:left w:w="28" w:type="dxa"/>
                    <w:bottom w:w="28" w:type="dxa"/>
                    <w:right w:w="28" w:type="dxa"/>
                  </w:tcMar>
                  <w:vAlign w:val="center"/>
                </w:tcPr>
                <w:p>
                  <w:pPr>
                    <w:adjustRightInd w:val="0"/>
                    <w:snapToGrid w:val="0"/>
                    <w:jc w:val="center"/>
                    <w:rPr>
                      <w:rFonts w:hint="default" w:eastAsia="宋体"/>
                      <w:bCs/>
                      <w:snapToGrid w:val="0"/>
                      <w:kern w:val="18"/>
                      <w:sz w:val="18"/>
                      <w:szCs w:val="18"/>
                      <w:lang w:val="en-US" w:eastAsia="zh-CN"/>
                    </w:rPr>
                  </w:pPr>
                  <w:r>
                    <w:rPr>
                      <w:rFonts w:hint="eastAsia"/>
                      <w:bCs/>
                      <w:snapToGrid w:val="0"/>
                      <w:kern w:val="18"/>
                      <w:sz w:val="18"/>
                      <w:szCs w:val="18"/>
                      <w:lang w:val="en-US" w:eastAsia="zh-CN"/>
                    </w:rPr>
                    <w:t>4.0</w:t>
                  </w:r>
                </w:p>
              </w:tc>
              <w:tc>
                <w:tcPr>
                  <w:tcW w:w="348" w:type="pct"/>
                  <w:vMerge w:val="restart"/>
                  <w:tcBorders>
                    <w:tl2br w:val="nil"/>
                    <w:tr2bl w:val="nil"/>
                  </w:tcBorders>
                  <w:vAlign w:val="center"/>
                </w:tcPr>
                <w:p>
                  <w:pPr>
                    <w:adjustRightInd w:val="0"/>
                    <w:snapToGrid w:val="0"/>
                    <w:jc w:val="center"/>
                    <w:rPr>
                      <w:bCs/>
                      <w:snapToGrid w:val="0"/>
                      <w:kern w:val="18"/>
                      <w:sz w:val="18"/>
                      <w:szCs w:val="18"/>
                    </w:rPr>
                  </w:pPr>
                  <w:r>
                    <w:rPr>
                      <w:rFonts w:hint="eastAsia"/>
                      <w:bCs/>
                      <w:snapToGrid w:val="0"/>
                      <w:kern w:val="18"/>
                      <w:sz w:val="18"/>
                      <w:szCs w:val="18"/>
                    </w:rPr>
                    <w:t>二级活性炭吸附装置</w:t>
                  </w:r>
                </w:p>
              </w:tc>
              <w:tc>
                <w:tcPr>
                  <w:tcW w:w="244" w:type="pct"/>
                  <w:tcBorders>
                    <w:tl2br w:val="nil"/>
                    <w:tr2bl w:val="nil"/>
                  </w:tcBorders>
                  <w:vAlign w:val="center"/>
                </w:tcPr>
                <w:p>
                  <w:pPr>
                    <w:adjustRightInd w:val="0"/>
                    <w:snapToGrid w:val="0"/>
                    <w:jc w:val="center"/>
                    <w:rPr>
                      <w:rFonts w:hint="default" w:eastAsia="宋体"/>
                      <w:bCs/>
                      <w:snapToGrid w:val="0"/>
                      <w:kern w:val="18"/>
                      <w:sz w:val="18"/>
                      <w:szCs w:val="18"/>
                      <w:lang w:val="en-US" w:eastAsia="zh-CN"/>
                    </w:rPr>
                  </w:pPr>
                  <w:r>
                    <w:rPr>
                      <w:rFonts w:hint="eastAsia"/>
                      <w:bCs/>
                      <w:snapToGrid w:val="0"/>
                      <w:kern w:val="18"/>
                      <w:sz w:val="18"/>
                      <w:szCs w:val="18"/>
                      <w:lang w:val="en-US" w:eastAsia="zh-CN"/>
                    </w:rPr>
                    <w:t>80%</w:t>
                  </w:r>
                </w:p>
              </w:tc>
              <w:tc>
                <w:tcPr>
                  <w:tcW w:w="373" w:type="pct"/>
                  <w:vMerge w:val="continue"/>
                  <w:tcBorders>
                    <w:tl2br w:val="nil"/>
                    <w:tr2bl w:val="nil"/>
                  </w:tcBorders>
                  <w:vAlign w:val="center"/>
                </w:tcPr>
                <w:p>
                  <w:pPr>
                    <w:adjustRightInd w:val="0"/>
                    <w:snapToGrid w:val="0"/>
                    <w:jc w:val="center"/>
                    <w:rPr>
                      <w:rFonts w:hint="eastAsia"/>
                      <w:bCs/>
                      <w:snapToGrid w:val="0"/>
                      <w:kern w:val="18"/>
                      <w:sz w:val="18"/>
                      <w:szCs w:val="18"/>
                    </w:rPr>
                  </w:pPr>
                </w:p>
              </w:tc>
              <w:tc>
                <w:tcPr>
                  <w:tcW w:w="500" w:type="pct"/>
                  <w:tcBorders>
                    <w:tl2br w:val="nil"/>
                    <w:tr2bl w:val="nil"/>
                  </w:tcBorders>
                  <w:vAlign w:val="center"/>
                </w:tcPr>
                <w:p>
                  <w:pPr>
                    <w:adjustRightInd w:val="0"/>
                    <w:snapToGrid w:val="0"/>
                    <w:jc w:val="center"/>
                    <w:rPr>
                      <w:b/>
                      <w:snapToGrid w:val="0"/>
                      <w:kern w:val="18"/>
                      <w:sz w:val="18"/>
                      <w:szCs w:val="18"/>
                    </w:rPr>
                  </w:pPr>
                  <w:r>
                    <w:rPr>
                      <w:rFonts w:hint="eastAsia"/>
                      <w:bCs/>
                      <w:snapToGrid w:val="0"/>
                      <w:kern w:val="18"/>
                      <w:sz w:val="18"/>
                      <w:szCs w:val="18"/>
                    </w:rPr>
                    <w:t>产污系数法</w:t>
                  </w:r>
                </w:p>
              </w:tc>
              <w:tc>
                <w:tcPr>
                  <w:tcW w:w="291" w:type="pct"/>
                  <w:tcBorders>
                    <w:tl2br w:val="nil"/>
                    <w:tr2bl w:val="nil"/>
                  </w:tcBorders>
                  <w:tcMar>
                    <w:top w:w="28" w:type="dxa"/>
                    <w:left w:w="28" w:type="dxa"/>
                    <w:bottom w:w="28" w:type="dxa"/>
                    <w:right w:w="28" w:type="dxa"/>
                  </w:tcMar>
                  <w:vAlign w:val="center"/>
                </w:tcPr>
                <w:p>
                  <w:pPr>
                    <w:adjustRightInd w:val="0"/>
                    <w:snapToGrid w:val="0"/>
                    <w:jc w:val="center"/>
                    <w:rPr>
                      <w:rFonts w:hint="default" w:eastAsia="宋体"/>
                      <w:bCs/>
                      <w:snapToGrid w:val="0"/>
                      <w:color w:val="0000FF"/>
                      <w:kern w:val="18"/>
                      <w:sz w:val="18"/>
                      <w:szCs w:val="18"/>
                      <w:lang w:val="en-US" w:eastAsia="zh-CN"/>
                    </w:rPr>
                  </w:pPr>
                  <w:r>
                    <w:rPr>
                      <w:rFonts w:hint="eastAsia"/>
                      <w:bCs/>
                      <w:snapToGrid w:val="0"/>
                      <w:color w:val="0000FF"/>
                      <w:kern w:val="18"/>
                      <w:sz w:val="18"/>
                      <w:szCs w:val="18"/>
                      <w:lang w:val="en-US" w:eastAsia="zh-CN"/>
                    </w:rPr>
                    <w:t>0</w:t>
                  </w:r>
                  <w:r>
                    <w:rPr>
                      <w:rFonts w:hint="eastAsia"/>
                      <w:bCs/>
                      <w:snapToGrid w:val="0"/>
                      <w:color w:val="auto"/>
                      <w:kern w:val="18"/>
                      <w:sz w:val="18"/>
                      <w:szCs w:val="18"/>
                      <w:lang w:val="en-US" w:eastAsia="zh-CN"/>
                    </w:rPr>
                    <w:t>.05</w:t>
                  </w:r>
                  <w:r>
                    <w:rPr>
                      <w:rFonts w:hint="eastAsia"/>
                      <w:b/>
                      <w:snapToGrid w:val="0"/>
                      <w:kern w:val="18"/>
                      <w:sz w:val="18"/>
                      <w:szCs w:val="18"/>
                      <w:lang w:val="en-US" w:eastAsia="zh-CN"/>
                    </w:rPr>
                    <w:t>kg</w:t>
                  </w:r>
                  <w:r>
                    <w:rPr>
                      <w:b/>
                      <w:snapToGrid w:val="0"/>
                      <w:kern w:val="18"/>
                      <w:sz w:val="18"/>
                      <w:szCs w:val="18"/>
                    </w:rPr>
                    <w:t>/a</w:t>
                  </w:r>
                </w:p>
              </w:tc>
              <w:tc>
                <w:tcPr>
                  <w:tcW w:w="242" w:type="pct"/>
                  <w:tcBorders>
                    <w:tl2br w:val="nil"/>
                    <w:tr2bl w:val="nil"/>
                  </w:tcBorders>
                  <w:tcMar>
                    <w:top w:w="28" w:type="dxa"/>
                    <w:left w:w="28" w:type="dxa"/>
                    <w:bottom w:w="28" w:type="dxa"/>
                    <w:right w:w="28" w:type="dxa"/>
                  </w:tcMar>
                  <w:vAlign w:val="center"/>
                </w:tcPr>
                <w:p>
                  <w:pPr>
                    <w:adjustRightInd w:val="0"/>
                    <w:snapToGrid w:val="0"/>
                    <w:jc w:val="center"/>
                    <w:rPr>
                      <w:rFonts w:hint="default" w:eastAsia="宋体"/>
                      <w:bCs/>
                      <w:snapToGrid w:val="0"/>
                      <w:kern w:val="18"/>
                      <w:sz w:val="18"/>
                      <w:szCs w:val="18"/>
                      <w:lang w:val="en-US" w:eastAsia="zh-CN"/>
                    </w:rPr>
                  </w:pPr>
                  <w:r>
                    <w:rPr>
                      <w:rFonts w:hint="eastAsia"/>
                      <w:bCs/>
                      <w:snapToGrid w:val="0"/>
                      <w:kern w:val="18"/>
                      <w:sz w:val="18"/>
                      <w:szCs w:val="18"/>
                      <w:lang w:val="en-US" w:eastAsia="zh-CN"/>
                    </w:rPr>
                    <w:t>0.001</w:t>
                  </w:r>
                </w:p>
              </w:tc>
              <w:tc>
                <w:tcPr>
                  <w:tcW w:w="309" w:type="pct"/>
                  <w:tcBorders>
                    <w:tl2br w:val="nil"/>
                    <w:tr2bl w:val="nil"/>
                  </w:tcBorders>
                  <w:tcMar>
                    <w:top w:w="28" w:type="dxa"/>
                    <w:left w:w="28" w:type="dxa"/>
                    <w:bottom w:w="28" w:type="dxa"/>
                    <w:right w:w="28" w:type="dxa"/>
                  </w:tcMar>
                  <w:vAlign w:val="center"/>
                </w:tcPr>
                <w:p>
                  <w:pPr>
                    <w:adjustRightInd w:val="0"/>
                    <w:snapToGrid w:val="0"/>
                    <w:jc w:val="center"/>
                    <w:rPr>
                      <w:rFonts w:hint="default" w:eastAsia="宋体"/>
                      <w:bCs/>
                      <w:snapToGrid w:val="0"/>
                      <w:kern w:val="18"/>
                      <w:sz w:val="18"/>
                      <w:szCs w:val="18"/>
                      <w:lang w:val="en-US" w:eastAsia="zh-CN"/>
                    </w:rPr>
                  </w:pPr>
                  <w:r>
                    <w:rPr>
                      <w:rFonts w:hint="eastAsia"/>
                      <w:bCs/>
                      <w:snapToGrid w:val="0"/>
                      <w:kern w:val="18"/>
                      <w:sz w:val="18"/>
                      <w:szCs w:val="18"/>
                      <w:lang w:val="en-US" w:eastAsia="zh-CN"/>
                    </w:rPr>
                    <w:t>0.2</w:t>
                  </w:r>
                </w:p>
              </w:tc>
              <w:tc>
                <w:tcPr>
                  <w:tcW w:w="202" w:type="pct"/>
                  <w:vMerge w:val="continue"/>
                  <w:tcBorders>
                    <w:tl2br w:val="nil"/>
                    <w:tr2bl w:val="nil"/>
                  </w:tcBorders>
                  <w:tcMar>
                    <w:top w:w="28" w:type="dxa"/>
                    <w:left w:w="28" w:type="dxa"/>
                    <w:bottom w:w="28" w:type="dxa"/>
                    <w:right w:w="28" w:type="dxa"/>
                  </w:tcMar>
                  <w:vAlign w:val="center"/>
                </w:tcPr>
                <w:p>
                  <w:pPr>
                    <w:adjustRightInd w:val="0"/>
                    <w:snapToGrid w:val="0"/>
                    <w:jc w:val="center"/>
                    <w:rPr>
                      <w:rFonts w:hint="default" w:eastAsia="宋体"/>
                      <w:bCs/>
                      <w:snapToGrid w:val="0"/>
                      <w:kern w:val="18"/>
                      <w:sz w:val="18"/>
                      <w:szCs w:val="18"/>
                      <w:lang w:val="en-US" w:eastAsia="zh-CN"/>
                    </w:rPr>
                  </w:pPr>
                </w:p>
              </w:tc>
              <w:tc>
                <w:tcPr>
                  <w:tcW w:w="202" w:type="pct"/>
                  <w:vMerge w:val="continue"/>
                  <w:tcBorders>
                    <w:tl2br w:val="nil"/>
                    <w:tr2bl w:val="nil"/>
                  </w:tcBorders>
                  <w:tcMar>
                    <w:top w:w="28" w:type="dxa"/>
                    <w:left w:w="28" w:type="dxa"/>
                    <w:bottom w:w="28" w:type="dxa"/>
                    <w:right w:w="28" w:type="dxa"/>
                  </w:tcMar>
                  <w:vAlign w:val="center"/>
                </w:tcPr>
                <w:p>
                  <w:pPr>
                    <w:adjustRightInd w:val="0"/>
                    <w:snapToGrid w:val="0"/>
                    <w:jc w:val="center"/>
                    <w:rPr>
                      <w:rFonts w:hint="default" w:eastAsia="宋体"/>
                      <w:bCs/>
                      <w:snapToGrid w:val="0"/>
                      <w:kern w:val="18"/>
                      <w:sz w:val="18"/>
                      <w:szCs w:val="18"/>
                      <w:lang w:val="en-US" w:eastAsia="zh-CN"/>
                    </w:rPr>
                  </w:pPr>
                </w:p>
              </w:tc>
              <w:tc>
                <w:tcPr>
                  <w:tcW w:w="211" w:type="pct"/>
                  <w:vMerge w:val="continue"/>
                  <w:tcBorders>
                    <w:tl2br w:val="nil"/>
                    <w:tr2bl w:val="nil"/>
                  </w:tcBorders>
                  <w:tcMar>
                    <w:top w:w="28" w:type="dxa"/>
                    <w:left w:w="28" w:type="dxa"/>
                    <w:bottom w:w="28" w:type="dxa"/>
                    <w:right w:w="28" w:type="dxa"/>
                  </w:tcMar>
                  <w:vAlign w:val="center"/>
                </w:tcPr>
                <w:p>
                  <w:pPr>
                    <w:adjustRightInd w:val="0"/>
                    <w:snapToGrid w:val="0"/>
                    <w:jc w:val="center"/>
                    <w:rPr>
                      <w:bCs/>
                      <w:snapToGrid w:val="0"/>
                      <w:kern w:val="18"/>
                      <w:sz w:val="18"/>
                      <w:szCs w:val="18"/>
                    </w:rPr>
                  </w:pPr>
                </w:p>
              </w:tc>
              <w:tc>
                <w:tcPr>
                  <w:tcW w:w="204" w:type="pct"/>
                  <w:vMerge w:val="continue"/>
                  <w:tcBorders>
                    <w:tl2br w:val="nil"/>
                    <w:tr2bl w:val="nil"/>
                  </w:tcBorders>
                  <w:tcMar>
                    <w:top w:w="28" w:type="dxa"/>
                    <w:left w:w="28" w:type="dxa"/>
                    <w:bottom w:w="28" w:type="dxa"/>
                    <w:right w:w="28" w:type="dxa"/>
                  </w:tcMar>
                  <w:vAlign w:val="center"/>
                </w:tcPr>
                <w:p>
                  <w:pPr>
                    <w:adjustRightInd w:val="0"/>
                    <w:snapToGrid w:val="0"/>
                    <w:jc w:val="center"/>
                    <w:rPr>
                      <w:rFonts w:hint="default" w:eastAsia="宋体"/>
                      <w:bCs/>
                      <w:snapToGrid w:val="0"/>
                      <w:kern w:val="18"/>
                      <w:sz w:val="18"/>
                      <w:szCs w:val="18"/>
                      <w:lang w:val="en-US" w:eastAsia="zh-CN"/>
                    </w:rPr>
                  </w:pPr>
                </w:p>
              </w:tc>
            </w:tr>
            <w:tr>
              <w:tblPrEx>
                <w:tblBorders>
                  <w:top w:val="single" w:color="000000" w:sz="12" w:space="0"/>
                  <w:left w:val="none" w:color="auto" w:sz="0" w:space="0"/>
                  <w:bottom w:val="single" w:color="000000" w:sz="12" w:space="0"/>
                  <w:right w:val="none" w:color="auto" w:sz="0" w:space="0"/>
                  <w:insideH w:val="single" w:color="000000" w:sz="2" w:space="0"/>
                  <w:insideV w:val="single" w:color="000000" w:sz="2" w:space="0"/>
                </w:tblBorders>
                <w:tblCellMar>
                  <w:top w:w="0" w:type="dxa"/>
                  <w:left w:w="11" w:type="dxa"/>
                  <w:bottom w:w="0" w:type="dxa"/>
                  <w:right w:w="11" w:type="dxa"/>
                </w:tblCellMar>
              </w:tblPrEx>
              <w:trPr>
                <w:trHeight w:val="340" w:hRule="atLeast"/>
                <w:jc w:val="center"/>
              </w:trPr>
              <w:tc>
                <w:tcPr>
                  <w:tcW w:w="109" w:type="pct"/>
                  <w:gridSpan w:val="2"/>
                  <w:vMerge w:val="continue"/>
                  <w:tcBorders>
                    <w:tl2br w:val="nil"/>
                    <w:tr2bl w:val="nil"/>
                  </w:tcBorders>
                  <w:vAlign w:val="center"/>
                </w:tcPr>
                <w:p>
                  <w:pPr>
                    <w:adjustRightInd w:val="0"/>
                    <w:snapToGrid w:val="0"/>
                    <w:jc w:val="center"/>
                    <w:rPr>
                      <w:rFonts w:hint="eastAsia" w:eastAsia="宋体"/>
                      <w:sz w:val="18"/>
                      <w:szCs w:val="18"/>
                      <w:lang w:eastAsia="zh-CN"/>
                    </w:rPr>
                  </w:pPr>
                </w:p>
              </w:tc>
              <w:tc>
                <w:tcPr>
                  <w:tcW w:w="129" w:type="pct"/>
                  <w:vMerge w:val="continue"/>
                  <w:tcBorders>
                    <w:tl2br w:val="nil"/>
                    <w:tr2bl w:val="nil"/>
                  </w:tcBorders>
                  <w:vAlign w:val="center"/>
                </w:tcPr>
                <w:p>
                  <w:pPr>
                    <w:adjustRightInd w:val="0"/>
                    <w:snapToGrid w:val="0"/>
                    <w:jc w:val="center"/>
                    <w:rPr>
                      <w:rFonts w:hint="eastAsia"/>
                      <w:sz w:val="18"/>
                      <w:szCs w:val="18"/>
                      <w:lang w:eastAsia="zh-CN"/>
                    </w:rPr>
                  </w:pPr>
                </w:p>
              </w:tc>
              <w:tc>
                <w:tcPr>
                  <w:tcW w:w="197" w:type="pct"/>
                  <w:vMerge w:val="continue"/>
                  <w:tcBorders>
                    <w:tl2br w:val="nil"/>
                    <w:tr2bl w:val="nil"/>
                  </w:tcBorders>
                  <w:vAlign w:val="center"/>
                </w:tcPr>
                <w:p>
                  <w:pPr>
                    <w:adjustRightInd w:val="0"/>
                    <w:snapToGrid w:val="0"/>
                    <w:jc w:val="center"/>
                    <w:rPr>
                      <w:bCs/>
                      <w:snapToGrid w:val="0"/>
                      <w:kern w:val="18"/>
                      <w:sz w:val="18"/>
                      <w:szCs w:val="18"/>
                    </w:rPr>
                  </w:pPr>
                </w:p>
              </w:tc>
              <w:tc>
                <w:tcPr>
                  <w:tcW w:w="203" w:type="pct"/>
                  <w:tcBorders>
                    <w:tl2br w:val="nil"/>
                    <w:tr2bl w:val="nil"/>
                  </w:tcBorders>
                  <w:vAlign w:val="center"/>
                </w:tcPr>
                <w:p>
                  <w:pPr>
                    <w:adjustRightInd w:val="0"/>
                    <w:snapToGrid w:val="0"/>
                    <w:jc w:val="center"/>
                    <w:rPr>
                      <w:rFonts w:hint="eastAsia" w:eastAsia="宋体"/>
                      <w:bCs/>
                      <w:snapToGrid w:val="0"/>
                      <w:kern w:val="18"/>
                      <w:sz w:val="18"/>
                      <w:szCs w:val="18"/>
                      <w:lang w:eastAsia="zh-CN"/>
                    </w:rPr>
                  </w:pPr>
                  <w:r>
                    <w:rPr>
                      <w:rFonts w:hint="eastAsia"/>
                      <w:bCs/>
                      <w:snapToGrid w:val="0"/>
                      <w:kern w:val="18"/>
                      <w:sz w:val="18"/>
                      <w:szCs w:val="18"/>
                      <w:lang w:eastAsia="zh-CN"/>
                    </w:rPr>
                    <w:t>氯化氢</w:t>
                  </w:r>
                </w:p>
              </w:tc>
              <w:tc>
                <w:tcPr>
                  <w:tcW w:w="311" w:type="pct"/>
                  <w:vMerge w:val="continue"/>
                  <w:tcBorders>
                    <w:tl2br w:val="nil"/>
                    <w:tr2bl w:val="nil"/>
                  </w:tcBorders>
                  <w:vAlign w:val="center"/>
                </w:tcPr>
                <w:p>
                  <w:pPr>
                    <w:adjustRightInd w:val="0"/>
                    <w:snapToGrid w:val="0"/>
                    <w:jc w:val="center"/>
                    <w:rPr>
                      <w:bCs/>
                      <w:snapToGrid w:val="0"/>
                      <w:kern w:val="18"/>
                      <w:sz w:val="18"/>
                      <w:szCs w:val="18"/>
                    </w:rPr>
                  </w:pPr>
                </w:p>
              </w:tc>
              <w:tc>
                <w:tcPr>
                  <w:tcW w:w="164" w:type="pct"/>
                  <w:tcBorders>
                    <w:tl2br w:val="nil"/>
                    <w:tr2bl w:val="nil"/>
                  </w:tcBorders>
                  <w:vAlign w:val="center"/>
                </w:tcPr>
                <w:p>
                  <w:pPr>
                    <w:adjustRightInd w:val="0"/>
                    <w:snapToGrid w:val="0"/>
                    <w:jc w:val="center"/>
                    <w:rPr>
                      <w:rFonts w:hint="eastAsia" w:eastAsia="宋体"/>
                      <w:bCs/>
                      <w:snapToGrid w:val="0"/>
                      <w:kern w:val="18"/>
                      <w:sz w:val="18"/>
                      <w:szCs w:val="18"/>
                      <w:lang w:val="en-US" w:eastAsia="zh-CN"/>
                    </w:rPr>
                  </w:pPr>
                  <w:r>
                    <w:rPr>
                      <w:rFonts w:hint="eastAsia"/>
                      <w:bCs/>
                      <w:snapToGrid w:val="0"/>
                      <w:kern w:val="18"/>
                      <w:sz w:val="18"/>
                      <w:szCs w:val="18"/>
                      <w:lang w:val="en-US" w:eastAsia="zh-CN"/>
                    </w:rPr>
                    <w:t>/</w:t>
                  </w:r>
                </w:p>
              </w:tc>
              <w:tc>
                <w:tcPr>
                  <w:tcW w:w="281" w:type="pct"/>
                  <w:tcBorders>
                    <w:tl2br w:val="nil"/>
                    <w:tr2bl w:val="nil"/>
                  </w:tcBorders>
                  <w:tcMar>
                    <w:top w:w="28" w:type="dxa"/>
                    <w:left w:w="28" w:type="dxa"/>
                    <w:bottom w:w="28" w:type="dxa"/>
                    <w:right w:w="28" w:type="dxa"/>
                  </w:tcMar>
                  <w:vAlign w:val="center"/>
                </w:tcPr>
                <w:p>
                  <w:pPr>
                    <w:adjustRightInd w:val="0"/>
                    <w:snapToGrid w:val="0"/>
                    <w:jc w:val="center"/>
                    <w:rPr>
                      <w:rFonts w:hint="eastAsia" w:eastAsia="宋体"/>
                      <w:bCs/>
                      <w:snapToGrid w:val="0"/>
                      <w:kern w:val="18"/>
                      <w:sz w:val="18"/>
                      <w:szCs w:val="18"/>
                      <w:lang w:val="en-US" w:eastAsia="zh-CN"/>
                    </w:rPr>
                  </w:pPr>
                  <w:r>
                    <w:rPr>
                      <w:rFonts w:hint="eastAsia"/>
                      <w:bCs/>
                      <w:snapToGrid w:val="0"/>
                      <w:kern w:val="18"/>
                      <w:sz w:val="18"/>
                      <w:szCs w:val="18"/>
                      <w:lang w:val="en-US" w:eastAsia="zh-CN"/>
                    </w:rPr>
                    <w:t>/</w:t>
                  </w:r>
                </w:p>
              </w:tc>
              <w:tc>
                <w:tcPr>
                  <w:tcW w:w="245" w:type="pct"/>
                  <w:tcBorders>
                    <w:tl2br w:val="nil"/>
                    <w:tr2bl w:val="nil"/>
                  </w:tcBorders>
                  <w:tcMar>
                    <w:top w:w="28" w:type="dxa"/>
                    <w:left w:w="28" w:type="dxa"/>
                    <w:bottom w:w="28" w:type="dxa"/>
                    <w:right w:w="28" w:type="dxa"/>
                  </w:tcMar>
                  <w:vAlign w:val="center"/>
                </w:tcPr>
                <w:p>
                  <w:pPr>
                    <w:adjustRightInd w:val="0"/>
                    <w:snapToGrid w:val="0"/>
                    <w:jc w:val="center"/>
                    <w:rPr>
                      <w:rFonts w:hint="eastAsia" w:eastAsia="宋体"/>
                      <w:bCs/>
                      <w:snapToGrid w:val="0"/>
                      <w:kern w:val="18"/>
                      <w:sz w:val="18"/>
                      <w:szCs w:val="18"/>
                      <w:lang w:val="en-US" w:eastAsia="zh-CN"/>
                    </w:rPr>
                  </w:pPr>
                  <w:r>
                    <w:rPr>
                      <w:rFonts w:hint="eastAsia"/>
                      <w:bCs/>
                      <w:snapToGrid w:val="0"/>
                      <w:kern w:val="18"/>
                      <w:sz w:val="18"/>
                      <w:szCs w:val="18"/>
                      <w:lang w:val="en-US" w:eastAsia="zh-CN"/>
                    </w:rPr>
                    <w:t>/</w:t>
                  </w:r>
                </w:p>
              </w:tc>
              <w:tc>
                <w:tcPr>
                  <w:tcW w:w="229" w:type="pct"/>
                  <w:tcBorders>
                    <w:tl2br w:val="nil"/>
                    <w:tr2bl w:val="nil"/>
                  </w:tcBorders>
                  <w:tcMar>
                    <w:top w:w="28" w:type="dxa"/>
                    <w:left w:w="28" w:type="dxa"/>
                    <w:bottom w:w="28" w:type="dxa"/>
                    <w:right w:w="28" w:type="dxa"/>
                  </w:tcMar>
                  <w:vAlign w:val="center"/>
                </w:tcPr>
                <w:p>
                  <w:pPr>
                    <w:adjustRightInd w:val="0"/>
                    <w:snapToGrid w:val="0"/>
                    <w:jc w:val="center"/>
                    <w:rPr>
                      <w:rFonts w:hint="eastAsia" w:eastAsia="宋体"/>
                      <w:bCs/>
                      <w:snapToGrid w:val="0"/>
                      <w:kern w:val="18"/>
                      <w:sz w:val="18"/>
                      <w:szCs w:val="18"/>
                      <w:lang w:val="en-US" w:eastAsia="zh-CN"/>
                    </w:rPr>
                  </w:pPr>
                  <w:r>
                    <w:rPr>
                      <w:rFonts w:hint="eastAsia"/>
                      <w:bCs/>
                      <w:snapToGrid w:val="0"/>
                      <w:kern w:val="18"/>
                      <w:sz w:val="18"/>
                      <w:szCs w:val="18"/>
                      <w:lang w:val="en-US" w:eastAsia="zh-CN"/>
                    </w:rPr>
                    <w:t>/</w:t>
                  </w:r>
                </w:p>
              </w:tc>
              <w:tc>
                <w:tcPr>
                  <w:tcW w:w="348" w:type="pct"/>
                  <w:vMerge w:val="continue"/>
                  <w:tcBorders>
                    <w:tl2br w:val="nil"/>
                    <w:tr2bl w:val="nil"/>
                  </w:tcBorders>
                  <w:vAlign w:val="center"/>
                </w:tcPr>
                <w:p>
                  <w:pPr>
                    <w:adjustRightInd w:val="0"/>
                    <w:snapToGrid w:val="0"/>
                    <w:jc w:val="center"/>
                    <w:rPr>
                      <w:bCs/>
                      <w:snapToGrid w:val="0"/>
                      <w:kern w:val="18"/>
                      <w:sz w:val="18"/>
                      <w:szCs w:val="18"/>
                    </w:rPr>
                  </w:pPr>
                </w:p>
              </w:tc>
              <w:tc>
                <w:tcPr>
                  <w:tcW w:w="244" w:type="pct"/>
                  <w:tcBorders>
                    <w:tl2br w:val="nil"/>
                    <w:tr2bl w:val="nil"/>
                  </w:tcBorders>
                  <w:vAlign w:val="center"/>
                </w:tcPr>
                <w:p>
                  <w:pPr>
                    <w:adjustRightInd w:val="0"/>
                    <w:snapToGrid w:val="0"/>
                    <w:jc w:val="center"/>
                    <w:rPr>
                      <w:rFonts w:hint="eastAsia" w:eastAsia="宋体"/>
                      <w:bCs/>
                      <w:snapToGrid w:val="0"/>
                      <w:kern w:val="18"/>
                      <w:sz w:val="18"/>
                      <w:szCs w:val="18"/>
                      <w:lang w:val="en-US" w:eastAsia="zh-CN"/>
                    </w:rPr>
                  </w:pPr>
                  <w:r>
                    <w:rPr>
                      <w:rFonts w:hint="eastAsia"/>
                      <w:bCs/>
                      <w:snapToGrid w:val="0"/>
                      <w:kern w:val="18"/>
                      <w:sz w:val="18"/>
                      <w:szCs w:val="18"/>
                      <w:lang w:val="en-US" w:eastAsia="zh-CN"/>
                    </w:rPr>
                    <w:t>/</w:t>
                  </w:r>
                </w:p>
              </w:tc>
              <w:tc>
                <w:tcPr>
                  <w:tcW w:w="373" w:type="pct"/>
                  <w:vMerge w:val="continue"/>
                  <w:tcBorders>
                    <w:tl2br w:val="nil"/>
                    <w:tr2bl w:val="nil"/>
                  </w:tcBorders>
                  <w:vAlign w:val="center"/>
                </w:tcPr>
                <w:p>
                  <w:pPr>
                    <w:adjustRightInd w:val="0"/>
                    <w:snapToGrid w:val="0"/>
                    <w:jc w:val="center"/>
                    <w:rPr>
                      <w:rFonts w:hint="eastAsia"/>
                      <w:b/>
                      <w:snapToGrid w:val="0"/>
                      <w:kern w:val="18"/>
                      <w:sz w:val="18"/>
                      <w:szCs w:val="18"/>
                      <w:lang w:val="en-US" w:eastAsia="zh-CN"/>
                    </w:rPr>
                  </w:pPr>
                </w:p>
              </w:tc>
              <w:tc>
                <w:tcPr>
                  <w:tcW w:w="500" w:type="pct"/>
                  <w:tcBorders>
                    <w:tl2br w:val="nil"/>
                    <w:tr2bl w:val="nil"/>
                  </w:tcBorders>
                  <w:vAlign w:val="center"/>
                </w:tcPr>
                <w:p>
                  <w:pPr>
                    <w:adjustRightInd w:val="0"/>
                    <w:snapToGrid w:val="0"/>
                    <w:jc w:val="center"/>
                    <w:rPr>
                      <w:rFonts w:hint="eastAsia" w:eastAsia="宋体"/>
                      <w:b/>
                      <w:snapToGrid w:val="0"/>
                      <w:kern w:val="18"/>
                      <w:sz w:val="18"/>
                      <w:szCs w:val="18"/>
                      <w:lang w:val="en-US" w:eastAsia="zh-CN"/>
                    </w:rPr>
                  </w:pPr>
                  <w:r>
                    <w:rPr>
                      <w:rFonts w:hint="eastAsia"/>
                      <w:b/>
                      <w:snapToGrid w:val="0"/>
                      <w:kern w:val="18"/>
                      <w:sz w:val="18"/>
                      <w:szCs w:val="18"/>
                      <w:lang w:val="en-US" w:eastAsia="zh-CN"/>
                    </w:rPr>
                    <w:t>/</w:t>
                  </w:r>
                </w:p>
              </w:tc>
              <w:tc>
                <w:tcPr>
                  <w:tcW w:w="291" w:type="pct"/>
                  <w:tcBorders>
                    <w:tl2br w:val="nil"/>
                    <w:tr2bl w:val="nil"/>
                  </w:tcBorders>
                  <w:tcMar>
                    <w:top w:w="28" w:type="dxa"/>
                    <w:left w:w="28" w:type="dxa"/>
                    <w:bottom w:w="28" w:type="dxa"/>
                    <w:right w:w="28" w:type="dxa"/>
                  </w:tcMar>
                  <w:vAlign w:val="center"/>
                </w:tcPr>
                <w:p>
                  <w:pPr>
                    <w:adjustRightInd w:val="0"/>
                    <w:snapToGrid w:val="0"/>
                    <w:jc w:val="center"/>
                    <w:rPr>
                      <w:rFonts w:hint="eastAsia" w:eastAsia="宋体"/>
                      <w:bCs/>
                      <w:snapToGrid w:val="0"/>
                      <w:color w:val="0000FF"/>
                      <w:kern w:val="18"/>
                      <w:sz w:val="18"/>
                      <w:szCs w:val="18"/>
                      <w:lang w:val="en-US" w:eastAsia="zh-CN"/>
                    </w:rPr>
                  </w:pPr>
                  <w:r>
                    <w:rPr>
                      <w:rFonts w:hint="eastAsia"/>
                      <w:bCs/>
                      <w:snapToGrid w:val="0"/>
                      <w:color w:val="0000FF"/>
                      <w:kern w:val="18"/>
                      <w:sz w:val="18"/>
                      <w:szCs w:val="18"/>
                      <w:lang w:val="en-US" w:eastAsia="zh-CN"/>
                    </w:rPr>
                    <w:t>/</w:t>
                  </w:r>
                </w:p>
              </w:tc>
              <w:tc>
                <w:tcPr>
                  <w:tcW w:w="242" w:type="pct"/>
                  <w:tcBorders>
                    <w:tl2br w:val="nil"/>
                    <w:tr2bl w:val="nil"/>
                  </w:tcBorders>
                  <w:tcMar>
                    <w:top w:w="28" w:type="dxa"/>
                    <w:left w:w="28" w:type="dxa"/>
                    <w:bottom w:w="28" w:type="dxa"/>
                    <w:right w:w="28" w:type="dxa"/>
                  </w:tcMar>
                  <w:vAlign w:val="center"/>
                </w:tcPr>
                <w:p>
                  <w:pPr>
                    <w:adjustRightInd w:val="0"/>
                    <w:snapToGrid w:val="0"/>
                    <w:jc w:val="center"/>
                    <w:rPr>
                      <w:rFonts w:hint="eastAsia" w:eastAsia="宋体"/>
                      <w:bCs/>
                      <w:snapToGrid w:val="0"/>
                      <w:kern w:val="18"/>
                      <w:sz w:val="18"/>
                      <w:szCs w:val="18"/>
                      <w:lang w:val="en-US" w:eastAsia="zh-CN"/>
                    </w:rPr>
                  </w:pPr>
                  <w:r>
                    <w:rPr>
                      <w:rFonts w:hint="eastAsia"/>
                      <w:bCs/>
                      <w:snapToGrid w:val="0"/>
                      <w:kern w:val="18"/>
                      <w:sz w:val="18"/>
                      <w:szCs w:val="18"/>
                      <w:lang w:val="en-US" w:eastAsia="zh-CN"/>
                    </w:rPr>
                    <w:t>/</w:t>
                  </w:r>
                </w:p>
              </w:tc>
              <w:tc>
                <w:tcPr>
                  <w:tcW w:w="309" w:type="pct"/>
                  <w:tcBorders>
                    <w:tl2br w:val="nil"/>
                    <w:tr2bl w:val="nil"/>
                  </w:tcBorders>
                  <w:tcMar>
                    <w:top w:w="28" w:type="dxa"/>
                    <w:left w:w="28" w:type="dxa"/>
                    <w:bottom w:w="28" w:type="dxa"/>
                    <w:right w:w="28" w:type="dxa"/>
                  </w:tcMar>
                  <w:vAlign w:val="center"/>
                </w:tcPr>
                <w:p>
                  <w:pPr>
                    <w:adjustRightInd w:val="0"/>
                    <w:snapToGrid w:val="0"/>
                    <w:jc w:val="center"/>
                    <w:rPr>
                      <w:rFonts w:hint="eastAsia" w:eastAsia="宋体"/>
                      <w:bCs/>
                      <w:snapToGrid w:val="0"/>
                      <w:kern w:val="18"/>
                      <w:sz w:val="18"/>
                      <w:szCs w:val="18"/>
                      <w:lang w:val="en-US" w:eastAsia="zh-CN"/>
                    </w:rPr>
                  </w:pPr>
                  <w:r>
                    <w:rPr>
                      <w:rFonts w:hint="eastAsia"/>
                      <w:bCs/>
                      <w:snapToGrid w:val="0"/>
                      <w:kern w:val="18"/>
                      <w:sz w:val="18"/>
                      <w:szCs w:val="18"/>
                      <w:lang w:val="en-US" w:eastAsia="zh-CN"/>
                    </w:rPr>
                    <w:t>/</w:t>
                  </w:r>
                </w:p>
              </w:tc>
              <w:tc>
                <w:tcPr>
                  <w:tcW w:w="202" w:type="pct"/>
                  <w:vMerge w:val="continue"/>
                  <w:tcBorders>
                    <w:tl2br w:val="nil"/>
                    <w:tr2bl w:val="nil"/>
                  </w:tcBorders>
                  <w:tcMar>
                    <w:top w:w="28" w:type="dxa"/>
                    <w:left w:w="28" w:type="dxa"/>
                    <w:bottom w:w="28" w:type="dxa"/>
                    <w:right w:w="28" w:type="dxa"/>
                  </w:tcMar>
                  <w:vAlign w:val="center"/>
                </w:tcPr>
                <w:p>
                  <w:pPr>
                    <w:adjustRightInd w:val="0"/>
                    <w:snapToGrid w:val="0"/>
                    <w:jc w:val="center"/>
                    <w:rPr>
                      <w:bCs/>
                      <w:snapToGrid w:val="0"/>
                      <w:kern w:val="18"/>
                      <w:sz w:val="18"/>
                      <w:szCs w:val="18"/>
                    </w:rPr>
                  </w:pPr>
                </w:p>
              </w:tc>
              <w:tc>
                <w:tcPr>
                  <w:tcW w:w="202" w:type="pct"/>
                  <w:vMerge w:val="continue"/>
                  <w:tcBorders>
                    <w:tl2br w:val="nil"/>
                    <w:tr2bl w:val="nil"/>
                  </w:tcBorders>
                  <w:tcMar>
                    <w:top w:w="28" w:type="dxa"/>
                    <w:left w:w="28" w:type="dxa"/>
                    <w:bottom w:w="28" w:type="dxa"/>
                    <w:right w:w="28" w:type="dxa"/>
                  </w:tcMar>
                  <w:vAlign w:val="center"/>
                </w:tcPr>
                <w:p>
                  <w:pPr>
                    <w:adjustRightInd w:val="0"/>
                    <w:snapToGrid w:val="0"/>
                    <w:jc w:val="center"/>
                    <w:rPr>
                      <w:bCs/>
                      <w:snapToGrid w:val="0"/>
                      <w:kern w:val="18"/>
                      <w:sz w:val="18"/>
                      <w:szCs w:val="18"/>
                    </w:rPr>
                  </w:pPr>
                </w:p>
              </w:tc>
              <w:tc>
                <w:tcPr>
                  <w:tcW w:w="211" w:type="pct"/>
                  <w:vMerge w:val="continue"/>
                  <w:tcBorders>
                    <w:tl2br w:val="nil"/>
                    <w:tr2bl w:val="nil"/>
                  </w:tcBorders>
                  <w:tcMar>
                    <w:top w:w="28" w:type="dxa"/>
                    <w:left w:w="28" w:type="dxa"/>
                    <w:bottom w:w="28" w:type="dxa"/>
                    <w:right w:w="28" w:type="dxa"/>
                  </w:tcMar>
                  <w:vAlign w:val="center"/>
                </w:tcPr>
                <w:p>
                  <w:pPr>
                    <w:adjustRightInd w:val="0"/>
                    <w:snapToGrid w:val="0"/>
                    <w:jc w:val="center"/>
                    <w:rPr>
                      <w:bCs/>
                      <w:snapToGrid w:val="0"/>
                      <w:kern w:val="18"/>
                      <w:sz w:val="18"/>
                      <w:szCs w:val="18"/>
                    </w:rPr>
                  </w:pPr>
                </w:p>
              </w:tc>
              <w:tc>
                <w:tcPr>
                  <w:tcW w:w="204" w:type="pct"/>
                  <w:vMerge w:val="continue"/>
                  <w:tcBorders>
                    <w:tl2br w:val="nil"/>
                    <w:tr2bl w:val="nil"/>
                  </w:tcBorders>
                  <w:tcMar>
                    <w:top w:w="28" w:type="dxa"/>
                    <w:left w:w="28" w:type="dxa"/>
                    <w:bottom w:w="28" w:type="dxa"/>
                    <w:right w:w="28" w:type="dxa"/>
                  </w:tcMar>
                  <w:vAlign w:val="center"/>
                </w:tcPr>
                <w:p>
                  <w:pPr>
                    <w:adjustRightInd w:val="0"/>
                    <w:snapToGrid w:val="0"/>
                    <w:jc w:val="center"/>
                    <w:rPr>
                      <w:rFonts w:hint="eastAsia"/>
                      <w:bCs/>
                      <w:snapToGrid w:val="0"/>
                      <w:kern w:val="18"/>
                      <w:sz w:val="18"/>
                      <w:szCs w:val="18"/>
                    </w:rPr>
                  </w:pPr>
                </w:p>
              </w:tc>
            </w:tr>
          </w:tbl>
          <w:p>
            <w:pPr>
              <w:pStyle w:val="3"/>
              <w:spacing w:line="240" w:lineRule="auto"/>
              <w:jc w:val="center"/>
              <w:outlineLvl w:val="0"/>
              <w:rPr>
                <w:rFonts w:eastAsia="宋体"/>
                <w:b/>
                <w:sz w:val="21"/>
                <w:szCs w:val="21"/>
              </w:rPr>
            </w:pPr>
            <w:r>
              <w:rPr>
                <w:rFonts w:eastAsia="宋体"/>
                <w:b/>
                <w:sz w:val="21"/>
                <w:szCs w:val="21"/>
              </w:rPr>
              <w:t>表5-</w:t>
            </w:r>
            <w:r>
              <w:rPr>
                <w:rFonts w:hint="eastAsia" w:eastAsia="宋体"/>
                <w:b/>
                <w:sz w:val="21"/>
                <w:szCs w:val="21"/>
              </w:rPr>
              <w:t>3</w:t>
            </w:r>
            <w:r>
              <w:rPr>
                <w:rFonts w:eastAsia="宋体"/>
                <w:b/>
                <w:sz w:val="21"/>
                <w:szCs w:val="21"/>
              </w:rPr>
              <w:t xml:space="preserve"> 本项目废气无组织产生及排放情况</w:t>
            </w:r>
          </w:p>
          <w:tbl>
            <w:tblPr>
              <w:tblStyle w:val="56"/>
              <w:tblW w:w="4997" w:type="pct"/>
              <w:jc w:val="center"/>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631"/>
              <w:gridCol w:w="1270"/>
              <w:gridCol w:w="1376"/>
              <w:gridCol w:w="1189"/>
              <w:gridCol w:w="1563"/>
              <w:gridCol w:w="1778"/>
              <w:gridCol w:w="1200"/>
              <w:gridCol w:w="1401"/>
              <w:gridCol w:w="2070"/>
              <w:gridCol w:w="1472"/>
            </w:tblGrid>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81" w:type="pct"/>
                  <w:gridSpan w:val="2"/>
                  <w:vAlign w:val="center"/>
                </w:tcPr>
                <w:p>
                  <w:pPr>
                    <w:pStyle w:val="123"/>
                    <w:rPr>
                      <w:b/>
                      <w:sz w:val="18"/>
                      <w:szCs w:val="18"/>
                    </w:rPr>
                  </w:pPr>
                  <w:r>
                    <w:rPr>
                      <w:b/>
                      <w:sz w:val="18"/>
                      <w:szCs w:val="18"/>
                    </w:rPr>
                    <w:t>污染源</w:t>
                  </w:r>
                </w:p>
              </w:tc>
              <w:tc>
                <w:tcPr>
                  <w:tcW w:w="493" w:type="pct"/>
                  <w:vAlign w:val="center"/>
                </w:tcPr>
                <w:p>
                  <w:pPr>
                    <w:pStyle w:val="123"/>
                    <w:rPr>
                      <w:b/>
                      <w:sz w:val="18"/>
                      <w:szCs w:val="18"/>
                    </w:rPr>
                  </w:pPr>
                  <w:r>
                    <w:rPr>
                      <w:b/>
                      <w:sz w:val="18"/>
                      <w:szCs w:val="18"/>
                    </w:rPr>
                    <w:t>污染物名称</w:t>
                  </w:r>
                </w:p>
              </w:tc>
              <w:tc>
                <w:tcPr>
                  <w:tcW w:w="426" w:type="pct"/>
                  <w:vAlign w:val="center"/>
                </w:tcPr>
                <w:p>
                  <w:pPr>
                    <w:pStyle w:val="123"/>
                    <w:rPr>
                      <w:b/>
                      <w:sz w:val="18"/>
                      <w:szCs w:val="18"/>
                    </w:rPr>
                  </w:pPr>
                  <w:r>
                    <w:rPr>
                      <w:b/>
                      <w:sz w:val="18"/>
                      <w:szCs w:val="18"/>
                    </w:rPr>
                    <w:t>产生量</w:t>
                  </w:r>
                  <w:r>
                    <w:rPr>
                      <w:rFonts w:hint="eastAsia"/>
                      <w:b/>
                      <w:snapToGrid w:val="0"/>
                      <w:kern w:val="18"/>
                      <w:sz w:val="18"/>
                      <w:szCs w:val="18"/>
                      <w:lang w:val="en-US" w:eastAsia="zh-CN"/>
                    </w:rPr>
                    <w:t>t</w:t>
                  </w:r>
                  <w:r>
                    <w:rPr>
                      <w:b/>
                      <w:snapToGrid w:val="0"/>
                      <w:kern w:val="18"/>
                      <w:sz w:val="18"/>
                      <w:szCs w:val="18"/>
                    </w:rPr>
                    <w:t>/a</w:t>
                  </w:r>
                </w:p>
              </w:tc>
              <w:tc>
                <w:tcPr>
                  <w:tcW w:w="560" w:type="pct"/>
                  <w:vAlign w:val="center"/>
                </w:tcPr>
                <w:p>
                  <w:pPr>
                    <w:pStyle w:val="123"/>
                    <w:rPr>
                      <w:b/>
                      <w:sz w:val="18"/>
                      <w:szCs w:val="18"/>
                    </w:rPr>
                  </w:pPr>
                  <w:r>
                    <w:rPr>
                      <w:b/>
                      <w:sz w:val="18"/>
                      <w:szCs w:val="18"/>
                    </w:rPr>
                    <w:t>产生速率</w:t>
                  </w:r>
                </w:p>
                <w:p>
                  <w:pPr>
                    <w:pStyle w:val="123"/>
                    <w:rPr>
                      <w:b/>
                      <w:sz w:val="18"/>
                      <w:szCs w:val="18"/>
                    </w:rPr>
                  </w:pPr>
                  <w:r>
                    <w:rPr>
                      <w:b/>
                      <w:sz w:val="18"/>
                      <w:szCs w:val="18"/>
                    </w:rPr>
                    <w:t>kg/h</w:t>
                  </w:r>
                </w:p>
              </w:tc>
              <w:tc>
                <w:tcPr>
                  <w:tcW w:w="637" w:type="pct"/>
                  <w:vAlign w:val="center"/>
                </w:tcPr>
                <w:p>
                  <w:pPr>
                    <w:pStyle w:val="123"/>
                    <w:rPr>
                      <w:b/>
                      <w:sz w:val="18"/>
                      <w:szCs w:val="18"/>
                    </w:rPr>
                  </w:pPr>
                  <w:r>
                    <w:rPr>
                      <w:b/>
                      <w:sz w:val="18"/>
                      <w:szCs w:val="18"/>
                    </w:rPr>
                    <w:t>处置措施</w:t>
                  </w:r>
                </w:p>
              </w:tc>
              <w:tc>
                <w:tcPr>
                  <w:tcW w:w="430" w:type="pct"/>
                  <w:vAlign w:val="center"/>
                </w:tcPr>
                <w:p>
                  <w:pPr>
                    <w:pStyle w:val="123"/>
                    <w:rPr>
                      <w:b/>
                      <w:sz w:val="18"/>
                      <w:szCs w:val="18"/>
                    </w:rPr>
                  </w:pPr>
                  <w:r>
                    <w:rPr>
                      <w:b/>
                      <w:sz w:val="18"/>
                      <w:szCs w:val="18"/>
                    </w:rPr>
                    <w:t>排放量</w:t>
                  </w:r>
                </w:p>
                <w:p>
                  <w:pPr>
                    <w:pStyle w:val="123"/>
                    <w:rPr>
                      <w:b/>
                      <w:sz w:val="18"/>
                      <w:szCs w:val="18"/>
                    </w:rPr>
                  </w:pPr>
                  <w:r>
                    <w:rPr>
                      <w:rFonts w:hint="eastAsia"/>
                      <w:b/>
                      <w:snapToGrid w:val="0"/>
                      <w:kern w:val="18"/>
                      <w:sz w:val="18"/>
                      <w:szCs w:val="18"/>
                      <w:lang w:val="en-US" w:eastAsia="zh-CN"/>
                    </w:rPr>
                    <w:t>kg</w:t>
                  </w:r>
                  <w:r>
                    <w:rPr>
                      <w:b/>
                      <w:snapToGrid w:val="0"/>
                      <w:kern w:val="18"/>
                      <w:sz w:val="18"/>
                      <w:szCs w:val="18"/>
                    </w:rPr>
                    <w:t>/a</w:t>
                  </w:r>
                </w:p>
              </w:tc>
              <w:tc>
                <w:tcPr>
                  <w:tcW w:w="502" w:type="pct"/>
                  <w:vAlign w:val="center"/>
                </w:tcPr>
                <w:p>
                  <w:pPr>
                    <w:pStyle w:val="123"/>
                    <w:rPr>
                      <w:b/>
                      <w:sz w:val="18"/>
                      <w:szCs w:val="18"/>
                    </w:rPr>
                  </w:pPr>
                  <w:r>
                    <w:rPr>
                      <w:b/>
                      <w:sz w:val="18"/>
                      <w:szCs w:val="18"/>
                    </w:rPr>
                    <w:t>排放速率kg/h</w:t>
                  </w:r>
                </w:p>
              </w:tc>
              <w:tc>
                <w:tcPr>
                  <w:tcW w:w="741" w:type="pct"/>
                  <w:vAlign w:val="center"/>
                </w:tcPr>
                <w:p>
                  <w:pPr>
                    <w:pStyle w:val="123"/>
                    <w:rPr>
                      <w:b/>
                      <w:sz w:val="18"/>
                      <w:szCs w:val="18"/>
                    </w:rPr>
                  </w:pPr>
                  <w:r>
                    <w:rPr>
                      <w:b/>
                      <w:sz w:val="18"/>
                      <w:szCs w:val="18"/>
                    </w:rPr>
                    <w:t>面源</w:t>
                  </w:r>
                </w:p>
              </w:tc>
              <w:tc>
                <w:tcPr>
                  <w:tcW w:w="527" w:type="pct"/>
                  <w:vAlign w:val="center"/>
                </w:tcPr>
                <w:p>
                  <w:pPr>
                    <w:pStyle w:val="123"/>
                    <w:rPr>
                      <w:b/>
                      <w:sz w:val="18"/>
                      <w:szCs w:val="18"/>
                    </w:rPr>
                  </w:pPr>
                  <w:r>
                    <w:rPr>
                      <w:b/>
                      <w:sz w:val="18"/>
                      <w:szCs w:val="18"/>
                    </w:rPr>
                    <w:t>面源高度m</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26" w:type="pct"/>
                  <w:vMerge w:val="restart"/>
                  <w:vAlign w:val="center"/>
                </w:tcPr>
                <w:p>
                  <w:pPr>
                    <w:pStyle w:val="123"/>
                    <w:rPr>
                      <w:bCs/>
                      <w:snapToGrid w:val="0"/>
                      <w:sz w:val="18"/>
                      <w:szCs w:val="18"/>
                    </w:rPr>
                  </w:pPr>
                  <w:r>
                    <w:rPr>
                      <w:rFonts w:hint="eastAsia"/>
                      <w:bCs/>
                      <w:snapToGrid w:val="0"/>
                      <w:sz w:val="18"/>
                      <w:szCs w:val="18"/>
                      <w:lang w:eastAsia="zh-CN"/>
                    </w:rPr>
                    <w:t>生产车间</w:t>
                  </w:r>
                </w:p>
              </w:tc>
              <w:tc>
                <w:tcPr>
                  <w:tcW w:w="455" w:type="pct"/>
                  <w:vAlign w:val="center"/>
                </w:tcPr>
                <w:p>
                  <w:pPr>
                    <w:adjustRightInd w:val="0"/>
                    <w:snapToGrid w:val="0"/>
                    <w:jc w:val="center"/>
                    <w:rPr>
                      <w:rFonts w:hint="eastAsia"/>
                      <w:sz w:val="18"/>
                      <w:szCs w:val="18"/>
                      <w:lang w:eastAsia="zh-CN"/>
                    </w:rPr>
                  </w:pPr>
                  <w:r>
                    <w:rPr>
                      <w:rFonts w:hint="eastAsia"/>
                      <w:sz w:val="18"/>
                      <w:szCs w:val="18"/>
                      <w:lang w:eastAsia="zh-CN"/>
                    </w:rPr>
                    <w:t>投料混合</w:t>
                  </w:r>
                </w:p>
              </w:tc>
              <w:tc>
                <w:tcPr>
                  <w:tcW w:w="493" w:type="pct"/>
                  <w:vAlign w:val="center"/>
                </w:tcPr>
                <w:p>
                  <w:pPr>
                    <w:pStyle w:val="123"/>
                    <w:rPr>
                      <w:rFonts w:hint="eastAsia"/>
                      <w:bCs/>
                      <w:snapToGrid w:val="0"/>
                      <w:sz w:val="18"/>
                      <w:szCs w:val="18"/>
                      <w:lang w:eastAsia="zh-CN"/>
                    </w:rPr>
                  </w:pPr>
                  <w:r>
                    <w:rPr>
                      <w:rFonts w:hint="eastAsia"/>
                      <w:bCs/>
                      <w:snapToGrid w:val="0"/>
                      <w:sz w:val="18"/>
                      <w:szCs w:val="18"/>
                      <w:lang w:eastAsia="zh-CN"/>
                    </w:rPr>
                    <w:t>粉尘</w:t>
                  </w:r>
                </w:p>
              </w:tc>
              <w:tc>
                <w:tcPr>
                  <w:tcW w:w="426" w:type="pct"/>
                  <w:vAlign w:val="center"/>
                </w:tcPr>
                <w:p>
                  <w:pPr>
                    <w:pStyle w:val="123"/>
                    <w:rPr>
                      <w:rFonts w:hint="default"/>
                      <w:bCs/>
                      <w:snapToGrid w:val="0"/>
                      <w:sz w:val="18"/>
                      <w:szCs w:val="18"/>
                      <w:lang w:val="en-US" w:eastAsia="zh-CN"/>
                    </w:rPr>
                  </w:pPr>
                  <w:r>
                    <w:rPr>
                      <w:rFonts w:hint="eastAsia"/>
                      <w:bCs/>
                      <w:snapToGrid w:val="0"/>
                      <w:sz w:val="18"/>
                      <w:szCs w:val="18"/>
                      <w:lang w:val="en-US" w:eastAsia="zh-CN"/>
                    </w:rPr>
                    <w:t>0.001</w:t>
                  </w:r>
                </w:p>
              </w:tc>
              <w:tc>
                <w:tcPr>
                  <w:tcW w:w="560" w:type="pct"/>
                  <w:vAlign w:val="center"/>
                </w:tcPr>
                <w:p>
                  <w:pPr>
                    <w:pStyle w:val="123"/>
                    <w:rPr>
                      <w:rFonts w:hint="default"/>
                      <w:bCs/>
                      <w:snapToGrid w:val="0"/>
                      <w:sz w:val="18"/>
                      <w:szCs w:val="18"/>
                      <w:lang w:val="en-US" w:eastAsia="zh-CN"/>
                    </w:rPr>
                  </w:pPr>
                  <w:r>
                    <w:rPr>
                      <w:rFonts w:hint="eastAsia"/>
                      <w:bCs/>
                      <w:snapToGrid w:val="0"/>
                      <w:sz w:val="18"/>
                      <w:szCs w:val="18"/>
                      <w:lang w:val="en-US" w:eastAsia="zh-CN"/>
                    </w:rPr>
                    <w:t>0.028</w:t>
                  </w:r>
                </w:p>
              </w:tc>
              <w:tc>
                <w:tcPr>
                  <w:tcW w:w="637" w:type="pct"/>
                  <w:vMerge w:val="restart"/>
                  <w:vAlign w:val="center"/>
                </w:tcPr>
                <w:p>
                  <w:pPr>
                    <w:pStyle w:val="123"/>
                    <w:rPr>
                      <w:rFonts w:hint="eastAsia"/>
                      <w:bCs/>
                      <w:snapToGrid w:val="0"/>
                      <w:sz w:val="18"/>
                      <w:szCs w:val="18"/>
                      <w:lang w:val="en-US" w:eastAsia="zh-CN"/>
                    </w:rPr>
                  </w:pPr>
                  <w:r>
                    <w:rPr>
                      <w:rFonts w:hint="eastAsia"/>
                      <w:bCs/>
                      <w:snapToGrid w:val="0"/>
                      <w:sz w:val="18"/>
                      <w:szCs w:val="18"/>
                      <w:lang w:val="en-US" w:eastAsia="zh-CN"/>
                    </w:rPr>
                    <w:t>加强车间通风</w:t>
                  </w:r>
                </w:p>
              </w:tc>
              <w:tc>
                <w:tcPr>
                  <w:tcW w:w="430" w:type="pct"/>
                  <w:vAlign w:val="center"/>
                </w:tcPr>
                <w:p>
                  <w:pPr>
                    <w:pStyle w:val="123"/>
                    <w:rPr>
                      <w:rFonts w:hint="eastAsia"/>
                      <w:bCs/>
                      <w:snapToGrid w:val="0"/>
                      <w:sz w:val="18"/>
                      <w:szCs w:val="18"/>
                      <w:lang w:val="en-US" w:eastAsia="zh-CN"/>
                    </w:rPr>
                  </w:pPr>
                  <w:r>
                    <w:rPr>
                      <w:rFonts w:hint="eastAsia"/>
                      <w:bCs/>
                      <w:snapToGrid w:val="0"/>
                      <w:sz w:val="18"/>
                      <w:szCs w:val="18"/>
                      <w:lang w:val="en-US" w:eastAsia="zh-CN"/>
                    </w:rPr>
                    <w:t>0.001</w:t>
                  </w:r>
                </w:p>
              </w:tc>
              <w:tc>
                <w:tcPr>
                  <w:tcW w:w="502" w:type="pct"/>
                  <w:vAlign w:val="center"/>
                </w:tcPr>
                <w:p>
                  <w:pPr>
                    <w:pStyle w:val="123"/>
                    <w:rPr>
                      <w:rFonts w:hint="eastAsia"/>
                      <w:bCs/>
                      <w:snapToGrid w:val="0"/>
                      <w:sz w:val="18"/>
                      <w:szCs w:val="18"/>
                      <w:lang w:val="en-US" w:eastAsia="zh-CN"/>
                    </w:rPr>
                  </w:pPr>
                  <w:r>
                    <w:rPr>
                      <w:rFonts w:hint="eastAsia"/>
                      <w:bCs/>
                      <w:snapToGrid w:val="0"/>
                      <w:sz w:val="18"/>
                      <w:szCs w:val="18"/>
                      <w:lang w:val="en-US" w:eastAsia="zh-CN"/>
                    </w:rPr>
                    <w:t>0.028</w:t>
                  </w:r>
                </w:p>
              </w:tc>
              <w:tc>
                <w:tcPr>
                  <w:tcW w:w="741" w:type="pct"/>
                  <w:vMerge w:val="restart"/>
                  <w:vAlign w:val="center"/>
                </w:tcPr>
                <w:p>
                  <w:pPr>
                    <w:pStyle w:val="123"/>
                    <w:rPr>
                      <w:bCs/>
                      <w:snapToGrid w:val="0"/>
                      <w:sz w:val="18"/>
                      <w:szCs w:val="18"/>
                    </w:rPr>
                  </w:pPr>
                  <w:r>
                    <w:rPr>
                      <w:rFonts w:hint="eastAsia"/>
                      <w:bCs/>
                      <w:snapToGrid w:val="0"/>
                      <w:sz w:val="18"/>
                      <w:szCs w:val="18"/>
                    </w:rPr>
                    <w:t>4</w:t>
                  </w:r>
                  <w:r>
                    <w:rPr>
                      <w:rFonts w:hint="eastAsia"/>
                      <w:bCs/>
                      <w:snapToGrid w:val="0"/>
                      <w:sz w:val="18"/>
                      <w:szCs w:val="18"/>
                      <w:lang w:val="en-US" w:eastAsia="zh-CN"/>
                    </w:rPr>
                    <w:t>7.4</w:t>
                  </w:r>
                  <w:r>
                    <w:rPr>
                      <w:rFonts w:hint="eastAsia"/>
                      <w:bCs/>
                      <w:snapToGrid w:val="0"/>
                      <w:sz w:val="18"/>
                      <w:szCs w:val="18"/>
                    </w:rPr>
                    <w:t>m</w:t>
                  </w:r>
                  <w:r>
                    <w:rPr>
                      <w:rFonts w:ascii="Arial" w:hAnsi="Arial" w:cs="Arial"/>
                      <w:bCs/>
                      <w:snapToGrid w:val="0"/>
                      <w:sz w:val="18"/>
                      <w:szCs w:val="18"/>
                    </w:rPr>
                    <w:t>×</w:t>
                  </w:r>
                  <w:r>
                    <w:rPr>
                      <w:rFonts w:hint="eastAsia"/>
                      <w:bCs/>
                      <w:snapToGrid w:val="0"/>
                      <w:sz w:val="18"/>
                      <w:szCs w:val="18"/>
                      <w:lang w:val="en-US" w:eastAsia="zh-CN"/>
                    </w:rPr>
                    <w:t>44.8</w:t>
                  </w:r>
                  <w:r>
                    <w:rPr>
                      <w:rFonts w:hint="eastAsia"/>
                      <w:bCs/>
                      <w:snapToGrid w:val="0"/>
                      <w:sz w:val="18"/>
                      <w:szCs w:val="18"/>
                    </w:rPr>
                    <w:t>m</w:t>
                  </w:r>
                </w:p>
              </w:tc>
              <w:tc>
                <w:tcPr>
                  <w:tcW w:w="527" w:type="pct"/>
                  <w:vMerge w:val="restart"/>
                  <w:vAlign w:val="center"/>
                </w:tcPr>
                <w:p>
                  <w:pPr>
                    <w:pStyle w:val="123"/>
                    <w:rPr>
                      <w:bCs/>
                      <w:snapToGrid w:val="0"/>
                      <w:sz w:val="18"/>
                      <w:szCs w:val="18"/>
                    </w:rPr>
                  </w:pPr>
                  <w:r>
                    <w:rPr>
                      <w:rFonts w:hint="eastAsia"/>
                      <w:bCs/>
                      <w:snapToGrid w:val="0"/>
                      <w:sz w:val="18"/>
                      <w:szCs w:val="18"/>
                      <w:lang w:val="en-US" w:eastAsia="zh-CN"/>
                    </w:rPr>
                    <w:t>5</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26" w:type="pct"/>
                  <w:vMerge w:val="continue"/>
                  <w:vAlign w:val="center"/>
                </w:tcPr>
                <w:p>
                  <w:pPr>
                    <w:pStyle w:val="123"/>
                    <w:rPr>
                      <w:bCs/>
                      <w:snapToGrid w:val="0"/>
                      <w:sz w:val="18"/>
                      <w:szCs w:val="18"/>
                    </w:rPr>
                  </w:pPr>
                </w:p>
              </w:tc>
              <w:tc>
                <w:tcPr>
                  <w:tcW w:w="455" w:type="pct"/>
                  <w:vMerge w:val="restart"/>
                  <w:vAlign w:val="center"/>
                </w:tcPr>
                <w:p>
                  <w:pPr>
                    <w:adjustRightInd w:val="0"/>
                    <w:snapToGrid w:val="0"/>
                    <w:jc w:val="center"/>
                    <w:rPr>
                      <w:rFonts w:hint="eastAsia"/>
                      <w:sz w:val="18"/>
                      <w:szCs w:val="18"/>
                    </w:rPr>
                  </w:pPr>
                  <w:r>
                    <w:rPr>
                      <w:rFonts w:hint="eastAsia"/>
                      <w:sz w:val="18"/>
                      <w:szCs w:val="18"/>
                      <w:lang w:eastAsia="zh-CN"/>
                    </w:rPr>
                    <w:t>注塑成型</w:t>
                  </w:r>
                </w:p>
              </w:tc>
              <w:tc>
                <w:tcPr>
                  <w:tcW w:w="493" w:type="pct"/>
                  <w:vAlign w:val="center"/>
                </w:tcPr>
                <w:p>
                  <w:pPr>
                    <w:pStyle w:val="123"/>
                    <w:rPr>
                      <w:rFonts w:hint="eastAsia" w:ascii="Times New Roman" w:hAnsi="Times New Roman" w:eastAsia="宋体" w:cs="Times New Roman"/>
                      <w:bCs/>
                      <w:snapToGrid w:val="0"/>
                      <w:kern w:val="18"/>
                      <w:sz w:val="18"/>
                      <w:szCs w:val="18"/>
                      <w:lang w:val="en-US" w:eastAsia="zh-CN" w:bidi="ar-SA"/>
                    </w:rPr>
                  </w:pPr>
                  <w:r>
                    <w:rPr>
                      <w:rFonts w:hint="eastAsia"/>
                      <w:bCs/>
                      <w:snapToGrid w:val="0"/>
                      <w:sz w:val="18"/>
                      <w:szCs w:val="18"/>
                      <w:lang w:eastAsia="zh-CN"/>
                    </w:rPr>
                    <w:t>非甲烷总烃</w:t>
                  </w:r>
                </w:p>
              </w:tc>
              <w:tc>
                <w:tcPr>
                  <w:tcW w:w="426" w:type="pct"/>
                  <w:vAlign w:val="center"/>
                </w:tcPr>
                <w:p>
                  <w:pPr>
                    <w:pStyle w:val="123"/>
                    <w:rPr>
                      <w:rFonts w:hint="default"/>
                      <w:bCs/>
                      <w:snapToGrid w:val="0"/>
                      <w:sz w:val="18"/>
                      <w:szCs w:val="18"/>
                      <w:lang w:val="en-US" w:eastAsia="zh-CN"/>
                    </w:rPr>
                  </w:pPr>
                  <w:r>
                    <w:rPr>
                      <w:rFonts w:hint="eastAsia"/>
                      <w:bCs/>
                      <w:snapToGrid w:val="0"/>
                      <w:sz w:val="18"/>
                      <w:szCs w:val="18"/>
                      <w:lang w:val="en-US" w:eastAsia="zh-CN"/>
                    </w:rPr>
                    <w:t>0.07kg/a</w:t>
                  </w:r>
                </w:p>
              </w:tc>
              <w:tc>
                <w:tcPr>
                  <w:tcW w:w="560" w:type="pct"/>
                  <w:vAlign w:val="center"/>
                </w:tcPr>
                <w:p>
                  <w:pPr>
                    <w:pStyle w:val="123"/>
                    <w:rPr>
                      <w:rFonts w:hint="default"/>
                      <w:bCs/>
                      <w:snapToGrid w:val="0"/>
                      <w:sz w:val="18"/>
                      <w:szCs w:val="18"/>
                      <w:lang w:val="en-US" w:eastAsia="zh-CN"/>
                    </w:rPr>
                  </w:pPr>
                  <w:r>
                    <w:rPr>
                      <w:rFonts w:hint="eastAsia"/>
                      <w:bCs/>
                      <w:snapToGrid w:val="0"/>
                      <w:sz w:val="18"/>
                      <w:szCs w:val="18"/>
                      <w:lang w:val="en-US" w:eastAsia="zh-CN"/>
                    </w:rPr>
                    <w:t>0.001</w:t>
                  </w:r>
                </w:p>
              </w:tc>
              <w:tc>
                <w:tcPr>
                  <w:tcW w:w="637" w:type="pct"/>
                  <w:vMerge w:val="continue"/>
                  <w:vAlign w:val="center"/>
                </w:tcPr>
                <w:p>
                  <w:pPr>
                    <w:pStyle w:val="123"/>
                    <w:rPr>
                      <w:rFonts w:hint="eastAsia"/>
                      <w:bCs/>
                      <w:snapToGrid w:val="0"/>
                      <w:sz w:val="18"/>
                      <w:szCs w:val="18"/>
                      <w:lang w:val="en-US" w:eastAsia="zh-CN"/>
                    </w:rPr>
                  </w:pPr>
                </w:p>
              </w:tc>
              <w:tc>
                <w:tcPr>
                  <w:tcW w:w="430" w:type="pct"/>
                  <w:vAlign w:val="center"/>
                </w:tcPr>
                <w:p>
                  <w:pPr>
                    <w:pStyle w:val="123"/>
                    <w:rPr>
                      <w:rFonts w:hint="eastAsia"/>
                      <w:bCs/>
                      <w:snapToGrid w:val="0"/>
                      <w:sz w:val="18"/>
                      <w:szCs w:val="18"/>
                      <w:lang w:val="en-US" w:eastAsia="zh-CN"/>
                    </w:rPr>
                  </w:pPr>
                  <w:r>
                    <w:rPr>
                      <w:rFonts w:hint="eastAsia"/>
                      <w:bCs/>
                      <w:snapToGrid w:val="0"/>
                      <w:sz w:val="18"/>
                      <w:szCs w:val="18"/>
                      <w:lang w:val="en-US" w:eastAsia="zh-CN"/>
                    </w:rPr>
                    <w:t>0.07kg/a</w:t>
                  </w:r>
                </w:p>
              </w:tc>
              <w:tc>
                <w:tcPr>
                  <w:tcW w:w="502" w:type="pct"/>
                  <w:vAlign w:val="center"/>
                </w:tcPr>
                <w:p>
                  <w:pPr>
                    <w:pStyle w:val="123"/>
                    <w:rPr>
                      <w:rFonts w:hint="eastAsia"/>
                      <w:bCs/>
                      <w:snapToGrid w:val="0"/>
                      <w:sz w:val="18"/>
                      <w:szCs w:val="18"/>
                      <w:lang w:val="en-US" w:eastAsia="zh-CN"/>
                    </w:rPr>
                  </w:pPr>
                  <w:r>
                    <w:rPr>
                      <w:rFonts w:hint="eastAsia"/>
                      <w:bCs/>
                      <w:snapToGrid w:val="0"/>
                      <w:sz w:val="18"/>
                      <w:szCs w:val="18"/>
                      <w:lang w:val="en-US" w:eastAsia="zh-CN"/>
                    </w:rPr>
                    <w:t>0.001</w:t>
                  </w:r>
                </w:p>
              </w:tc>
              <w:tc>
                <w:tcPr>
                  <w:tcW w:w="741" w:type="pct"/>
                  <w:vMerge w:val="continue"/>
                  <w:vAlign w:val="center"/>
                </w:tcPr>
                <w:p>
                  <w:pPr>
                    <w:pStyle w:val="123"/>
                    <w:rPr>
                      <w:bCs/>
                      <w:snapToGrid w:val="0"/>
                      <w:sz w:val="18"/>
                      <w:szCs w:val="18"/>
                    </w:rPr>
                  </w:pPr>
                </w:p>
              </w:tc>
              <w:tc>
                <w:tcPr>
                  <w:tcW w:w="527" w:type="pct"/>
                  <w:vMerge w:val="continue"/>
                  <w:vAlign w:val="center"/>
                </w:tcPr>
                <w:p>
                  <w:pPr>
                    <w:pStyle w:val="123"/>
                    <w:rPr>
                      <w:bCs/>
                      <w:snapToGrid w:val="0"/>
                      <w:sz w:val="18"/>
                      <w:szCs w:val="18"/>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26" w:type="pct"/>
                  <w:vMerge w:val="continue"/>
                  <w:vAlign w:val="center"/>
                </w:tcPr>
                <w:p>
                  <w:pPr>
                    <w:pStyle w:val="123"/>
                    <w:rPr>
                      <w:bCs/>
                      <w:snapToGrid w:val="0"/>
                      <w:sz w:val="18"/>
                      <w:szCs w:val="18"/>
                    </w:rPr>
                  </w:pPr>
                </w:p>
              </w:tc>
              <w:tc>
                <w:tcPr>
                  <w:tcW w:w="455" w:type="pct"/>
                  <w:vMerge w:val="continue"/>
                  <w:vAlign w:val="center"/>
                </w:tcPr>
                <w:p>
                  <w:pPr>
                    <w:adjustRightInd w:val="0"/>
                    <w:snapToGrid w:val="0"/>
                    <w:jc w:val="center"/>
                    <w:rPr>
                      <w:rFonts w:hint="eastAsia"/>
                      <w:sz w:val="18"/>
                      <w:szCs w:val="18"/>
                    </w:rPr>
                  </w:pPr>
                </w:p>
              </w:tc>
              <w:tc>
                <w:tcPr>
                  <w:tcW w:w="493" w:type="pct"/>
                  <w:vAlign w:val="center"/>
                </w:tcPr>
                <w:p>
                  <w:pPr>
                    <w:pStyle w:val="123"/>
                    <w:rPr>
                      <w:rFonts w:hint="eastAsia" w:ascii="Times New Roman" w:hAnsi="Times New Roman" w:eastAsia="宋体" w:cs="Times New Roman"/>
                      <w:bCs/>
                      <w:snapToGrid w:val="0"/>
                      <w:kern w:val="18"/>
                      <w:sz w:val="18"/>
                      <w:szCs w:val="18"/>
                      <w:lang w:val="en-US" w:eastAsia="zh-CN" w:bidi="ar-SA"/>
                    </w:rPr>
                  </w:pPr>
                  <w:r>
                    <w:rPr>
                      <w:rFonts w:hint="eastAsia"/>
                      <w:bCs/>
                      <w:snapToGrid w:val="0"/>
                      <w:sz w:val="18"/>
                      <w:szCs w:val="18"/>
                      <w:lang w:eastAsia="zh-CN"/>
                    </w:rPr>
                    <w:t>氯化氢</w:t>
                  </w:r>
                </w:p>
              </w:tc>
              <w:tc>
                <w:tcPr>
                  <w:tcW w:w="426" w:type="pct"/>
                  <w:vAlign w:val="center"/>
                </w:tcPr>
                <w:p>
                  <w:pPr>
                    <w:pStyle w:val="123"/>
                    <w:rPr>
                      <w:rFonts w:hint="default"/>
                      <w:bCs/>
                      <w:snapToGrid w:val="0"/>
                      <w:sz w:val="18"/>
                      <w:szCs w:val="18"/>
                      <w:lang w:val="en-US" w:eastAsia="zh-CN"/>
                    </w:rPr>
                  </w:pPr>
                  <w:r>
                    <w:rPr>
                      <w:rFonts w:hint="eastAsia"/>
                      <w:bCs/>
                      <w:snapToGrid w:val="0"/>
                      <w:sz w:val="18"/>
                      <w:szCs w:val="18"/>
                      <w:lang w:val="en-US" w:eastAsia="zh-CN"/>
                    </w:rPr>
                    <w:t>/</w:t>
                  </w:r>
                </w:p>
              </w:tc>
              <w:tc>
                <w:tcPr>
                  <w:tcW w:w="560" w:type="pct"/>
                  <w:vAlign w:val="center"/>
                </w:tcPr>
                <w:p>
                  <w:pPr>
                    <w:pStyle w:val="123"/>
                    <w:rPr>
                      <w:rFonts w:hint="default"/>
                      <w:bCs/>
                      <w:snapToGrid w:val="0"/>
                      <w:sz w:val="18"/>
                      <w:szCs w:val="18"/>
                      <w:lang w:val="en-US" w:eastAsia="zh-CN"/>
                    </w:rPr>
                  </w:pPr>
                  <w:r>
                    <w:rPr>
                      <w:rFonts w:hint="eastAsia"/>
                      <w:bCs/>
                      <w:snapToGrid w:val="0"/>
                      <w:sz w:val="18"/>
                      <w:szCs w:val="18"/>
                      <w:lang w:val="en-US" w:eastAsia="zh-CN"/>
                    </w:rPr>
                    <w:t>/</w:t>
                  </w:r>
                </w:p>
              </w:tc>
              <w:tc>
                <w:tcPr>
                  <w:tcW w:w="637" w:type="pct"/>
                  <w:vMerge w:val="continue"/>
                  <w:vAlign w:val="center"/>
                </w:tcPr>
                <w:p>
                  <w:pPr>
                    <w:pStyle w:val="123"/>
                    <w:rPr>
                      <w:bCs/>
                      <w:snapToGrid w:val="0"/>
                      <w:sz w:val="18"/>
                      <w:szCs w:val="18"/>
                    </w:rPr>
                  </w:pPr>
                </w:p>
              </w:tc>
              <w:tc>
                <w:tcPr>
                  <w:tcW w:w="430" w:type="pct"/>
                  <w:vAlign w:val="center"/>
                </w:tcPr>
                <w:p>
                  <w:pPr>
                    <w:pStyle w:val="123"/>
                    <w:rPr>
                      <w:rFonts w:hint="eastAsia"/>
                      <w:bCs/>
                      <w:snapToGrid w:val="0"/>
                      <w:sz w:val="18"/>
                      <w:szCs w:val="18"/>
                      <w:lang w:val="en-US" w:eastAsia="zh-CN"/>
                    </w:rPr>
                  </w:pPr>
                  <w:r>
                    <w:rPr>
                      <w:rFonts w:hint="eastAsia"/>
                      <w:bCs/>
                      <w:snapToGrid w:val="0"/>
                      <w:sz w:val="18"/>
                      <w:szCs w:val="18"/>
                      <w:lang w:val="en-US" w:eastAsia="zh-CN"/>
                    </w:rPr>
                    <w:t>/</w:t>
                  </w:r>
                </w:p>
              </w:tc>
              <w:tc>
                <w:tcPr>
                  <w:tcW w:w="502" w:type="pct"/>
                  <w:vAlign w:val="center"/>
                </w:tcPr>
                <w:p>
                  <w:pPr>
                    <w:pStyle w:val="123"/>
                    <w:rPr>
                      <w:rFonts w:hint="eastAsia"/>
                      <w:bCs/>
                      <w:snapToGrid w:val="0"/>
                      <w:sz w:val="18"/>
                      <w:szCs w:val="18"/>
                      <w:lang w:val="en-US" w:eastAsia="zh-CN"/>
                    </w:rPr>
                  </w:pPr>
                  <w:r>
                    <w:rPr>
                      <w:rFonts w:hint="eastAsia"/>
                      <w:bCs/>
                      <w:snapToGrid w:val="0"/>
                      <w:sz w:val="18"/>
                      <w:szCs w:val="18"/>
                      <w:lang w:val="en-US" w:eastAsia="zh-CN"/>
                    </w:rPr>
                    <w:t>/</w:t>
                  </w:r>
                </w:p>
              </w:tc>
              <w:tc>
                <w:tcPr>
                  <w:tcW w:w="741" w:type="pct"/>
                  <w:vMerge w:val="continue"/>
                  <w:vAlign w:val="center"/>
                </w:tcPr>
                <w:p>
                  <w:pPr>
                    <w:pStyle w:val="123"/>
                    <w:rPr>
                      <w:bCs/>
                      <w:snapToGrid w:val="0"/>
                      <w:sz w:val="18"/>
                      <w:szCs w:val="18"/>
                    </w:rPr>
                  </w:pPr>
                </w:p>
              </w:tc>
              <w:tc>
                <w:tcPr>
                  <w:tcW w:w="527" w:type="pct"/>
                  <w:vMerge w:val="continue"/>
                  <w:vAlign w:val="center"/>
                </w:tcPr>
                <w:p>
                  <w:pPr>
                    <w:pStyle w:val="123"/>
                    <w:rPr>
                      <w:bCs/>
                      <w:snapToGrid w:val="0"/>
                      <w:sz w:val="18"/>
                      <w:szCs w:val="18"/>
                    </w:rPr>
                  </w:pPr>
                </w:p>
              </w:tc>
            </w:tr>
          </w:tbl>
          <w:p>
            <w:pPr>
              <w:pStyle w:val="312"/>
              <w:rPr>
                <w:rFonts w:ascii="Times New Roman" w:hAnsi="Times New Roman"/>
              </w:rPr>
            </w:pPr>
          </w:p>
          <w:p>
            <w:pPr>
              <w:pStyle w:val="312"/>
              <w:rPr>
                <w:rFonts w:ascii="Times New Roman" w:hAnsi="Times New Roman"/>
              </w:rPr>
            </w:pPr>
          </w:p>
        </w:tc>
      </w:tr>
    </w:tbl>
    <w:p>
      <w:pPr>
        <w:pStyle w:val="312"/>
        <w:rPr>
          <w:rFonts w:ascii="Times New Roman" w:hAnsi="Times New Roman"/>
        </w:rPr>
        <w:sectPr>
          <w:pgSz w:w="16838" w:h="11906" w:orient="landscape"/>
          <w:pgMar w:top="1797" w:right="1440" w:bottom="1797" w:left="1440" w:header="851" w:footer="992" w:gutter="0"/>
          <w:pgBorders>
            <w:top w:val="none" w:sz="0" w:space="0"/>
            <w:left w:val="none" w:sz="0" w:space="0"/>
            <w:bottom w:val="none" w:sz="0" w:space="0"/>
            <w:right w:val="none" w:sz="0" w:space="0"/>
          </w:pgBorders>
          <w:cols w:space="720" w:num="1"/>
          <w:docGrid w:type="linesAndChars" w:linePitch="312" w:charSpace="0"/>
        </w:sectPr>
      </w:pPr>
    </w:p>
    <w:tbl>
      <w:tblPr>
        <w:tblStyle w:val="56"/>
        <w:tblW w:w="8528"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12" w:space="0"/>
        </w:tblBorders>
        <w:tblLayout w:type="fixed"/>
        <w:tblCellMar>
          <w:top w:w="0" w:type="dxa"/>
          <w:left w:w="108" w:type="dxa"/>
          <w:bottom w:w="0" w:type="dxa"/>
          <w:right w:w="108" w:type="dxa"/>
        </w:tblCellMar>
      </w:tblPr>
      <w:tblGrid>
        <w:gridCol w:w="8528"/>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12" w:space="0"/>
          </w:tblBorders>
          <w:tblCellMar>
            <w:top w:w="0" w:type="dxa"/>
            <w:left w:w="108" w:type="dxa"/>
            <w:bottom w:w="0" w:type="dxa"/>
            <w:right w:w="108" w:type="dxa"/>
          </w:tblCellMar>
        </w:tblPrEx>
        <w:trPr>
          <w:trHeight w:val="14321" w:hRule="atLeast"/>
          <w:jc w:val="center"/>
        </w:trPr>
        <w:tc>
          <w:tcPr>
            <w:tcW w:w="8528" w:type="dxa"/>
          </w:tcPr>
          <w:p>
            <w:pPr>
              <w:snapToGrid w:val="0"/>
              <w:rPr>
                <w:b/>
                <w:sz w:val="10"/>
              </w:rPr>
            </w:pPr>
          </w:p>
          <w:p>
            <w:pPr>
              <w:spacing w:line="360" w:lineRule="auto"/>
              <w:ind w:firstLine="480" w:firstLineChars="200"/>
              <w:rPr>
                <w:b/>
                <w:sz w:val="24"/>
                <w:szCs w:val="24"/>
              </w:rPr>
            </w:pPr>
            <w:r>
              <w:rPr>
                <w:b/>
                <w:sz w:val="24"/>
                <w:szCs w:val="24"/>
              </w:rPr>
              <w:t>2、废水</w:t>
            </w:r>
          </w:p>
          <w:p>
            <w:pPr>
              <w:spacing w:line="360" w:lineRule="auto"/>
              <w:ind w:firstLine="465"/>
              <w:rPr>
                <w:b/>
                <w:sz w:val="24"/>
                <w:szCs w:val="24"/>
              </w:rPr>
            </w:pPr>
            <w:r>
              <w:rPr>
                <w:rFonts w:hint="eastAsia"/>
                <w:b/>
                <w:sz w:val="24"/>
                <w:szCs w:val="24"/>
                <w:lang w:eastAsia="zh-CN"/>
              </w:rPr>
              <w:t>（</w:t>
            </w:r>
            <w:r>
              <w:rPr>
                <w:rFonts w:hint="eastAsia"/>
                <w:b/>
                <w:sz w:val="24"/>
                <w:szCs w:val="24"/>
                <w:lang w:val="en-US" w:eastAsia="zh-CN"/>
              </w:rPr>
              <w:t>1</w:t>
            </w:r>
            <w:r>
              <w:rPr>
                <w:rFonts w:hint="eastAsia"/>
                <w:b/>
                <w:sz w:val="24"/>
                <w:szCs w:val="24"/>
                <w:lang w:eastAsia="zh-CN"/>
              </w:rPr>
              <w:t>）</w:t>
            </w:r>
            <w:r>
              <w:rPr>
                <w:rFonts w:hint="eastAsia"/>
                <w:b/>
                <w:sz w:val="24"/>
                <w:szCs w:val="24"/>
              </w:rPr>
              <w:t>给水：</w:t>
            </w:r>
            <w:r>
              <w:rPr>
                <w:rFonts w:hint="eastAsia"/>
                <w:sz w:val="24"/>
                <w:szCs w:val="24"/>
              </w:rPr>
              <w:t>项目用水由市政供水管网提供。</w:t>
            </w:r>
          </w:p>
          <w:p>
            <w:pPr>
              <w:spacing w:line="360" w:lineRule="auto"/>
              <w:ind w:firstLine="465"/>
              <w:rPr>
                <w:rFonts w:hint="eastAsia" w:eastAsia="宋体"/>
                <w:sz w:val="24"/>
                <w:szCs w:val="24"/>
                <w:lang w:eastAsia="zh-CN"/>
              </w:rPr>
            </w:pPr>
            <w:r>
              <w:rPr>
                <w:rFonts w:hint="eastAsia"/>
                <w:b/>
                <w:bCs/>
                <w:sz w:val="24"/>
                <w:szCs w:val="24"/>
                <w:lang w:val="en-US" w:eastAsia="zh-CN"/>
              </w:rPr>
              <w:t>a</w:t>
            </w:r>
            <w:r>
              <w:rPr>
                <w:rFonts w:hint="eastAsia"/>
                <w:b w:val="0"/>
                <w:bCs w:val="0"/>
                <w:sz w:val="24"/>
                <w:szCs w:val="24"/>
                <w:lang w:eastAsia="zh-CN"/>
              </w:rPr>
              <w:t>循环冷却水</w:t>
            </w:r>
            <w:r>
              <w:rPr>
                <w:rFonts w:hint="eastAsia"/>
                <w:b/>
                <w:bCs/>
                <w:sz w:val="24"/>
                <w:szCs w:val="24"/>
                <w:lang w:eastAsia="zh-CN"/>
              </w:rPr>
              <w:t>：</w:t>
            </w:r>
            <w:r>
              <w:rPr>
                <w:rFonts w:hint="eastAsia"/>
                <w:sz w:val="24"/>
                <w:szCs w:val="24"/>
                <w:lang w:eastAsia="zh-CN"/>
              </w:rPr>
              <w:t>本项目注塑成型需用水进行冷却，据类比调查，每台注塑机需要冷却水水量约为0.2t/h，冷却水循环使用。本项目注塑机共</w:t>
            </w:r>
            <w:r>
              <w:rPr>
                <w:rFonts w:hint="eastAsia"/>
                <w:sz w:val="24"/>
                <w:szCs w:val="24"/>
                <w:lang w:val="en-US" w:eastAsia="zh-CN"/>
              </w:rPr>
              <w:t>5</w:t>
            </w:r>
            <w:r>
              <w:rPr>
                <w:rFonts w:hint="eastAsia"/>
                <w:sz w:val="24"/>
                <w:szCs w:val="24"/>
                <w:lang w:eastAsia="zh-CN"/>
              </w:rPr>
              <w:t>台，即冷却水用量为</w:t>
            </w:r>
            <w:r>
              <w:rPr>
                <w:rFonts w:hint="eastAsia"/>
                <w:sz w:val="24"/>
                <w:szCs w:val="24"/>
                <w:lang w:val="en-US" w:eastAsia="zh-CN"/>
              </w:rPr>
              <w:t>1</w:t>
            </w:r>
            <w:r>
              <w:rPr>
                <w:rFonts w:hint="eastAsia"/>
                <w:sz w:val="24"/>
                <w:szCs w:val="24"/>
                <w:lang w:eastAsia="zh-CN"/>
              </w:rPr>
              <w:t>t/h。估算需补充新鲜水量约0.</w:t>
            </w:r>
            <w:r>
              <w:rPr>
                <w:rFonts w:hint="eastAsia"/>
                <w:sz w:val="24"/>
                <w:szCs w:val="24"/>
                <w:lang w:val="en-US" w:eastAsia="zh-CN"/>
              </w:rPr>
              <w:t>1</w:t>
            </w:r>
            <w:r>
              <w:rPr>
                <w:rFonts w:hint="eastAsia"/>
                <w:sz w:val="24"/>
                <w:szCs w:val="24"/>
                <w:lang w:eastAsia="zh-CN"/>
              </w:rPr>
              <w:t>t/h，则年补充新鲜水量为</w:t>
            </w:r>
            <w:r>
              <w:rPr>
                <w:rFonts w:hint="eastAsia"/>
                <w:sz w:val="24"/>
                <w:szCs w:val="24"/>
                <w:lang w:val="en-US" w:eastAsia="zh-CN"/>
              </w:rPr>
              <w:t>6</w:t>
            </w:r>
            <w:r>
              <w:rPr>
                <w:rFonts w:hint="eastAsia"/>
                <w:sz w:val="24"/>
                <w:szCs w:val="24"/>
                <w:lang w:eastAsia="zh-CN"/>
              </w:rPr>
              <w:t>t/a。本项目冷却水循环使用不外排，定期补充新鲜水。</w:t>
            </w:r>
          </w:p>
          <w:p>
            <w:pPr>
              <w:pStyle w:val="21"/>
              <w:spacing w:after="0" w:line="360" w:lineRule="auto"/>
              <w:ind w:firstLine="480" w:firstLineChars="200"/>
              <w:rPr>
                <w:rFonts w:hint="eastAsia" w:eastAsia="宋体"/>
                <w:sz w:val="24"/>
                <w:szCs w:val="24"/>
                <w:lang w:eastAsia="zh-CN"/>
              </w:rPr>
            </w:pPr>
            <w:r>
              <w:rPr>
                <w:rFonts w:hint="eastAsia"/>
                <w:b/>
                <w:bCs/>
                <w:sz w:val="24"/>
                <w:szCs w:val="24"/>
                <w:lang w:val="en-US" w:eastAsia="zh-CN"/>
              </w:rPr>
              <w:t>b</w:t>
            </w:r>
            <w:r>
              <w:rPr>
                <w:rFonts w:hint="eastAsia"/>
                <w:bCs/>
                <w:sz w:val="24"/>
                <w:szCs w:val="22"/>
              </w:rPr>
              <w:t>切削液配比用水：本项目</w:t>
            </w:r>
            <w:r>
              <w:rPr>
                <w:rFonts w:hint="eastAsia"/>
                <w:bCs/>
                <w:sz w:val="24"/>
                <w:szCs w:val="22"/>
                <w:lang w:eastAsia="zh-CN"/>
              </w:rPr>
              <w:t>成型</w:t>
            </w:r>
            <w:r>
              <w:rPr>
                <w:rFonts w:hint="eastAsia"/>
                <w:bCs/>
                <w:sz w:val="24"/>
                <w:szCs w:val="22"/>
              </w:rPr>
              <w:t>工段使用切削液需要用水稀释，比例为1:20。本项目切削液使用量为0.</w:t>
            </w:r>
            <w:r>
              <w:rPr>
                <w:rFonts w:hint="eastAsia"/>
                <w:bCs/>
                <w:sz w:val="24"/>
                <w:szCs w:val="22"/>
                <w:lang w:val="en-US" w:eastAsia="zh-CN"/>
              </w:rPr>
              <w:t>4</w:t>
            </w:r>
            <w:r>
              <w:rPr>
                <w:rFonts w:hint="eastAsia"/>
                <w:bCs/>
                <w:sz w:val="24"/>
                <w:szCs w:val="22"/>
              </w:rPr>
              <w:t>t/a，则新鲜水用量为</w:t>
            </w:r>
            <w:r>
              <w:rPr>
                <w:rFonts w:hint="eastAsia"/>
                <w:bCs/>
                <w:sz w:val="24"/>
                <w:szCs w:val="22"/>
                <w:lang w:val="en-US" w:eastAsia="zh-CN"/>
              </w:rPr>
              <w:t>8</w:t>
            </w:r>
            <w:r>
              <w:rPr>
                <w:rFonts w:hint="eastAsia"/>
                <w:bCs/>
                <w:sz w:val="24"/>
                <w:szCs w:val="22"/>
              </w:rPr>
              <w:t>t/a</w:t>
            </w:r>
            <w:r>
              <w:rPr>
                <w:rFonts w:hint="eastAsia"/>
                <w:sz w:val="24"/>
                <w:szCs w:val="24"/>
              </w:rPr>
              <w:t>。</w:t>
            </w:r>
          </w:p>
          <w:p>
            <w:pPr>
              <w:spacing w:line="360" w:lineRule="auto"/>
              <w:ind w:firstLine="480" w:firstLineChars="200"/>
              <w:rPr>
                <w:sz w:val="24"/>
                <w:szCs w:val="24"/>
              </w:rPr>
            </w:pPr>
            <w:r>
              <w:rPr>
                <w:rFonts w:hint="eastAsia"/>
                <w:b/>
                <w:bCs/>
                <w:sz w:val="24"/>
                <w:szCs w:val="24"/>
                <w:lang w:val="en-US" w:eastAsia="zh-CN"/>
              </w:rPr>
              <w:t>c</w:t>
            </w:r>
            <w:r>
              <w:rPr>
                <w:rFonts w:hint="eastAsia"/>
                <w:b w:val="0"/>
                <w:bCs w:val="0"/>
                <w:sz w:val="24"/>
                <w:szCs w:val="24"/>
              </w:rPr>
              <w:t>生活用水</w:t>
            </w:r>
            <w:r>
              <w:rPr>
                <w:rFonts w:hint="eastAsia"/>
                <w:b/>
                <w:bCs/>
                <w:sz w:val="24"/>
                <w:szCs w:val="24"/>
              </w:rPr>
              <w:t>：</w:t>
            </w:r>
            <w:r>
              <w:rPr>
                <w:sz w:val="24"/>
                <w:szCs w:val="24"/>
              </w:rPr>
              <w:t>本项目员工</w:t>
            </w:r>
            <w:r>
              <w:rPr>
                <w:rFonts w:hint="eastAsia"/>
                <w:sz w:val="24"/>
                <w:szCs w:val="24"/>
                <w:lang w:val="en-US" w:eastAsia="zh-CN"/>
              </w:rPr>
              <w:t>30</w:t>
            </w:r>
            <w:r>
              <w:rPr>
                <w:sz w:val="24"/>
                <w:szCs w:val="24"/>
              </w:rPr>
              <w:t>人，年工作</w:t>
            </w:r>
            <w:r>
              <w:rPr>
                <w:rFonts w:hint="eastAsia"/>
                <w:sz w:val="24"/>
                <w:szCs w:val="24"/>
              </w:rPr>
              <w:t>300</w:t>
            </w:r>
            <w:r>
              <w:rPr>
                <w:sz w:val="24"/>
                <w:szCs w:val="24"/>
              </w:rPr>
              <w:t>天，根据《给水排水标准规范实施手册》中有关用水指标计算，员工生活用水以</w:t>
            </w:r>
            <w:r>
              <w:rPr>
                <w:rFonts w:hint="eastAsia"/>
                <w:sz w:val="24"/>
                <w:szCs w:val="24"/>
              </w:rPr>
              <w:t>5</w:t>
            </w:r>
            <w:r>
              <w:rPr>
                <w:sz w:val="24"/>
                <w:szCs w:val="24"/>
              </w:rPr>
              <w:t>0L/d•人计算，则用水量为</w:t>
            </w:r>
            <w:r>
              <w:rPr>
                <w:rFonts w:hint="eastAsia"/>
                <w:sz w:val="24"/>
                <w:szCs w:val="24"/>
                <w:lang w:val="en-US" w:eastAsia="zh-CN"/>
              </w:rPr>
              <w:t>450</w:t>
            </w:r>
            <w:r>
              <w:rPr>
                <w:sz w:val="24"/>
                <w:szCs w:val="24"/>
              </w:rPr>
              <w:t>m</w:t>
            </w:r>
            <w:r>
              <w:rPr>
                <w:sz w:val="24"/>
                <w:szCs w:val="24"/>
                <w:vertAlign w:val="superscript"/>
              </w:rPr>
              <w:t>3</w:t>
            </w:r>
            <w:r>
              <w:rPr>
                <w:sz w:val="24"/>
                <w:szCs w:val="24"/>
              </w:rPr>
              <w:t>/a</w:t>
            </w:r>
            <w:r>
              <w:rPr>
                <w:rFonts w:hint="eastAsia"/>
                <w:sz w:val="24"/>
                <w:szCs w:val="24"/>
              </w:rPr>
              <w:t>。</w:t>
            </w:r>
          </w:p>
          <w:p>
            <w:pPr>
              <w:spacing w:line="360" w:lineRule="auto"/>
              <w:ind w:firstLine="465"/>
              <w:rPr>
                <w:sz w:val="24"/>
                <w:szCs w:val="24"/>
              </w:rPr>
            </w:pPr>
            <w:r>
              <w:rPr>
                <w:rFonts w:hint="eastAsia"/>
                <w:sz w:val="24"/>
                <w:szCs w:val="24"/>
              </w:rPr>
              <w:t>综上，本项目新鲜用水量为</w:t>
            </w:r>
            <w:r>
              <w:rPr>
                <w:rFonts w:hint="eastAsia"/>
                <w:sz w:val="24"/>
                <w:szCs w:val="24"/>
                <w:lang w:val="en-US" w:eastAsia="zh-CN"/>
              </w:rPr>
              <w:t>464</w:t>
            </w:r>
            <w:r>
              <w:rPr>
                <w:rFonts w:hint="eastAsia"/>
                <w:sz w:val="24"/>
                <w:szCs w:val="24"/>
              </w:rPr>
              <w:t>t/a。</w:t>
            </w:r>
          </w:p>
          <w:p>
            <w:pPr>
              <w:spacing w:line="360" w:lineRule="auto"/>
              <w:ind w:firstLine="480" w:firstLineChars="200"/>
              <w:rPr>
                <w:b/>
                <w:sz w:val="24"/>
                <w:szCs w:val="24"/>
              </w:rPr>
            </w:pPr>
            <w:r>
              <w:rPr>
                <w:rFonts w:hint="eastAsia"/>
                <w:b/>
                <w:sz w:val="24"/>
                <w:szCs w:val="24"/>
                <w:lang w:eastAsia="zh-CN"/>
              </w:rPr>
              <w:t>（</w:t>
            </w:r>
            <w:r>
              <w:rPr>
                <w:rFonts w:hint="eastAsia"/>
                <w:b/>
                <w:sz w:val="24"/>
                <w:szCs w:val="24"/>
                <w:lang w:val="en-US" w:eastAsia="zh-CN"/>
              </w:rPr>
              <w:t>2</w:t>
            </w:r>
            <w:r>
              <w:rPr>
                <w:rFonts w:hint="eastAsia"/>
                <w:b/>
                <w:sz w:val="24"/>
                <w:szCs w:val="24"/>
                <w:lang w:eastAsia="zh-CN"/>
              </w:rPr>
              <w:t>）</w:t>
            </w:r>
            <w:r>
              <w:rPr>
                <w:rFonts w:hint="eastAsia"/>
                <w:b/>
                <w:sz w:val="24"/>
                <w:szCs w:val="24"/>
              </w:rPr>
              <w:t>排水：</w:t>
            </w:r>
          </w:p>
          <w:p>
            <w:pPr>
              <w:spacing w:line="360" w:lineRule="auto"/>
              <w:ind w:firstLine="480" w:firstLineChars="200"/>
              <w:rPr>
                <w:rFonts w:ascii="宋体"/>
                <w:bCs/>
                <w:sz w:val="24"/>
              </w:rPr>
            </w:pPr>
            <w:r>
              <w:rPr>
                <w:rFonts w:hint="eastAsia" w:ascii="宋体"/>
                <w:bCs/>
                <w:sz w:val="24"/>
              </w:rPr>
              <w:t>本项目排水为员工生活污水。</w:t>
            </w:r>
          </w:p>
          <w:p>
            <w:pPr>
              <w:spacing w:line="360" w:lineRule="auto"/>
              <w:ind w:firstLine="465"/>
              <w:rPr>
                <w:sz w:val="24"/>
                <w:szCs w:val="24"/>
              </w:rPr>
            </w:pPr>
            <w:r>
              <w:rPr>
                <w:rFonts w:hint="eastAsia"/>
                <w:b/>
                <w:bCs/>
                <w:sz w:val="24"/>
              </w:rPr>
              <w:t>生活污水：</w:t>
            </w:r>
            <w:r>
              <w:rPr>
                <w:rFonts w:hint="eastAsia"/>
                <w:bCs/>
                <w:sz w:val="24"/>
              </w:rPr>
              <w:t>生活用水排放系数以0</w:t>
            </w:r>
            <w:r>
              <w:rPr>
                <w:bCs/>
                <w:sz w:val="24"/>
              </w:rPr>
              <w:t>.8</w:t>
            </w:r>
            <w:r>
              <w:rPr>
                <w:rFonts w:hint="eastAsia"/>
                <w:bCs/>
                <w:sz w:val="24"/>
              </w:rPr>
              <w:t>计，则生活</w:t>
            </w:r>
            <w:r>
              <w:rPr>
                <w:bCs/>
                <w:sz w:val="24"/>
              </w:rPr>
              <w:t>污水排放量</w:t>
            </w:r>
            <w:r>
              <w:rPr>
                <w:rFonts w:hint="eastAsia"/>
                <w:bCs/>
                <w:sz w:val="24"/>
              </w:rPr>
              <w:t>为3</w:t>
            </w:r>
            <w:r>
              <w:rPr>
                <w:rFonts w:hint="eastAsia"/>
                <w:bCs/>
                <w:sz w:val="24"/>
                <w:lang w:val="en-US" w:eastAsia="zh-CN"/>
              </w:rPr>
              <w:t>6</w:t>
            </w:r>
            <w:r>
              <w:rPr>
                <w:rFonts w:hint="eastAsia"/>
                <w:bCs/>
                <w:sz w:val="24"/>
              </w:rPr>
              <w:t>0</w:t>
            </w:r>
            <w:r>
              <w:rPr>
                <w:bCs/>
                <w:sz w:val="24"/>
              </w:rPr>
              <w:t>m</w:t>
            </w:r>
            <w:r>
              <w:rPr>
                <w:bCs/>
                <w:sz w:val="24"/>
                <w:vertAlign w:val="superscript"/>
              </w:rPr>
              <w:t>3</w:t>
            </w:r>
            <w:r>
              <w:rPr>
                <w:bCs/>
                <w:sz w:val="24"/>
              </w:rPr>
              <w:t>/a，</w:t>
            </w:r>
            <w:r>
              <w:rPr>
                <w:rFonts w:hint="eastAsia"/>
                <w:bCs/>
                <w:sz w:val="24"/>
              </w:rPr>
              <w:t>生活污水水质较为简单，</w:t>
            </w:r>
            <w:r>
              <w:rPr>
                <w:bCs/>
                <w:sz w:val="24"/>
              </w:rPr>
              <w:t>其中</w:t>
            </w:r>
            <w:r>
              <w:rPr>
                <w:rFonts w:hint="eastAsia"/>
                <w:bCs/>
                <w:sz w:val="24"/>
              </w:rPr>
              <w:t>pH为6~9，</w:t>
            </w:r>
            <w:r>
              <w:rPr>
                <w:bCs/>
                <w:sz w:val="24"/>
              </w:rPr>
              <w:t>COD浓度4</w:t>
            </w:r>
            <w:r>
              <w:rPr>
                <w:rFonts w:hint="eastAsia"/>
                <w:bCs/>
                <w:sz w:val="24"/>
              </w:rPr>
              <w:t>00</w:t>
            </w:r>
            <w:r>
              <w:rPr>
                <w:bCs/>
                <w:sz w:val="24"/>
              </w:rPr>
              <w:t>mg/L，NH</w:t>
            </w:r>
            <w:r>
              <w:rPr>
                <w:bCs/>
                <w:sz w:val="24"/>
                <w:vertAlign w:val="subscript"/>
              </w:rPr>
              <w:t>3</w:t>
            </w:r>
            <w:r>
              <w:rPr>
                <w:bCs/>
                <w:sz w:val="24"/>
              </w:rPr>
              <w:t>-N浓度</w:t>
            </w:r>
            <w:r>
              <w:rPr>
                <w:rFonts w:hint="eastAsia"/>
                <w:bCs/>
                <w:sz w:val="24"/>
              </w:rPr>
              <w:t>3</w:t>
            </w:r>
            <w:r>
              <w:rPr>
                <w:bCs/>
                <w:sz w:val="24"/>
              </w:rPr>
              <w:t>5mg/L，SS浓度200mg/L，TP浓度约3mg/L</w:t>
            </w:r>
            <w:r>
              <w:rPr>
                <w:rFonts w:hint="eastAsia"/>
                <w:bCs/>
                <w:sz w:val="24"/>
              </w:rPr>
              <w:t>，TN</w:t>
            </w:r>
            <w:r>
              <w:rPr>
                <w:bCs/>
                <w:sz w:val="24"/>
              </w:rPr>
              <w:t>浓度约</w:t>
            </w:r>
            <w:r>
              <w:rPr>
                <w:rFonts w:hint="eastAsia"/>
                <w:bCs/>
                <w:sz w:val="24"/>
              </w:rPr>
              <w:t>50</w:t>
            </w:r>
            <w:r>
              <w:rPr>
                <w:bCs/>
                <w:sz w:val="24"/>
              </w:rPr>
              <w:t>mg/L。</w:t>
            </w:r>
            <w:r>
              <w:rPr>
                <w:sz w:val="24"/>
                <w:szCs w:val="24"/>
              </w:rPr>
              <w:t>本项目水平衡图如下图所示。</w:t>
            </w:r>
          </w:p>
          <w:p>
            <w:pPr>
              <w:spacing w:line="360" w:lineRule="auto"/>
              <w:jc w:val="center"/>
              <w:rPr>
                <w:rFonts w:hint="eastAsia" w:eastAsia="宋体"/>
                <w:b/>
                <w:sz w:val="24"/>
                <w:szCs w:val="24"/>
                <w:lang w:eastAsia="zh-CN"/>
              </w:rPr>
            </w:pPr>
            <w:r>
              <w:rPr>
                <w:rFonts w:hint="eastAsia" w:eastAsia="宋体"/>
                <w:b/>
                <w:sz w:val="24"/>
                <w:szCs w:val="24"/>
                <w:lang w:eastAsia="zh-CN"/>
              </w:rPr>
              <w:drawing>
                <wp:inline distT="0" distB="0" distL="114300" distR="114300">
                  <wp:extent cx="5126355" cy="2736215"/>
                  <wp:effectExtent l="0" t="0" r="17145" b="6985"/>
                  <wp:docPr id="9" name="ECB019B1-382A-4266-B25C-5B523AA43C14-2" descr="C:/Users/ADMINI~1/AppData/Local/Temp/qt_temp.Aq5468qt_te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ECB019B1-382A-4266-B25C-5B523AA43C14-2" descr="C:/Users/ADMINI~1/AppData/Local/Temp/qt_temp.Aq5468qt_temp"/>
                          <pic:cNvPicPr>
                            <a:picLocks noChangeAspect="1"/>
                          </pic:cNvPicPr>
                        </pic:nvPicPr>
                        <pic:blipFill>
                          <a:blip r:embed="rId13"/>
                          <a:srcRect l="5603" t="12102" r="6613" b="14869"/>
                          <a:stretch>
                            <a:fillRect/>
                          </a:stretch>
                        </pic:blipFill>
                        <pic:spPr>
                          <a:xfrm>
                            <a:off x="0" y="0"/>
                            <a:ext cx="5126355" cy="2736215"/>
                          </a:xfrm>
                          <a:prstGeom prst="rect">
                            <a:avLst/>
                          </a:prstGeom>
                        </pic:spPr>
                      </pic:pic>
                    </a:graphicData>
                  </a:graphic>
                </wp:inline>
              </w:drawing>
            </w:r>
          </w:p>
          <w:p>
            <w:pPr>
              <w:tabs>
                <w:tab w:val="center" w:pos="4221"/>
                <w:tab w:val="left" w:pos="6890"/>
              </w:tabs>
              <w:jc w:val="left"/>
              <w:rPr>
                <w:b/>
                <w:kern w:val="21"/>
                <w:szCs w:val="21"/>
                <w:lang w:val="zh-CN"/>
              </w:rPr>
            </w:pPr>
            <w:r>
              <w:rPr>
                <w:rFonts w:hint="eastAsia"/>
                <w:b/>
                <w:kern w:val="21"/>
                <w:szCs w:val="21"/>
                <w:lang w:val="zh-CN"/>
              </w:rPr>
              <w:tab/>
            </w:r>
            <w:r>
              <w:rPr>
                <w:b/>
                <w:kern w:val="21"/>
                <w:szCs w:val="21"/>
                <w:lang w:val="zh-CN"/>
              </w:rPr>
              <w:t>图</w:t>
            </w:r>
            <w:r>
              <w:rPr>
                <w:rFonts w:hint="eastAsia"/>
                <w:b/>
                <w:kern w:val="21"/>
                <w:szCs w:val="21"/>
                <w:lang w:val="zh-CN"/>
              </w:rPr>
              <w:t>5-</w:t>
            </w:r>
            <w:r>
              <w:rPr>
                <w:rFonts w:hint="eastAsia"/>
                <w:b/>
                <w:kern w:val="21"/>
                <w:szCs w:val="21"/>
              </w:rPr>
              <w:t>5</w:t>
            </w:r>
            <w:r>
              <w:rPr>
                <w:rFonts w:hint="eastAsia"/>
                <w:b/>
                <w:kern w:val="21"/>
                <w:szCs w:val="21"/>
                <w:lang w:val="zh-CN"/>
              </w:rPr>
              <w:t xml:space="preserve">  </w:t>
            </w:r>
            <w:r>
              <w:rPr>
                <w:b/>
                <w:kern w:val="21"/>
                <w:szCs w:val="21"/>
                <w:lang w:val="zh-CN"/>
              </w:rPr>
              <w:t xml:space="preserve"> 建设项目用水平衡图</w:t>
            </w:r>
            <w:r>
              <w:rPr>
                <w:rFonts w:hint="eastAsia"/>
                <w:b/>
                <w:kern w:val="21"/>
                <w:szCs w:val="21"/>
                <w:lang w:val="zh-CN"/>
              </w:rPr>
              <w:t>(t</w:t>
            </w:r>
            <w:r>
              <w:rPr>
                <w:b/>
                <w:kern w:val="21"/>
                <w:szCs w:val="21"/>
                <w:lang w:val="zh-CN"/>
              </w:rPr>
              <w:t>/</w:t>
            </w:r>
            <w:r>
              <w:rPr>
                <w:rFonts w:hint="eastAsia"/>
                <w:b/>
                <w:kern w:val="21"/>
                <w:szCs w:val="21"/>
              </w:rPr>
              <w:t>a</w:t>
            </w:r>
            <w:r>
              <w:rPr>
                <w:rFonts w:hint="eastAsia"/>
                <w:b/>
                <w:kern w:val="21"/>
                <w:szCs w:val="21"/>
                <w:lang w:val="zh-CN"/>
              </w:rPr>
              <w:t>)</w:t>
            </w:r>
            <w:r>
              <w:rPr>
                <w:rFonts w:hint="eastAsia"/>
                <w:b/>
                <w:kern w:val="21"/>
                <w:szCs w:val="21"/>
                <w:lang w:val="zh-CN"/>
              </w:rPr>
              <w:tab/>
            </w:r>
          </w:p>
          <w:p>
            <w:pPr>
              <w:jc w:val="center"/>
              <w:rPr>
                <w:b/>
                <w:kern w:val="21"/>
                <w:szCs w:val="21"/>
                <w:lang w:val="zh-CN"/>
              </w:rPr>
            </w:pPr>
            <w:r>
              <w:rPr>
                <w:b/>
                <w:kern w:val="21"/>
                <w:szCs w:val="21"/>
                <w:lang w:val="zh-CN"/>
              </w:rPr>
              <w:t>表5-</w:t>
            </w:r>
            <w:r>
              <w:rPr>
                <w:rFonts w:hint="eastAsia"/>
                <w:b/>
                <w:kern w:val="21"/>
                <w:szCs w:val="21"/>
              </w:rPr>
              <w:t>4</w:t>
            </w:r>
            <w:r>
              <w:rPr>
                <w:b/>
                <w:kern w:val="21"/>
                <w:szCs w:val="21"/>
                <w:lang w:val="zh-CN"/>
              </w:rPr>
              <w:t xml:space="preserve">  建设项目水污染物产生和排放情况表</w:t>
            </w:r>
          </w:p>
          <w:tbl>
            <w:tblPr>
              <w:tblStyle w:val="56"/>
              <w:tblW w:w="8312" w:type="dxa"/>
              <w:jc w:val="center"/>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Layout w:type="fixed"/>
              <w:tblCellMar>
                <w:top w:w="0" w:type="dxa"/>
                <w:left w:w="108" w:type="dxa"/>
                <w:bottom w:w="0" w:type="dxa"/>
                <w:right w:w="108" w:type="dxa"/>
              </w:tblCellMar>
            </w:tblPr>
            <w:tblGrid>
              <w:gridCol w:w="974"/>
              <w:gridCol w:w="928"/>
              <w:gridCol w:w="1003"/>
              <w:gridCol w:w="881"/>
              <w:gridCol w:w="862"/>
              <w:gridCol w:w="898"/>
              <w:gridCol w:w="945"/>
              <w:gridCol w:w="986"/>
              <w:gridCol w:w="835"/>
            </w:tblGrid>
            <w:tr>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974" w:type="dxa"/>
                  <w:vMerge w:val="restart"/>
                  <w:vAlign w:val="center"/>
                </w:tcPr>
                <w:p>
                  <w:pPr>
                    <w:jc w:val="center"/>
                    <w:rPr>
                      <w:b/>
                      <w:bCs/>
                      <w:szCs w:val="21"/>
                    </w:rPr>
                  </w:pPr>
                  <w:r>
                    <w:rPr>
                      <w:b/>
                      <w:bCs/>
                      <w:szCs w:val="21"/>
                    </w:rPr>
                    <w:t>废水名称</w:t>
                  </w:r>
                </w:p>
              </w:tc>
              <w:tc>
                <w:tcPr>
                  <w:tcW w:w="928" w:type="dxa"/>
                  <w:vMerge w:val="restart"/>
                  <w:vAlign w:val="center"/>
                </w:tcPr>
                <w:p>
                  <w:pPr>
                    <w:jc w:val="center"/>
                    <w:rPr>
                      <w:b/>
                      <w:bCs/>
                      <w:szCs w:val="21"/>
                    </w:rPr>
                  </w:pPr>
                  <w:r>
                    <w:rPr>
                      <w:b/>
                      <w:bCs/>
                      <w:szCs w:val="21"/>
                    </w:rPr>
                    <w:t>污染物</w:t>
                  </w:r>
                </w:p>
              </w:tc>
              <w:tc>
                <w:tcPr>
                  <w:tcW w:w="1884" w:type="dxa"/>
                  <w:gridSpan w:val="2"/>
                  <w:vAlign w:val="center"/>
                </w:tcPr>
                <w:p>
                  <w:pPr>
                    <w:jc w:val="center"/>
                    <w:rPr>
                      <w:b/>
                      <w:bCs/>
                      <w:szCs w:val="21"/>
                    </w:rPr>
                  </w:pPr>
                  <w:r>
                    <w:rPr>
                      <w:b/>
                      <w:bCs/>
                      <w:szCs w:val="21"/>
                    </w:rPr>
                    <w:t>进水</w:t>
                  </w:r>
                </w:p>
              </w:tc>
              <w:tc>
                <w:tcPr>
                  <w:tcW w:w="862" w:type="dxa"/>
                  <w:vMerge w:val="restart"/>
                  <w:vAlign w:val="center"/>
                </w:tcPr>
                <w:p>
                  <w:pPr>
                    <w:jc w:val="center"/>
                    <w:rPr>
                      <w:b/>
                      <w:bCs/>
                      <w:szCs w:val="21"/>
                    </w:rPr>
                  </w:pPr>
                  <w:r>
                    <w:rPr>
                      <w:b/>
                      <w:bCs/>
                      <w:szCs w:val="21"/>
                    </w:rPr>
                    <w:t>处理措施</w:t>
                  </w:r>
                </w:p>
              </w:tc>
              <w:tc>
                <w:tcPr>
                  <w:tcW w:w="898" w:type="dxa"/>
                  <w:vMerge w:val="restart"/>
                  <w:vAlign w:val="center"/>
                </w:tcPr>
                <w:p>
                  <w:pPr>
                    <w:jc w:val="center"/>
                    <w:rPr>
                      <w:b/>
                      <w:bCs/>
                      <w:szCs w:val="21"/>
                    </w:rPr>
                  </w:pPr>
                  <w:r>
                    <w:rPr>
                      <w:b/>
                      <w:bCs/>
                      <w:szCs w:val="21"/>
                    </w:rPr>
                    <w:t>去除率（%）</w:t>
                  </w:r>
                </w:p>
              </w:tc>
              <w:tc>
                <w:tcPr>
                  <w:tcW w:w="1931" w:type="dxa"/>
                  <w:gridSpan w:val="2"/>
                  <w:vAlign w:val="center"/>
                </w:tcPr>
                <w:p>
                  <w:pPr>
                    <w:jc w:val="center"/>
                    <w:rPr>
                      <w:b/>
                      <w:bCs/>
                      <w:szCs w:val="21"/>
                    </w:rPr>
                  </w:pPr>
                  <w:r>
                    <w:rPr>
                      <w:b/>
                      <w:bCs/>
                      <w:szCs w:val="21"/>
                    </w:rPr>
                    <w:t>出水</w:t>
                  </w:r>
                </w:p>
              </w:tc>
              <w:tc>
                <w:tcPr>
                  <w:tcW w:w="835" w:type="dxa"/>
                  <w:vMerge w:val="restart"/>
                  <w:vAlign w:val="center"/>
                </w:tcPr>
                <w:p>
                  <w:pPr>
                    <w:jc w:val="center"/>
                    <w:rPr>
                      <w:b/>
                      <w:bCs/>
                      <w:szCs w:val="21"/>
                    </w:rPr>
                  </w:pPr>
                  <w:r>
                    <w:rPr>
                      <w:b/>
                      <w:bCs/>
                      <w:szCs w:val="21"/>
                    </w:rPr>
                    <w:t>接管标准mg/L</w:t>
                  </w:r>
                </w:p>
              </w:tc>
            </w:tr>
            <w:tr>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974" w:type="dxa"/>
                  <w:vMerge w:val="continue"/>
                  <w:vAlign w:val="center"/>
                </w:tcPr>
                <w:p>
                  <w:pPr>
                    <w:rPr>
                      <w:szCs w:val="21"/>
                    </w:rPr>
                  </w:pPr>
                </w:p>
              </w:tc>
              <w:tc>
                <w:tcPr>
                  <w:tcW w:w="928" w:type="dxa"/>
                  <w:vMerge w:val="continue"/>
                  <w:vAlign w:val="center"/>
                </w:tcPr>
                <w:p>
                  <w:pPr>
                    <w:rPr>
                      <w:szCs w:val="21"/>
                    </w:rPr>
                  </w:pPr>
                </w:p>
              </w:tc>
              <w:tc>
                <w:tcPr>
                  <w:tcW w:w="1003" w:type="dxa"/>
                  <w:vAlign w:val="center"/>
                </w:tcPr>
                <w:p>
                  <w:pPr>
                    <w:jc w:val="center"/>
                    <w:rPr>
                      <w:b/>
                      <w:bCs/>
                      <w:szCs w:val="21"/>
                    </w:rPr>
                  </w:pPr>
                  <w:r>
                    <w:rPr>
                      <w:b/>
                      <w:bCs/>
                      <w:szCs w:val="21"/>
                    </w:rPr>
                    <w:t>进水浓度mg/L</w:t>
                  </w:r>
                </w:p>
              </w:tc>
              <w:tc>
                <w:tcPr>
                  <w:tcW w:w="881" w:type="dxa"/>
                  <w:vAlign w:val="center"/>
                </w:tcPr>
                <w:p>
                  <w:pPr>
                    <w:jc w:val="center"/>
                    <w:rPr>
                      <w:b/>
                      <w:bCs/>
                      <w:szCs w:val="21"/>
                    </w:rPr>
                  </w:pPr>
                  <w:r>
                    <w:rPr>
                      <w:b/>
                      <w:bCs/>
                      <w:szCs w:val="21"/>
                    </w:rPr>
                    <w:t>进水量</w:t>
                  </w:r>
                </w:p>
                <w:p>
                  <w:pPr>
                    <w:jc w:val="center"/>
                    <w:rPr>
                      <w:b/>
                      <w:bCs/>
                      <w:szCs w:val="21"/>
                    </w:rPr>
                  </w:pPr>
                  <w:r>
                    <w:rPr>
                      <w:b/>
                      <w:bCs/>
                      <w:szCs w:val="21"/>
                    </w:rPr>
                    <w:t>t/a</w:t>
                  </w:r>
                </w:p>
              </w:tc>
              <w:tc>
                <w:tcPr>
                  <w:tcW w:w="862" w:type="dxa"/>
                  <w:vMerge w:val="continue"/>
                </w:tcPr>
                <w:p>
                  <w:pPr>
                    <w:rPr>
                      <w:szCs w:val="21"/>
                    </w:rPr>
                  </w:pPr>
                </w:p>
              </w:tc>
              <w:tc>
                <w:tcPr>
                  <w:tcW w:w="898" w:type="dxa"/>
                  <w:vMerge w:val="continue"/>
                </w:tcPr>
                <w:p>
                  <w:pPr>
                    <w:rPr>
                      <w:szCs w:val="21"/>
                    </w:rPr>
                  </w:pPr>
                </w:p>
              </w:tc>
              <w:tc>
                <w:tcPr>
                  <w:tcW w:w="945" w:type="dxa"/>
                  <w:vAlign w:val="center"/>
                </w:tcPr>
                <w:p>
                  <w:pPr>
                    <w:jc w:val="center"/>
                    <w:rPr>
                      <w:b/>
                      <w:bCs/>
                      <w:szCs w:val="21"/>
                    </w:rPr>
                  </w:pPr>
                  <w:r>
                    <w:rPr>
                      <w:b/>
                      <w:bCs/>
                      <w:szCs w:val="21"/>
                    </w:rPr>
                    <w:t>出水浓度mg/L</w:t>
                  </w:r>
                </w:p>
              </w:tc>
              <w:tc>
                <w:tcPr>
                  <w:tcW w:w="986" w:type="dxa"/>
                  <w:vAlign w:val="center"/>
                </w:tcPr>
                <w:p>
                  <w:pPr>
                    <w:jc w:val="center"/>
                    <w:rPr>
                      <w:b/>
                      <w:bCs/>
                      <w:szCs w:val="21"/>
                    </w:rPr>
                  </w:pPr>
                  <w:r>
                    <w:rPr>
                      <w:b/>
                      <w:bCs/>
                      <w:szCs w:val="21"/>
                    </w:rPr>
                    <w:t>出水量t/a</w:t>
                  </w:r>
                </w:p>
              </w:tc>
              <w:tc>
                <w:tcPr>
                  <w:tcW w:w="835" w:type="dxa"/>
                  <w:vMerge w:val="continue"/>
                  <w:vAlign w:val="center"/>
                </w:tcPr>
                <w:p>
                  <w:pPr>
                    <w:rPr>
                      <w:szCs w:val="21"/>
                    </w:rPr>
                  </w:pPr>
                </w:p>
              </w:tc>
            </w:tr>
            <w:tr>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108" w:type="dxa"/>
                  <w:bottom w:w="0" w:type="dxa"/>
                  <w:right w:w="108" w:type="dxa"/>
                </w:tblCellMar>
              </w:tblPrEx>
              <w:trPr>
                <w:cantSplit/>
                <w:trHeight w:val="342" w:hRule="atLeast"/>
                <w:jc w:val="center"/>
              </w:trPr>
              <w:tc>
                <w:tcPr>
                  <w:tcW w:w="974" w:type="dxa"/>
                  <w:vMerge w:val="restart"/>
                  <w:vAlign w:val="center"/>
                </w:tcPr>
                <w:p>
                  <w:pPr>
                    <w:jc w:val="center"/>
                    <w:rPr>
                      <w:rFonts w:hint="default" w:eastAsia="宋体"/>
                      <w:szCs w:val="21"/>
                      <w:lang w:val="en-US" w:eastAsia="zh-CN"/>
                    </w:rPr>
                  </w:pPr>
                  <w:r>
                    <w:rPr>
                      <w:szCs w:val="21"/>
                    </w:rPr>
                    <w:t>生活污水</w:t>
                  </w:r>
                  <w:r>
                    <w:rPr>
                      <w:rFonts w:hint="eastAsia"/>
                      <w:szCs w:val="21"/>
                    </w:rPr>
                    <w:t>3</w:t>
                  </w:r>
                  <w:r>
                    <w:rPr>
                      <w:rFonts w:hint="eastAsia"/>
                      <w:szCs w:val="21"/>
                      <w:lang w:val="en-US" w:eastAsia="zh-CN"/>
                    </w:rPr>
                    <w:t>60</w:t>
                  </w:r>
                </w:p>
                <w:p>
                  <w:pPr>
                    <w:jc w:val="center"/>
                    <w:rPr>
                      <w:szCs w:val="21"/>
                    </w:rPr>
                  </w:pPr>
                  <w:r>
                    <w:rPr>
                      <w:bCs/>
                      <w:szCs w:val="21"/>
                    </w:rPr>
                    <w:t>m</w:t>
                  </w:r>
                  <w:r>
                    <w:rPr>
                      <w:bCs/>
                      <w:szCs w:val="21"/>
                      <w:vertAlign w:val="superscript"/>
                    </w:rPr>
                    <w:t>3</w:t>
                  </w:r>
                  <w:r>
                    <w:rPr>
                      <w:bCs/>
                      <w:szCs w:val="21"/>
                    </w:rPr>
                    <w:t>/a</w:t>
                  </w:r>
                </w:p>
              </w:tc>
              <w:tc>
                <w:tcPr>
                  <w:tcW w:w="928" w:type="dxa"/>
                  <w:vAlign w:val="center"/>
                </w:tcPr>
                <w:p>
                  <w:pPr>
                    <w:jc w:val="center"/>
                    <w:rPr>
                      <w:szCs w:val="21"/>
                    </w:rPr>
                  </w:pPr>
                  <w:r>
                    <w:rPr>
                      <w:szCs w:val="21"/>
                    </w:rPr>
                    <w:t>COD</w:t>
                  </w:r>
                </w:p>
              </w:tc>
              <w:tc>
                <w:tcPr>
                  <w:tcW w:w="1003" w:type="dxa"/>
                  <w:vAlign w:val="center"/>
                </w:tcPr>
                <w:p>
                  <w:pPr>
                    <w:widowControl/>
                    <w:jc w:val="center"/>
                    <w:rPr>
                      <w:kern w:val="0"/>
                      <w:szCs w:val="21"/>
                    </w:rPr>
                  </w:pPr>
                  <w:r>
                    <w:rPr>
                      <w:szCs w:val="21"/>
                    </w:rPr>
                    <w:t>400</w:t>
                  </w:r>
                </w:p>
              </w:tc>
              <w:tc>
                <w:tcPr>
                  <w:tcW w:w="881" w:type="dxa"/>
                  <w:vAlign w:val="center"/>
                </w:tcPr>
                <w:p>
                  <w:pPr>
                    <w:jc w:val="center"/>
                    <w:rPr>
                      <w:rFonts w:hint="eastAsia"/>
                      <w:szCs w:val="21"/>
                      <w:lang w:val="en-US" w:eastAsia="zh-CN"/>
                    </w:rPr>
                  </w:pPr>
                  <w:r>
                    <w:rPr>
                      <w:rFonts w:hint="eastAsia"/>
                      <w:szCs w:val="21"/>
                      <w:lang w:val="en-US" w:eastAsia="zh-CN"/>
                    </w:rPr>
                    <w:t>0.144</w:t>
                  </w:r>
                </w:p>
              </w:tc>
              <w:tc>
                <w:tcPr>
                  <w:tcW w:w="862" w:type="dxa"/>
                  <w:vMerge w:val="restart"/>
                  <w:vAlign w:val="center"/>
                </w:tcPr>
                <w:p>
                  <w:pPr>
                    <w:jc w:val="center"/>
                    <w:rPr>
                      <w:szCs w:val="21"/>
                    </w:rPr>
                  </w:pPr>
                  <w:r>
                    <w:rPr>
                      <w:rFonts w:hint="eastAsia"/>
                      <w:szCs w:val="21"/>
                    </w:rPr>
                    <w:t>化粪池</w:t>
                  </w:r>
                </w:p>
              </w:tc>
              <w:tc>
                <w:tcPr>
                  <w:tcW w:w="898" w:type="dxa"/>
                  <w:vAlign w:val="center"/>
                </w:tcPr>
                <w:p>
                  <w:pPr>
                    <w:jc w:val="center"/>
                    <w:rPr>
                      <w:szCs w:val="21"/>
                    </w:rPr>
                  </w:pPr>
                  <w:r>
                    <w:rPr>
                      <w:rFonts w:hint="eastAsia"/>
                      <w:szCs w:val="21"/>
                    </w:rPr>
                    <w:t>15</w:t>
                  </w:r>
                </w:p>
              </w:tc>
              <w:tc>
                <w:tcPr>
                  <w:tcW w:w="945" w:type="dxa"/>
                  <w:vAlign w:val="center"/>
                </w:tcPr>
                <w:p>
                  <w:pPr>
                    <w:jc w:val="center"/>
                    <w:rPr>
                      <w:szCs w:val="21"/>
                    </w:rPr>
                  </w:pPr>
                  <w:r>
                    <w:rPr>
                      <w:rFonts w:hint="eastAsia"/>
                      <w:szCs w:val="21"/>
                    </w:rPr>
                    <w:t>340</w:t>
                  </w:r>
                </w:p>
              </w:tc>
              <w:tc>
                <w:tcPr>
                  <w:tcW w:w="986" w:type="dxa"/>
                  <w:vAlign w:val="center"/>
                </w:tcPr>
                <w:p>
                  <w:pPr>
                    <w:jc w:val="center"/>
                    <w:rPr>
                      <w:szCs w:val="21"/>
                    </w:rPr>
                  </w:pPr>
                  <w:r>
                    <w:rPr>
                      <w:rFonts w:hint="eastAsia"/>
                      <w:szCs w:val="21"/>
                      <w:lang w:val="en-US" w:eastAsia="zh-CN"/>
                    </w:rPr>
                    <w:t>0.122</w:t>
                  </w:r>
                </w:p>
              </w:tc>
              <w:tc>
                <w:tcPr>
                  <w:tcW w:w="835" w:type="dxa"/>
                  <w:vAlign w:val="center"/>
                </w:tcPr>
                <w:p>
                  <w:pPr>
                    <w:jc w:val="center"/>
                    <w:rPr>
                      <w:szCs w:val="21"/>
                    </w:rPr>
                  </w:pPr>
                  <w:r>
                    <w:rPr>
                      <w:szCs w:val="21"/>
                    </w:rPr>
                    <w:t>500</w:t>
                  </w:r>
                </w:p>
              </w:tc>
            </w:tr>
            <w:tr>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108" w:type="dxa"/>
                  <w:bottom w:w="0" w:type="dxa"/>
                  <w:right w:w="108" w:type="dxa"/>
                </w:tblCellMar>
              </w:tblPrEx>
              <w:trPr>
                <w:cantSplit/>
                <w:trHeight w:val="312" w:hRule="atLeast"/>
                <w:jc w:val="center"/>
              </w:trPr>
              <w:tc>
                <w:tcPr>
                  <w:tcW w:w="974" w:type="dxa"/>
                  <w:vMerge w:val="continue"/>
                  <w:vAlign w:val="center"/>
                </w:tcPr>
                <w:p>
                  <w:pPr>
                    <w:rPr>
                      <w:szCs w:val="21"/>
                    </w:rPr>
                  </w:pPr>
                </w:p>
              </w:tc>
              <w:tc>
                <w:tcPr>
                  <w:tcW w:w="928" w:type="dxa"/>
                  <w:vAlign w:val="center"/>
                </w:tcPr>
                <w:p>
                  <w:pPr>
                    <w:jc w:val="center"/>
                    <w:rPr>
                      <w:szCs w:val="21"/>
                    </w:rPr>
                  </w:pPr>
                  <w:r>
                    <w:rPr>
                      <w:szCs w:val="21"/>
                    </w:rPr>
                    <w:t>SS</w:t>
                  </w:r>
                </w:p>
              </w:tc>
              <w:tc>
                <w:tcPr>
                  <w:tcW w:w="1003" w:type="dxa"/>
                  <w:vAlign w:val="center"/>
                </w:tcPr>
                <w:p>
                  <w:pPr>
                    <w:jc w:val="center"/>
                    <w:rPr>
                      <w:szCs w:val="21"/>
                    </w:rPr>
                  </w:pPr>
                  <w:r>
                    <w:rPr>
                      <w:szCs w:val="21"/>
                    </w:rPr>
                    <w:t>200</w:t>
                  </w:r>
                </w:p>
              </w:tc>
              <w:tc>
                <w:tcPr>
                  <w:tcW w:w="881" w:type="dxa"/>
                  <w:vAlign w:val="center"/>
                </w:tcPr>
                <w:p>
                  <w:pPr>
                    <w:jc w:val="center"/>
                    <w:rPr>
                      <w:rFonts w:hint="eastAsia"/>
                      <w:szCs w:val="21"/>
                      <w:lang w:val="en-US" w:eastAsia="zh-CN"/>
                    </w:rPr>
                  </w:pPr>
                  <w:r>
                    <w:rPr>
                      <w:rFonts w:hint="eastAsia"/>
                      <w:szCs w:val="21"/>
                      <w:lang w:val="en-US" w:eastAsia="zh-CN"/>
                    </w:rPr>
                    <w:t>0.072</w:t>
                  </w:r>
                </w:p>
              </w:tc>
              <w:tc>
                <w:tcPr>
                  <w:tcW w:w="862" w:type="dxa"/>
                  <w:vMerge w:val="continue"/>
                  <w:vAlign w:val="center"/>
                </w:tcPr>
                <w:p>
                  <w:pPr>
                    <w:jc w:val="center"/>
                    <w:rPr>
                      <w:szCs w:val="21"/>
                    </w:rPr>
                  </w:pPr>
                </w:p>
              </w:tc>
              <w:tc>
                <w:tcPr>
                  <w:tcW w:w="898" w:type="dxa"/>
                  <w:vAlign w:val="center"/>
                </w:tcPr>
                <w:p>
                  <w:pPr>
                    <w:jc w:val="center"/>
                    <w:rPr>
                      <w:szCs w:val="21"/>
                    </w:rPr>
                  </w:pPr>
                  <w:r>
                    <w:rPr>
                      <w:rFonts w:hint="eastAsia"/>
                      <w:szCs w:val="21"/>
                    </w:rPr>
                    <w:t>20</w:t>
                  </w:r>
                </w:p>
              </w:tc>
              <w:tc>
                <w:tcPr>
                  <w:tcW w:w="945" w:type="dxa"/>
                  <w:vAlign w:val="center"/>
                </w:tcPr>
                <w:p>
                  <w:pPr>
                    <w:jc w:val="center"/>
                    <w:rPr>
                      <w:szCs w:val="21"/>
                    </w:rPr>
                  </w:pPr>
                  <w:r>
                    <w:rPr>
                      <w:rFonts w:hint="eastAsia"/>
                      <w:szCs w:val="21"/>
                    </w:rPr>
                    <w:t>160</w:t>
                  </w:r>
                </w:p>
              </w:tc>
              <w:tc>
                <w:tcPr>
                  <w:tcW w:w="986" w:type="dxa"/>
                  <w:vAlign w:val="center"/>
                </w:tcPr>
                <w:p>
                  <w:pPr>
                    <w:jc w:val="center"/>
                    <w:rPr>
                      <w:szCs w:val="21"/>
                    </w:rPr>
                  </w:pPr>
                  <w:r>
                    <w:rPr>
                      <w:rFonts w:hint="eastAsia"/>
                      <w:szCs w:val="21"/>
                      <w:lang w:val="en-US" w:eastAsia="zh-CN"/>
                    </w:rPr>
                    <w:t>0.058</w:t>
                  </w:r>
                </w:p>
              </w:tc>
              <w:tc>
                <w:tcPr>
                  <w:tcW w:w="835" w:type="dxa"/>
                  <w:vAlign w:val="center"/>
                </w:tcPr>
                <w:p>
                  <w:pPr>
                    <w:jc w:val="center"/>
                    <w:rPr>
                      <w:szCs w:val="21"/>
                    </w:rPr>
                  </w:pPr>
                  <w:r>
                    <w:rPr>
                      <w:szCs w:val="21"/>
                    </w:rPr>
                    <w:t>250</w:t>
                  </w:r>
                </w:p>
              </w:tc>
            </w:tr>
            <w:tr>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108" w:type="dxa"/>
                  <w:bottom w:w="0" w:type="dxa"/>
                  <w:right w:w="108" w:type="dxa"/>
                </w:tblCellMar>
              </w:tblPrEx>
              <w:trPr>
                <w:cantSplit/>
                <w:trHeight w:val="357" w:hRule="atLeast"/>
                <w:jc w:val="center"/>
              </w:trPr>
              <w:tc>
                <w:tcPr>
                  <w:tcW w:w="974" w:type="dxa"/>
                  <w:vMerge w:val="continue"/>
                  <w:vAlign w:val="center"/>
                </w:tcPr>
                <w:p>
                  <w:pPr>
                    <w:rPr>
                      <w:szCs w:val="21"/>
                    </w:rPr>
                  </w:pPr>
                </w:p>
              </w:tc>
              <w:tc>
                <w:tcPr>
                  <w:tcW w:w="928" w:type="dxa"/>
                  <w:vAlign w:val="center"/>
                </w:tcPr>
                <w:p>
                  <w:pPr>
                    <w:jc w:val="center"/>
                    <w:rPr>
                      <w:szCs w:val="21"/>
                    </w:rPr>
                  </w:pPr>
                  <w:r>
                    <w:rPr>
                      <w:bCs/>
                      <w:szCs w:val="21"/>
                    </w:rPr>
                    <w:t>NH</w:t>
                  </w:r>
                  <w:r>
                    <w:rPr>
                      <w:bCs/>
                      <w:szCs w:val="21"/>
                      <w:vertAlign w:val="subscript"/>
                    </w:rPr>
                    <w:t>3</w:t>
                  </w:r>
                  <w:r>
                    <w:rPr>
                      <w:bCs/>
                      <w:szCs w:val="21"/>
                    </w:rPr>
                    <w:t>-N</w:t>
                  </w:r>
                </w:p>
              </w:tc>
              <w:tc>
                <w:tcPr>
                  <w:tcW w:w="1003" w:type="dxa"/>
                  <w:vAlign w:val="center"/>
                </w:tcPr>
                <w:p>
                  <w:pPr>
                    <w:jc w:val="center"/>
                    <w:rPr>
                      <w:szCs w:val="21"/>
                    </w:rPr>
                  </w:pPr>
                  <w:r>
                    <w:rPr>
                      <w:rFonts w:hint="eastAsia"/>
                      <w:szCs w:val="21"/>
                    </w:rPr>
                    <w:t>3</w:t>
                  </w:r>
                  <w:r>
                    <w:rPr>
                      <w:szCs w:val="21"/>
                    </w:rPr>
                    <w:t>5</w:t>
                  </w:r>
                </w:p>
              </w:tc>
              <w:tc>
                <w:tcPr>
                  <w:tcW w:w="881" w:type="dxa"/>
                  <w:vAlign w:val="center"/>
                </w:tcPr>
                <w:p>
                  <w:pPr>
                    <w:jc w:val="center"/>
                    <w:rPr>
                      <w:rFonts w:hint="eastAsia"/>
                      <w:szCs w:val="21"/>
                      <w:lang w:val="en-US" w:eastAsia="zh-CN"/>
                    </w:rPr>
                  </w:pPr>
                  <w:r>
                    <w:rPr>
                      <w:rFonts w:hint="eastAsia"/>
                      <w:szCs w:val="21"/>
                      <w:lang w:val="en-US" w:eastAsia="zh-CN"/>
                    </w:rPr>
                    <w:t>0.0126</w:t>
                  </w:r>
                </w:p>
              </w:tc>
              <w:tc>
                <w:tcPr>
                  <w:tcW w:w="862" w:type="dxa"/>
                  <w:vMerge w:val="continue"/>
                  <w:vAlign w:val="center"/>
                </w:tcPr>
                <w:p>
                  <w:pPr>
                    <w:jc w:val="center"/>
                    <w:rPr>
                      <w:szCs w:val="21"/>
                    </w:rPr>
                  </w:pPr>
                </w:p>
              </w:tc>
              <w:tc>
                <w:tcPr>
                  <w:tcW w:w="898" w:type="dxa"/>
                  <w:vAlign w:val="center"/>
                </w:tcPr>
                <w:p>
                  <w:pPr>
                    <w:jc w:val="center"/>
                    <w:rPr>
                      <w:szCs w:val="21"/>
                    </w:rPr>
                  </w:pPr>
                  <w:r>
                    <w:rPr>
                      <w:rFonts w:hint="eastAsia"/>
                      <w:szCs w:val="21"/>
                    </w:rPr>
                    <w:t>0</w:t>
                  </w:r>
                </w:p>
              </w:tc>
              <w:tc>
                <w:tcPr>
                  <w:tcW w:w="945" w:type="dxa"/>
                  <w:vAlign w:val="center"/>
                </w:tcPr>
                <w:p>
                  <w:pPr>
                    <w:jc w:val="center"/>
                    <w:rPr>
                      <w:szCs w:val="21"/>
                    </w:rPr>
                  </w:pPr>
                  <w:r>
                    <w:rPr>
                      <w:rFonts w:hint="eastAsia"/>
                      <w:szCs w:val="21"/>
                    </w:rPr>
                    <w:t>35</w:t>
                  </w:r>
                </w:p>
              </w:tc>
              <w:tc>
                <w:tcPr>
                  <w:tcW w:w="986" w:type="dxa"/>
                  <w:vAlign w:val="center"/>
                </w:tcPr>
                <w:p>
                  <w:pPr>
                    <w:jc w:val="center"/>
                    <w:rPr>
                      <w:szCs w:val="21"/>
                    </w:rPr>
                  </w:pPr>
                  <w:r>
                    <w:rPr>
                      <w:rFonts w:hint="eastAsia"/>
                      <w:szCs w:val="21"/>
                      <w:lang w:val="en-US" w:eastAsia="zh-CN"/>
                    </w:rPr>
                    <w:t>0.0126</w:t>
                  </w:r>
                </w:p>
              </w:tc>
              <w:tc>
                <w:tcPr>
                  <w:tcW w:w="835" w:type="dxa"/>
                  <w:vAlign w:val="center"/>
                </w:tcPr>
                <w:p>
                  <w:pPr>
                    <w:jc w:val="center"/>
                    <w:rPr>
                      <w:szCs w:val="21"/>
                    </w:rPr>
                  </w:pPr>
                  <w:r>
                    <w:rPr>
                      <w:szCs w:val="21"/>
                    </w:rPr>
                    <w:t>35</w:t>
                  </w:r>
                </w:p>
              </w:tc>
            </w:tr>
            <w:tr>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974" w:type="dxa"/>
                  <w:vMerge w:val="continue"/>
                  <w:vAlign w:val="center"/>
                </w:tcPr>
                <w:p>
                  <w:pPr>
                    <w:rPr>
                      <w:szCs w:val="21"/>
                    </w:rPr>
                  </w:pPr>
                </w:p>
              </w:tc>
              <w:tc>
                <w:tcPr>
                  <w:tcW w:w="928" w:type="dxa"/>
                  <w:vAlign w:val="center"/>
                </w:tcPr>
                <w:p>
                  <w:pPr>
                    <w:jc w:val="center"/>
                    <w:rPr>
                      <w:szCs w:val="21"/>
                    </w:rPr>
                  </w:pPr>
                  <w:r>
                    <w:rPr>
                      <w:szCs w:val="21"/>
                    </w:rPr>
                    <w:t>TP</w:t>
                  </w:r>
                </w:p>
              </w:tc>
              <w:tc>
                <w:tcPr>
                  <w:tcW w:w="1003" w:type="dxa"/>
                  <w:vAlign w:val="center"/>
                </w:tcPr>
                <w:p>
                  <w:pPr>
                    <w:jc w:val="center"/>
                    <w:rPr>
                      <w:szCs w:val="21"/>
                    </w:rPr>
                  </w:pPr>
                  <w:r>
                    <w:rPr>
                      <w:szCs w:val="21"/>
                    </w:rPr>
                    <w:t>3</w:t>
                  </w:r>
                </w:p>
              </w:tc>
              <w:tc>
                <w:tcPr>
                  <w:tcW w:w="881" w:type="dxa"/>
                  <w:vAlign w:val="center"/>
                </w:tcPr>
                <w:p>
                  <w:pPr>
                    <w:jc w:val="center"/>
                    <w:rPr>
                      <w:rFonts w:hint="eastAsia"/>
                      <w:szCs w:val="21"/>
                      <w:lang w:val="en-US" w:eastAsia="zh-CN"/>
                    </w:rPr>
                  </w:pPr>
                  <w:r>
                    <w:rPr>
                      <w:rFonts w:hint="eastAsia"/>
                      <w:szCs w:val="21"/>
                      <w:lang w:val="en-US" w:eastAsia="zh-CN"/>
                    </w:rPr>
                    <w:t>0.0011</w:t>
                  </w:r>
                </w:p>
              </w:tc>
              <w:tc>
                <w:tcPr>
                  <w:tcW w:w="862" w:type="dxa"/>
                  <w:vMerge w:val="continue"/>
                  <w:vAlign w:val="center"/>
                </w:tcPr>
                <w:p>
                  <w:pPr>
                    <w:jc w:val="center"/>
                    <w:rPr>
                      <w:szCs w:val="21"/>
                    </w:rPr>
                  </w:pPr>
                </w:p>
              </w:tc>
              <w:tc>
                <w:tcPr>
                  <w:tcW w:w="898" w:type="dxa"/>
                  <w:vAlign w:val="center"/>
                </w:tcPr>
                <w:p>
                  <w:pPr>
                    <w:jc w:val="center"/>
                    <w:rPr>
                      <w:szCs w:val="21"/>
                    </w:rPr>
                  </w:pPr>
                  <w:r>
                    <w:rPr>
                      <w:rFonts w:hint="eastAsia"/>
                      <w:szCs w:val="21"/>
                    </w:rPr>
                    <w:t>0</w:t>
                  </w:r>
                </w:p>
              </w:tc>
              <w:tc>
                <w:tcPr>
                  <w:tcW w:w="945" w:type="dxa"/>
                  <w:vAlign w:val="center"/>
                </w:tcPr>
                <w:p>
                  <w:pPr>
                    <w:jc w:val="center"/>
                    <w:rPr>
                      <w:szCs w:val="21"/>
                    </w:rPr>
                  </w:pPr>
                  <w:r>
                    <w:rPr>
                      <w:rFonts w:hint="eastAsia"/>
                      <w:szCs w:val="21"/>
                    </w:rPr>
                    <w:t>3</w:t>
                  </w:r>
                </w:p>
              </w:tc>
              <w:tc>
                <w:tcPr>
                  <w:tcW w:w="986" w:type="dxa"/>
                  <w:vAlign w:val="center"/>
                </w:tcPr>
                <w:p>
                  <w:pPr>
                    <w:jc w:val="center"/>
                    <w:rPr>
                      <w:szCs w:val="21"/>
                    </w:rPr>
                  </w:pPr>
                  <w:r>
                    <w:rPr>
                      <w:rFonts w:hint="eastAsia"/>
                      <w:szCs w:val="21"/>
                      <w:lang w:val="en-US" w:eastAsia="zh-CN"/>
                    </w:rPr>
                    <w:t>0.0011</w:t>
                  </w:r>
                </w:p>
              </w:tc>
              <w:tc>
                <w:tcPr>
                  <w:tcW w:w="835" w:type="dxa"/>
                  <w:vAlign w:val="center"/>
                </w:tcPr>
                <w:p>
                  <w:pPr>
                    <w:jc w:val="center"/>
                    <w:rPr>
                      <w:szCs w:val="21"/>
                    </w:rPr>
                  </w:pPr>
                  <w:r>
                    <w:rPr>
                      <w:szCs w:val="21"/>
                    </w:rPr>
                    <w:t>3</w:t>
                  </w:r>
                </w:p>
              </w:tc>
            </w:tr>
            <w:tr>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974" w:type="dxa"/>
                  <w:vMerge w:val="continue"/>
                  <w:vAlign w:val="center"/>
                </w:tcPr>
                <w:p>
                  <w:pPr>
                    <w:rPr>
                      <w:szCs w:val="21"/>
                    </w:rPr>
                  </w:pPr>
                </w:p>
              </w:tc>
              <w:tc>
                <w:tcPr>
                  <w:tcW w:w="928" w:type="dxa"/>
                  <w:vAlign w:val="center"/>
                </w:tcPr>
                <w:p>
                  <w:pPr>
                    <w:jc w:val="center"/>
                    <w:rPr>
                      <w:szCs w:val="21"/>
                    </w:rPr>
                  </w:pPr>
                  <w:r>
                    <w:rPr>
                      <w:szCs w:val="21"/>
                    </w:rPr>
                    <w:t>TN</w:t>
                  </w:r>
                </w:p>
              </w:tc>
              <w:tc>
                <w:tcPr>
                  <w:tcW w:w="1003" w:type="dxa"/>
                  <w:vAlign w:val="center"/>
                </w:tcPr>
                <w:p>
                  <w:pPr>
                    <w:jc w:val="center"/>
                    <w:rPr>
                      <w:szCs w:val="21"/>
                    </w:rPr>
                  </w:pPr>
                  <w:r>
                    <w:rPr>
                      <w:rFonts w:hint="eastAsia"/>
                      <w:szCs w:val="21"/>
                    </w:rPr>
                    <w:t>50</w:t>
                  </w:r>
                </w:p>
              </w:tc>
              <w:tc>
                <w:tcPr>
                  <w:tcW w:w="881" w:type="dxa"/>
                  <w:vAlign w:val="center"/>
                </w:tcPr>
                <w:p>
                  <w:pPr>
                    <w:jc w:val="center"/>
                    <w:rPr>
                      <w:rFonts w:hint="eastAsia"/>
                      <w:szCs w:val="21"/>
                      <w:lang w:val="en-US" w:eastAsia="zh-CN"/>
                    </w:rPr>
                  </w:pPr>
                  <w:r>
                    <w:rPr>
                      <w:rFonts w:hint="eastAsia"/>
                      <w:szCs w:val="21"/>
                      <w:lang w:val="en-US" w:eastAsia="zh-CN"/>
                    </w:rPr>
                    <w:t>0.018</w:t>
                  </w:r>
                </w:p>
              </w:tc>
              <w:tc>
                <w:tcPr>
                  <w:tcW w:w="862" w:type="dxa"/>
                  <w:vMerge w:val="continue"/>
                  <w:vAlign w:val="center"/>
                </w:tcPr>
                <w:p>
                  <w:pPr>
                    <w:jc w:val="center"/>
                    <w:rPr>
                      <w:szCs w:val="21"/>
                    </w:rPr>
                  </w:pPr>
                </w:p>
              </w:tc>
              <w:tc>
                <w:tcPr>
                  <w:tcW w:w="898" w:type="dxa"/>
                  <w:vAlign w:val="center"/>
                </w:tcPr>
                <w:p>
                  <w:pPr>
                    <w:jc w:val="center"/>
                    <w:rPr>
                      <w:szCs w:val="21"/>
                    </w:rPr>
                  </w:pPr>
                  <w:r>
                    <w:rPr>
                      <w:rFonts w:hint="eastAsia"/>
                      <w:szCs w:val="21"/>
                    </w:rPr>
                    <w:t>0</w:t>
                  </w:r>
                </w:p>
              </w:tc>
              <w:tc>
                <w:tcPr>
                  <w:tcW w:w="945" w:type="dxa"/>
                  <w:vAlign w:val="center"/>
                </w:tcPr>
                <w:p>
                  <w:pPr>
                    <w:jc w:val="center"/>
                    <w:rPr>
                      <w:szCs w:val="21"/>
                    </w:rPr>
                  </w:pPr>
                  <w:r>
                    <w:rPr>
                      <w:rFonts w:hint="eastAsia"/>
                      <w:szCs w:val="21"/>
                    </w:rPr>
                    <w:t>50</w:t>
                  </w:r>
                </w:p>
              </w:tc>
              <w:tc>
                <w:tcPr>
                  <w:tcW w:w="986" w:type="dxa"/>
                  <w:vAlign w:val="center"/>
                </w:tcPr>
                <w:p>
                  <w:pPr>
                    <w:jc w:val="center"/>
                    <w:rPr>
                      <w:szCs w:val="21"/>
                    </w:rPr>
                  </w:pPr>
                  <w:r>
                    <w:rPr>
                      <w:rFonts w:hint="eastAsia"/>
                      <w:szCs w:val="21"/>
                      <w:lang w:val="en-US" w:eastAsia="zh-CN"/>
                    </w:rPr>
                    <w:t>0.018</w:t>
                  </w:r>
                </w:p>
              </w:tc>
              <w:tc>
                <w:tcPr>
                  <w:tcW w:w="835" w:type="dxa"/>
                  <w:vAlign w:val="center"/>
                </w:tcPr>
                <w:p>
                  <w:pPr>
                    <w:jc w:val="center"/>
                    <w:rPr>
                      <w:szCs w:val="21"/>
                    </w:rPr>
                  </w:pPr>
                  <w:r>
                    <w:rPr>
                      <w:rFonts w:hint="eastAsia"/>
                      <w:szCs w:val="21"/>
                    </w:rPr>
                    <w:t>50</w:t>
                  </w:r>
                </w:p>
              </w:tc>
            </w:tr>
          </w:tbl>
          <w:p>
            <w:pPr>
              <w:jc w:val="center"/>
              <w:rPr>
                <w:b/>
                <w:kern w:val="21"/>
                <w:szCs w:val="21"/>
              </w:rPr>
            </w:pPr>
            <w:r>
              <w:rPr>
                <w:rFonts w:hint="eastAsia"/>
                <w:b/>
                <w:kern w:val="21"/>
                <w:szCs w:val="21"/>
                <w:lang w:val="zh-CN"/>
              </w:rPr>
              <w:t>表</w:t>
            </w:r>
            <w:r>
              <w:rPr>
                <w:rFonts w:hint="eastAsia"/>
                <w:b/>
                <w:kern w:val="21"/>
                <w:szCs w:val="21"/>
              </w:rPr>
              <w:t xml:space="preserve">5-5 </w:t>
            </w:r>
            <w:r>
              <w:rPr>
                <w:rFonts w:hint="eastAsia"/>
                <w:b/>
                <w:kern w:val="21"/>
                <w:szCs w:val="21"/>
                <w:lang w:val="zh-CN"/>
              </w:rPr>
              <w:t>本项目废水类别、污染物及污染治理设施信息表</w:t>
            </w:r>
          </w:p>
          <w:tbl>
            <w:tblPr>
              <w:tblStyle w:val="57"/>
              <w:tblW w:w="8312" w:type="dxa"/>
              <w:tblInd w:w="0" w:type="dxa"/>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503"/>
              <w:gridCol w:w="568"/>
              <w:gridCol w:w="904"/>
              <w:gridCol w:w="762"/>
              <w:gridCol w:w="856"/>
              <w:gridCol w:w="993"/>
              <w:gridCol w:w="758"/>
              <w:gridCol w:w="597"/>
              <w:gridCol w:w="850"/>
              <w:gridCol w:w="910"/>
              <w:gridCol w:w="611"/>
            </w:tblGrid>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PrEx>
              <w:tc>
                <w:tcPr>
                  <w:tcW w:w="503" w:type="dxa"/>
                  <w:vMerge w:val="restart"/>
                  <w:tcBorders>
                    <w:tl2br w:val="nil"/>
                    <w:tr2bl w:val="nil"/>
                  </w:tcBorders>
                  <w:vAlign w:val="center"/>
                </w:tcPr>
                <w:p>
                  <w:pPr>
                    <w:jc w:val="center"/>
                    <w:rPr>
                      <w:b/>
                      <w:bCs/>
                      <w:sz w:val="18"/>
                      <w:szCs w:val="18"/>
                    </w:rPr>
                  </w:pPr>
                  <w:r>
                    <w:rPr>
                      <w:rFonts w:hint="eastAsia"/>
                      <w:b/>
                      <w:bCs/>
                      <w:sz w:val="18"/>
                      <w:szCs w:val="18"/>
                    </w:rPr>
                    <w:t>序号</w:t>
                  </w:r>
                </w:p>
              </w:tc>
              <w:tc>
                <w:tcPr>
                  <w:tcW w:w="568" w:type="dxa"/>
                  <w:vMerge w:val="restart"/>
                  <w:tcBorders>
                    <w:tl2br w:val="nil"/>
                    <w:tr2bl w:val="nil"/>
                  </w:tcBorders>
                  <w:vAlign w:val="center"/>
                </w:tcPr>
                <w:p>
                  <w:pPr>
                    <w:jc w:val="center"/>
                    <w:rPr>
                      <w:b/>
                      <w:bCs/>
                      <w:sz w:val="18"/>
                      <w:szCs w:val="18"/>
                    </w:rPr>
                  </w:pPr>
                  <w:r>
                    <w:rPr>
                      <w:rFonts w:hint="eastAsia"/>
                      <w:b/>
                      <w:bCs/>
                      <w:sz w:val="18"/>
                      <w:szCs w:val="18"/>
                    </w:rPr>
                    <w:t>废水类别</w:t>
                  </w:r>
                </w:p>
              </w:tc>
              <w:tc>
                <w:tcPr>
                  <w:tcW w:w="904" w:type="dxa"/>
                  <w:vMerge w:val="restart"/>
                  <w:tcBorders>
                    <w:tl2br w:val="nil"/>
                    <w:tr2bl w:val="nil"/>
                  </w:tcBorders>
                  <w:vAlign w:val="center"/>
                </w:tcPr>
                <w:p>
                  <w:pPr>
                    <w:jc w:val="center"/>
                    <w:rPr>
                      <w:b/>
                      <w:bCs/>
                      <w:sz w:val="18"/>
                      <w:szCs w:val="18"/>
                    </w:rPr>
                  </w:pPr>
                  <w:r>
                    <w:rPr>
                      <w:rFonts w:hint="eastAsia"/>
                      <w:b/>
                      <w:bCs/>
                      <w:sz w:val="18"/>
                      <w:szCs w:val="18"/>
                    </w:rPr>
                    <w:t>污染物种类</w:t>
                  </w:r>
                </w:p>
              </w:tc>
              <w:tc>
                <w:tcPr>
                  <w:tcW w:w="762" w:type="dxa"/>
                  <w:vMerge w:val="restart"/>
                  <w:tcBorders>
                    <w:tl2br w:val="nil"/>
                    <w:tr2bl w:val="nil"/>
                  </w:tcBorders>
                  <w:vAlign w:val="center"/>
                </w:tcPr>
                <w:p>
                  <w:pPr>
                    <w:jc w:val="center"/>
                    <w:rPr>
                      <w:b/>
                      <w:bCs/>
                      <w:sz w:val="18"/>
                      <w:szCs w:val="18"/>
                    </w:rPr>
                  </w:pPr>
                  <w:r>
                    <w:rPr>
                      <w:rFonts w:hint="eastAsia"/>
                      <w:b/>
                      <w:bCs/>
                      <w:sz w:val="18"/>
                      <w:szCs w:val="18"/>
                    </w:rPr>
                    <w:t>排放去向</w:t>
                  </w:r>
                </w:p>
              </w:tc>
              <w:tc>
                <w:tcPr>
                  <w:tcW w:w="856" w:type="dxa"/>
                  <w:vMerge w:val="restart"/>
                  <w:tcBorders>
                    <w:tl2br w:val="nil"/>
                    <w:tr2bl w:val="nil"/>
                  </w:tcBorders>
                  <w:vAlign w:val="center"/>
                </w:tcPr>
                <w:p>
                  <w:pPr>
                    <w:jc w:val="center"/>
                    <w:rPr>
                      <w:b/>
                      <w:bCs/>
                      <w:sz w:val="18"/>
                      <w:szCs w:val="18"/>
                    </w:rPr>
                  </w:pPr>
                  <w:r>
                    <w:rPr>
                      <w:rFonts w:hint="eastAsia"/>
                      <w:b/>
                      <w:bCs/>
                      <w:sz w:val="18"/>
                      <w:szCs w:val="18"/>
                    </w:rPr>
                    <w:t>排放规律</w:t>
                  </w:r>
                </w:p>
              </w:tc>
              <w:tc>
                <w:tcPr>
                  <w:tcW w:w="2348" w:type="dxa"/>
                  <w:gridSpan w:val="3"/>
                  <w:tcBorders>
                    <w:tl2br w:val="nil"/>
                    <w:tr2bl w:val="nil"/>
                  </w:tcBorders>
                  <w:vAlign w:val="center"/>
                </w:tcPr>
                <w:p>
                  <w:pPr>
                    <w:jc w:val="center"/>
                    <w:rPr>
                      <w:b/>
                      <w:bCs/>
                      <w:sz w:val="18"/>
                      <w:szCs w:val="18"/>
                    </w:rPr>
                  </w:pPr>
                  <w:r>
                    <w:rPr>
                      <w:rFonts w:hint="eastAsia"/>
                      <w:b/>
                      <w:bCs/>
                      <w:sz w:val="18"/>
                      <w:szCs w:val="18"/>
                    </w:rPr>
                    <w:t>污染治理设施</w:t>
                  </w:r>
                </w:p>
              </w:tc>
              <w:tc>
                <w:tcPr>
                  <w:tcW w:w="850" w:type="dxa"/>
                  <w:vMerge w:val="restart"/>
                  <w:tcBorders>
                    <w:tl2br w:val="nil"/>
                    <w:tr2bl w:val="nil"/>
                  </w:tcBorders>
                  <w:vAlign w:val="center"/>
                </w:tcPr>
                <w:p>
                  <w:pPr>
                    <w:jc w:val="center"/>
                    <w:rPr>
                      <w:b/>
                      <w:bCs/>
                      <w:sz w:val="18"/>
                      <w:szCs w:val="18"/>
                    </w:rPr>
                  </w:pPr>
                  <w:r>
                    <w:rPr>
                      <w:rFonts w:hint="eastAsia"/>
                      <w:b/>
                      <w:bCs/>
                      <w:sz w:val="18"/>
                      <w:szCs w:val="18"/>
                    </w:rPr>
                    <w:t>排放口编号</w:t>
                  </w:r>
                </w:p>
              </w:tc>
              <w:tc>
                <w:tcPr>
                  <w:tcW w:w="910" w:type="dxa"/>
                  <w:vMerge w:val="restart"/>
                  <w:tcBorders>
                    <w:tl2br w:val="nil"/>
                    <w:tr2bl w:val="nil"/>
                  </w:tcBorders>
                  <w:vAlign w:val="center"/>
                </w:tcPr>
                <w:p>
                  <w:pPr>
                    <w:jc w:val="center"/>
                    <w:rPr>
                      <w:b/>
                      <w:bCs/>
                      <w:sz w:val="18"/>
                      <w:szCs w:val="18"/>
                    </w:rPr>
                  </w:pPr>
                  <w:r>
                    <w:rPr>
                      <w:rFonts w:hint="eastAsia"/>
                      <w:b/>
                      <w:bCs/>
                      <w:sz w:val="18"/>
                      <w:szCs w:val="18"/>
                    </w:rPr>
                    <w:t>排放口设置是否符合要求</w:t>
                  </w:r>
                </w:p>
              </w:tc>
              <w:tc>
                <w:tcPr>
                  <w:tcW w:w="611" w:type="dxa"/>
                  <w:vMerge w:val="restart"/>
                  <w:tcBorders>
                    <w:tl2br w:val="nil"/>
                    <w:tr2bl w:val="nil"/>
                  </w:tcBorders>
                  <w:vAlign w:val="center"/>
                </w:tcPr>
                <w:p>
                  <w:pPr>
                    <w:jc w:val="center"/>
                    <w:rPr>
                      <w:b/>
                      <w:bCs/>
                      <w:sz w:val="18"/>
                      <w:szCs w:val="18"/>
                    </w:rPr>
                  </w:pPr>
                  <w:r>
                    <w:rPr>
                      <w:rFonts w:hint="eastAsia"/>
                      <w:b/>
                      <w:bCs/>
                      <w:sz w:val="18"/>
                      <w:szCs w:val="18"/>
                    </w:rPr>
                    <w:t>排放口类型</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503" w:type="dxa"/>
                  <w:vMerge w:val="continue"/>
                  <w:tcBorders>
                    <w:tl2br w:val="nil"/>
                    <w:tr2bl w:val="nil"/>
                  </w:tcBorders>
                  <w:vAlign w:val="center"/>
                </w:tcPr>
                <w:p>
                  <w:pPr>
                    <w:jc w:val="center"/>
                    <w:rPr>
                      <w:sz w:val="18"/>
                      <w:szCs w:val="18"/>
                    </w:rPr>
                  </w:pPr>
                </w:p>
              </w:tc>
              <w:tc>
                <w:tcPr>
                  <w:tcW w:w="568" w:type="dxa"/>
                  <w:vMerge w:val="continue"/>
                  <w:tcBorders>
                    <w:tl2br w:val="nil"/>
                    <w:tr2bl w:val="nil"/>
                  </w:tcBorders>
                  <w:vAlign w:val="center"/>
                </w:tcPr>
                <w:p>
                  <w:pPr>
                    <w:jc w:val="center"/>
                    <w:rPr>
                      <w:sz w:val="18"/>
                      <w:szCs w:val="18"/>
                    </w:rPr>
                  </w:pPr>
                </w:p>
              </w:tc>
              <w:tc>
                <w:tcPr>
                  <w:tcW w:w="904" w:type="dxa"/>
                  <w:vMerge w:val="continue"/>
                  <w:tcBorders>
                    <w:tl2br w:val="nil"/>
                    <w:tr2bl w:val="nil"/>
                  </w:tcBorders>
                  <w:vAlign w:val="center"/>
                </w:tcPr>
                <w:p>
                  <w:pPr>
                    <w:jc w:val="center"/>
                    <w:rPr>
                      <w:sz w:val="18"/>
                      <w:szCs w:val="18"/>
                    </w:rPr>
                  </w:pPr>
                </w:p>
              </w:tc>
              <w:tc>
                <w:tcPr>
                  <w:tcW w:w="762" w:type="dxa"/>
                  <w:vMerge w:val="continue"/>
                  <w:tcBorders>
                    <w:tl2br w:val="nil"/>
                    <w:tr2bl w:val="nil"/>
                  </w:tcBorders>
                  <w:vAlign w:val="center"/>
                </w:tcPr>
                <w:p>
                  <w:pPr>
                    <w:jc w:val="center"/>
                    <w:rPr>
                      <w:sz w:val="18"/>
                      <w:szCs w:val="18"/>
                    </w:rPr>
                  </w:pPr>
                </w:p>
              </w:tc>
              <w:tc>
                <w:tcPr>
                  <w:tcW w:w="856" w:type="dxa"/>
                  <w:vMerge w:val="continue"/>
                  <w:tcBorders>
                    <w:tl2br w:val="nil"/>
                    <w:tr2bl w:val="nil"/>
                  </w:tcBorders>
                  <w:vAlign w:val="center"/>
                </w:tcPr>
                <w:p>
                  <w:pPr>
                    <w:jc w:val="center"/>
                    <w:rPr>
                      <w:sz w:val="18"/>
                      <w:szCs w:val="18"/>
                    </w:rPr>
                  </w:pPr>
                </w:p>
              </w:tc>
              <w:tc>
                <w:tcPr>
                  <w:tcW w:w="993" w:type="dxa"/>
                  <w:tcBorders>
                    <w:tl2br w:val="nil"/>
                    <w:tr2bl w:val="nil"/>
                  </w:tcBorders>
                  <w:vAlign w:val="center"/>
                </w:tcPr>
                <w:p>
                  <w:pPr>
                    <w:jc w:val="center"/>
                    <w:rPr>
                      <w:b/>
                      <w:bCs/>
                      <w:sz w:val="18"/>
                      <w:szCs w:val="18"/>
                    </w:rPr>
                  </w:pPr>
                  <w:r>
                    <w:rPr>
                      <w:rFonts w:hint="eastAsia"/>
                      <w:b/>
                      <w:bCs/>
                      <w:sz w:val="18"/>
                      <w:szCs w:val="18"/>
                    </w:rPr>
                    <w:t>污染治理设施编号</w:t>
                  </w:r>
                </w:p>
              </w:tc>
              <w:tc>
                <w:tcPr>
                  <w:tcW w:w="758" w:type="dxa"/>
                  <w:tcBorders>
                    <w:tl2br w:val="nil"/>
                    <w:tr2bl w:val="nil"/>
                  </w:tcBorders>
                  <w:vAlign w:val="center"/>
                </w:tcPr>
                <w:p>
                  <w:pPr>
                    <w:jc w:val="center"/>
                    <w:rPr>
                      <w:b/>
                      <w:bCs/>
                      <w:sz w:val="18"/>
                      <w:szCs w:val="18"/>
                    </w:rPr>
                  </w:pPr>
                  <w:r>
                    <w:rPr>
                      <w:rFonts w:hint="eastAsia"/>
                      <w:b/>
                      <w:bCs/>
                      <w:sz w:val="18"/>
                      <w:szCs w:val="18"/>
                    </w:rPr>
                    <w:t>污染治理设施名称</w:t>
                  </w:r>
                </w:p>
              </w:tc>
              <w:tc>
                <w:tcPr>
                  <w:tcW w:w="597" w:type="dxa"/>
                  <w:tcBorders>
                    <w:tl2br w:val="nil"/>
                    <w:tr2bl w:val="nil"/>
                  </w:tcBorders>
                  <w:vAlign w:val="center"/>
                </w:tcPr>
                <w:p>
                  <w:pPr>
                    <w:jc w:val="center"/>
                    <w:rPr>
                      <w:b/>
                      <w:bCs/>
                      <w:sz w:val="18"/>
                      <w:szCs w:val="18"/>
                    </w:rPr>
                  </w:pPr>
                  <w:r>
                    <w:rPr>
                      <w:rFonts w:hint="eastAsia"/>
                      <w:b/>
                      <w:bCs/>
                      <w:sz w:val="18"/>
                      <w:szCs w:val="18"/>
                    </w:rPr>
                    <w:t>污染治理设施工艺</w:t>
                  </w:r>
                </w:p>
              </w:tc>
              <w:tc>
                <w:tcPr>
                  <w:tcW w:w="850" w:type="dxa"/>
                  <w:vMerge w:val="continue"/>
                  <w:tcBorders>
                    <w:tl2br w:val="nil"/>
                    <w:tr2bl w:val="nil"/>
                  </w:tcBorders>
                  <w:vAlign w:val="center"/>
                </w:tcPr>
                <w:p>
                  <w:pPr>
                    <w:jc w:val="center"/>
                    <w:rPr>
                      <w:sz w:val="18"/>
                      <w:szCs w:val="18"/>
                    </w:rPr>
                  </w:pPr>
                </w:p>
              </w:tc>
              <w:tc>
                <w:tcPr>
                  <w:tcW w:w="910" w:type="dxa"/>
                  <w:vMerge w:val="continue"/>
                  <w:tcBorders>
                    <w:tl2br w:val="nil"/>
                    <w:tr2bl w:val="nil"/>
                  </w:tcBorders>
                  <w:vAlign w:val="center"/>
                </w:tcPr>
                <w:p>
                  <w:pPr>
                    <w:jc w:val="center"/>
                    <w:rPr>
                      <w:sz w:val="18"/>
                      <w:szCs w:val="18"/>
                    </w:rPr>
                  </w:pPr>
                </w:p>
              </w:tc>
              <w:tc>
                <w:tcPr>
                  <w:tcW w:w="611" w:type="dxa"/>
                  <w:vMerge w:val="continue"/>
                  <w:tcBorders>
                    <w:tl2br w:val="nil"/>
                    <w:tr2bl w:val="nil"/>
                  </w:tcBorders>
                  <w:vAlign w:val="center"/>
                </w:tcPr>
                <w:p>
                  <w:pPr>
                    <w:jc w:val="center"/>
                    <w:rPr>
                      <w:sz w:val="18"/>
                      <w:szCs w:val="18"/>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503" w:type="dxa"/>
                  <w:tcBorders>
                    <w:tl2br w:val="nil"/>
                    <w:tr2bl w:val="nil"/>
                  </w:tcBorders>
                  <w:vAlign w:val="center"/>
                </w:tcPr>
                <w:p>
                  <w:pPr>
                    <w:jc w:val="center"/>
                    <w:rPr>
                      <w:sz w:val="18"/>
                      <w:szCs w:val="18"/>
                    </w:rPr>
                  </w:pPr>
                  <w:r>
                    <w:rPr>
                      <w:rFonts w:hint="eastAsia"/>
                      <w:sz w:val="18"/>
                      <w:szCs w:val="18"/>
                    </w:rPr>
                    <w:t>1</w:t>
                  </w:r>
                </w:p>
              </w:tc>
              <w:tc>
                <w:tcPr>
                  <w:tcW w:w="568" w:type="dxa"/>
                  <w:tcBorders>
                    <w:tl2br w:val="nil"/>
                    <w:tr2bl w:val="nil"/>
                  </w:tcBorders>
                  <w:vAlign w:val="center"/>
                </w:tcPr>
                <w:p>
                  <w:pPr>
                    <w:jc w:val="center"/>
                    <w:rPr>
                      <w:sz w:val="18"/>
                      <w:szCs w:val="18"/>
                    </w:rPr>
                  </w:pPr>
                  <w:r>
                    <w:rPr>
                      <w:rFonts w:hint="eastAsia"/>
                      <w:sz w:val="18"/>
                      <w:szCs w:val="18"/>
                    </w:rPr>
                    <w:t>生活污水</w:t>
                  </w:r>
                </w:p>
              </w:tc>
              <w:tc>
                <w:tcPr>
                  <w:tcW w:w="904" w:type="dxa"/>
                  <w:tcBorders>
                    <w:tl2br w:val="nil"/>
                    <w:tr2bl w:val="nil"/>
                  </w:tcBorders>
                  <w:vAlign w:val="center"/>
                </w:tcPr>
                <w:p>
                  <w:pPr>
                    <w:jc w:val="center"/>
                    <w:rPr>
                      <w:sz w:val="18"/>
                      <w:szCs w:val="18"/>
                    </w:rPr>
                  </w:pPr>
                  <w:r>
                    <w:rPr>
                      <w:rFonts w:hint="eastAsia"/>
                      <w:sz w:val="18"/>
                      <w:szCs w:val="18"/>
                    </w:rPr>
                    <w:t>COD、SS、NH</w:t>
                  </w:r>
                  <w:r>
                    <w:rPr>
                      <w:rFonts w:hint="eastAsia"/>
                      <w:sz w:val="18"/>
                      <w:szCs w:val="18"/>
                      <w:vertAlign w:val="subscript"/>
                    </w:rPr>
                    <w:t>3</w:t>
                  </w:r>
                  <w:r>
                    <w:rPr>
                      <w:rFonts w:hint="eastAsia"/>
                      <w:sz w:val="18"/>
                      <w:szCs w:val="18"/>
                    </w:rPr>
                    <w:t>-N、</w:t>
                  </w:r>
                  <w:r>
                    <w:rPr>
                      <w:sz w:val="18"/>
                      <w:szCs w:val="18"/>
                    </w:rPr>
                    <w:t>TP</w:t>
                  </w:r>
                  <w:r>
                    <w:rPr>
                      <w:rFonts w:hint="eastAsia"/>
                      <w:sz w:val="18"/>
                      <w:szCs w:val="18"/>
                    </w:rPr>
                    <w:t>、TN</w:t>
                  </w:r>
                </w:p>
              </w:tc>
              <w:tc>
                <w:tcPr>
                  <w:tcW w:w="762" w:type="dxa"/>
                  <w:tcBorders>
                    <w:tl2br w:val="nil"/>
                    <w:tr2bl w:val="nil"/>
                  </w:tcBorders>
                  <w:vAlign w:val="center"/>
                </w:tcPr>
                <w:p>
                  <w:pPr>
                    <w:jc w:val="center"/>
                    <w:rPr>
                      <w:sz w:val="18"/>
                      <w:szCs w:val="18"/>
                    </w:rPr>
                  </w:pPr>
                  <w:r>
                    <w:rPr>
                      <w:rFonts w:hint="eastAsia"/>
                      <w:sz w:val="18"/>
                      <w:szCs w:val="18"/>
                    </w:rPr>
                    <w:t>金坛区第二污水处理厂</w:t>
                  </w:r>
                </w:p>
              </w:tc>
              <w:tc>
                <w:tcPr>
                  <w:tcW w:w="856" w:type="dxa"/>
                  <w:tcBorders>
                    <w:tl2br w:val="nil"/>
                    <w:tr2bl w:val="nil"/>
                  </w:tcBorders>
                  <w:vAlign w:val="center"/>
                </w:tcPr>
                <w:p>
                  <w:pPr>
                    <w:rPr>
                      <w:sz w:val="18"/>
                      <w:szCs w:val="18"/>
                    </w:rPr>
                  </w:pPr>
                  <w:r>
                    <w:rPr>
                      <w:rFonts w:hint="eastAsia"/>
                      <w:sz w:val="18"/>
                      <w:szCs w:val="18"/>
                    </w:rPr>
                    <w:t>间断排放；流量不稳但是有周期性规律</w:t>
                  </w:r>
                </w:p>
              </w:tc>
              <w:tc>
                <w:tcPr>
                  <w:tcW w:w="993" w:type="dxa"/>
                  <w:tcBorders>
                    <w:tl2br w:val="nil"/>
                    <w:tr2bl w:val="nil"/>
                  </w:tcBorders>
                  <w:vAlign w:val="center"/>
                </w:tcPr>
                <w:p>
                  <w:pPr>
                    <w:pStyle w:val="474"/>
                    <w:spacing w:line="240" w:lineRule="auto"/>
                    <w:ind w:firstLine="0" w:firstLineChars="0"/>
                    <w:jc w:val="center"/>
                    <w:rPr>
                      <w:sz w:val="18"/>
                      <w:szCs w:val="18"/>
                    </w:rPr>
                  </w:pPr>
                  <w:r>
                    <w:rPr>
                      <w:rFonts w:hint="eastAsia"/>
                      <w:sz w:val="18"/>
                      <w:szCs w:val="24"/>
                    </w:rPr>
                    <w:t>TW001</w:t>
                  </w:r>
                </w:p>
              </w:tc>
              <w:tc>
                <w:tcPr>
                  <w:tcW w:w="758" w:type="dxa"/>
                  <w:tcBorders>
                    <w:tl2br w:val="nil"/>
                    <w:tr2bl w:val="nil"/>
                  </w:tcBorders>
                  <w:vAlign w:val="center"/>
                </w:tcPr>
                <w:p>
                  <w:pPr>
                    <w:pStyle w:val="474"/>
                    <w:spacing w:line="240" w:lineRule="auto"/>
                    <w:ind w:firstLine="0" w:firstLineChars="0"/>
                    <w:jc w:val="center"/>
                    <w:rPr>
                      <w:sz w:val="18"/>
                      <w:szCs w:val="18"/>
                    </w:rPr>
                  </w:pPr>
                  <w:r>
                    <w:rPr>
                      <w:rFonts w:hint="eastAsia"/>
                      <w:sz w:val="18"/>
                      <w:szCs w:val="24"/>
                    </w:rPr>
                    <w:t>生活</w:t>
                  </w:r>
                  <w:r>
                    <w:rPr>
                      <w:sz w:val="18"/>
                      <w:szCs w:val="24"/>
                    </w:rPr>
                    <w:t>污水处理系统</w:t>
                  </w:r>
                </w:p>
              </w:tc>
              <w:tc>
                <w:tcPr>
                  <w:tcW w:w="597" w:type="dxa"/>
                  <w:tcBorders>
                    <w:tl2br w:val="nil"/>
                    <w:tr2bl w:val="nil"/>
                  </w:tcBorders>
                  <w:vAlign w:val="center"/>
                </w:tcPr>
                <w:p>
                  <w:pPr>
                    <w:pStyle w:val="474"/>
                    <w:spacing w:line="240" w:lineRule="auto"/>
                    <w:ind w:firstLine="0" w:firstLineChars="0"/>
                    <w:jc w:val="center"/>
                    <w:rPr>
                      <w:sz w:val="18"/>
                      <w:szCs w:val="18"/>
                    </w:rPr>
                  </w:pPr>
                  <w:r>
                    <w:rPr>
                      <w:rFonts w:hint="eastAsia"/>
                      <w:sz w:val="18"/>
                      <w:szCs w:val="24"/>
                    </w:rPr>
                    <w:t>化粪池</w:t>
                  </w:r>
                </w:p>
              </w:tc>
              <w:tc>
                <w:tcPr>
                  <w:tcW w:w="850" w:type="dxa"/>
                  <w:tcBorders>
                    <w:tl2br w:val="nil"/>
                    <w:tr2bl w:val="nil"/>
                  </w:tcBorders>
                  <w:vAlign w:val="center"/>
                </w:tcPr>
                <w:p>
                  <w:pPr>
                    <w:pStyle w:val="474"/>
                    <w:spacing w:line="240" w:lineRule="auto"/>
                    <w:ind w:firstLine="0" w:firstLineChars="0"/>
                    <w:jc w:val="center"/>
                    <w:rPr>
                      <w:sz w:val="18"/>
                      <w:szCs w:val="18"/>
                    </w:rPr>
                  </w:pPr>
                  <w:r>
                    <w:rPr>
                      <w:rFonts w:hint="eastAsia"/>
                      <w:sz w:val="18"/>
                      <w:szCs w:val="24"/>
                    </w:rPr>
                    <w:t>D</w:t>
                  </w:r>
                  <w:r>
                    <w:rPr>
                      <w:sz w:val="18"/>
                      <w:szCs w:val="24"/>
                    </w:rPr>
                    <w:t>W</w:t>
                  </w:r>
                  <w:r>
                    <w:rPr>
                      <w:rFonts w:hint="eastAsia"/>
                      <w:sz w:val="18"/>
                      <w:szCs w:val="24"/>
                    </w:rPr>
                    <w:t>001</w:t>
                  </w:r>
                </w:p>
              </w:tc>
              <w:tc>
                <w:tcPr>
                  <w:tcW w:w="910" w:type="dxa"/>
                  <w:tcBorders>
                    <w:tl2br w:val="nil"/>
                    <w:tr2bl w:val="nil"/>
                  </w:tcBorders>
                  <w:vAlign w:val="center"/>
                </w:tcPr>
                <w:p>
                  <w:pPr>
                    <w:jc w:val="center"/>
                    <w:rPr>
                      <w:sz w:val="18"/>
                      <w:szCs w:val="18"/>
                    </w:rPr>
                  </w:pPr>
                  <w:r>
                    <w:rPr>
                      <w:rFonts w:hint="eastAsia"/>
                      <w:sz w:val="18"/>
                      <w:szCs w:val="18"/>
                    </w:rPr>
                    <w:t>是</w:t>
                  </w:r>
                </w:p>
              </w:tc>
              <w:tc>
                <w:tcPr>
                  <w:tcW w:w="611" w:type="dxa"/>
                  <w:tcBorders>
                    <w:tl2br w:val="nil"/>
                    <w:tr2bl w:val="nil"/>
                  </w:tcBorders>
                  <w:vAlign w:val="center"/>
                </w:tcPr>
                <w:p>
                  <w:pPr>
                    <w:jc w:val="center"/>
                    <w:rPr>
                      <w:sz w:val="18"/>
                      <w:szCs w:val="18"/>
                    </w:rPr>
                  </w:pPr>
                  <w:r>
                    <w:rPr>
                      <w:rFonts w:hint="eastAsia"/>
                      <w:sz w:val="18"/>
                      <w:szCs w:val="18"/>
                    </w:rPr>
                    <w:t>污水排放口</w:t>
                  </w:r>
                </w:p>
              </w:tc>
            </w:tr>
          </w:tbl>
          <w:p>
            <w:pPr>
              <w:spacing w:line="360" w:lineRule="auto"/>
              <w:ind w:firstLine="480" w:firstLineChars="200"/>
              <w:rPr>
                <w:b/>
                <w:sz w:val="24"/>
                <w:szCs w:val="24"/>
              </w:rPr>
            </w:pPr>
            <w:r>
              <w:rPr>
                <w:b/>
                <w:sz w:val="24"/>
                <w:szCs w:val="24"/>
              </w:rPr>
              <w:t>3、噪声</w:t>
            </w:r>
          </w:p>
          <w:p>
            <w:pPr>
              <w:spacing w:line="360" w:lineRule="auto"/>
              <w:ind w:firstLine="465"/>
              <w:jc w:val="left"/>
              <w:rPr>
                <w:sz w:val="24"/>
                <w:szCs w:val="24"/>
              </w:rPr>
            </w:pPr>
            <w:r>
              <w:rPr>
                <w:sz w:val="24"/>
                <w:szCs w:val="24"/>
              </w:rPr>
              <w:t>本项目</w:t>
            </w:r>
            <w:r>
              <w:rPr>
                <w:rFonts w:hint="eastAsia"/>
                <w:sz w:val="24"/>
                <w:szCs w:val="24"/>
              </w:rPr>
              <w:t>主要</w:t>
            </w:r>
            <w:r>
              <w:rPr>
                <w:sz w:val="24"/>
                <w:szCs w:val="24"/>
              </w:rPr>
              <w:t>噪声源</w:t>
            </w:r>
            <w:r>
              <w:rPr>
                <w:rFonts w:hint="eastAsia"/>
                <w:sz w:val="24"/>
                <w:szCs w:val="24"/>
              </w:rPr>
              <w:t>为</w:t>
            </w:r>
            <w:r>
              <w:rPr>
                <w:rFonts w:hint="eastAsia"/>
                <w:sz w:val="24"/>
                <w:szCs w:val="24"/>
                <w:lang w:eastAsia="zh-CN"/>
              </w:rPr>
              <w:t>小型</w:t>
            </w:r>
            <w:r>
              <w:rPr>
                <w:rFonts w:hint="eastAsia"/>
                <w:sz w:val="24"/>
                <w:szCs w:val="24"/>
              </w:rPr>
              <w:t>不锈钢锉磨床、镍钛锉车床、注塑机</w:t>
            </w:r>
            <w:r>
              <w:rPr>
                <w:rFonts w:hint="eastAsia"/>
                <w:sz w:val="24"/>
                <w:szCs w:val="24"/>
                <w:lang w:eastAsia="zh-CN"/>
              </w:rPr>
              <w:t>、空压机组、风机</w:t>
            </w:r>
            <w:r>
              <w:rPr>
                <w:rFonts w:hint="eastAsia"/>
                <w:sz w:val="24"/>
                <w:szCs w:val="24"/>
              </w:rPr>
              <w:t>等生产设备的</w:t>
            </w:r>
            <w:r>
              <w:rPr>
                <w:sz w:val="24"/>
                <w:szCs w:val="24"/>
              </w:rPr>
              <w:t>运行噪声，单台设备噪声源强为</w:t>
            </w:r>
            <w:r>
              <w:rPr>
                <w:rFonts w:hint="eastAsia"/>
                <w:sz w:val="24"/>
                <w:szCs w:val="24"/>
                <w:lang w:val="en-US" w:eastAsia="zh-CN"/>
              </w:rPr>
              <w:t>80</w:t>
            </w:r>
            <w:r>
              <w:rPr>
                <w:rFonts w:hint="eastAsia"/>
                <w:sz w:val="24"/>
                <w:szCs w:val="24"/>
              </w:rPr>
              <w:t>-90</w:t>
            </w:r>
            <w:r>
              <w:rPr>
                <w:sz w:val="24"/>
                <w:szCs w:val="24"/>
              </w:rPr>
              <w:t>dB（A），</w:t>
            </w:r>
            <w:r>
              <w:rPr>
                <w:rFonts w:hint="eastAsia"/>
                <w:sz w:val="24"/>
                <w:szCs w:val="24"/>
              </w:rPr>
              <w:t>本项目主要高噪声设备</w:t>
            </w:r>
            <w:r>
              <w:rPr>
                <w:sz w:val="24"/>
                <w:szCs w:val="24"/>
              </w:rPr>
              <w:t>详见下表。</w:t>
            </w:r>
          </w:p>
          <w:p>
            <w:pPr>
              <w:jc w:val="center"/>
            </w:pPr>
            <w:r>
              <w:rPr>
                <w:b/>
                <w:kern w:val="21"/>
                <w:szCs w:val="21"/>
                <w:lang w:val="zh-CN"/>
              </w:rPr>
              <w:t>表5-</w:t>
            </w:r>
            <w:r>
              <w:rPr>
                <w:rFonts w:hint="eastAsia"/>
                <w:b/>
                <w:kern w:val="21"/>
                <w:szCs w:val="21"/>
              </w:rPr>
              <w:t>6</w:t>
            </w:r>
            <w:r>
              <w:rPr>
                <w:b/>
                <w:kern w:val="21"/>
                <w:szCs w:val="21"/>
                <w:lang w:val="zh-CN"/>
              </w:rPr>
              <w:t xml:space="preserve">  噪声源情况一览表</w:t>
            </w:r>
          </w:p>
          <w:tbl>
            <w:tblPr>
              <w:tblStyle w:val="56"/>
              <w:tblW w:w="8312" w:type="dxa"/>
              <w:jc w:val="center"/>
              <w:tblBorders>
                <w:top w:val="single" w:color="auto" w:sz="12" w:space="0"/>
                <w:left w:val="none" w:color="auto" w:sz="0" w:space="0"/>
                <w:bottom w:val="single" w:color="auto" w:sz="12"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
            <w:tblGrid>
              <w:gridCol w:w="2327"/>
              <w:gridCol w:w="945"/>
              <w:gridCol w:w="1305"/>
              <w:gridCol w:w="1560"/>
              <w:gridCol w:w="2175"/>
            </w:tblGrid>
            <w:tr>
              <w:tblPrEx>
                <w:tblBorders>
                  <w:top w:val="single" w:color="auto" w:sz="12" w:space="0"/>
                  <w:left w:val="none" w:color="auto" w:sz="0" w:space="0"/>
                  <w:bottom w:val="single" w:color="auto" w:sz="12"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340" w:hRule="atLeast"/>
                <w:jc w:val="center"/>
              </w:trPr>
              <w:tc>
                <w:tcPr>
                  <w:tcW w:w="2327" w:type="dxa"/>
                  <w:tcBorders>
                    <w:tl2br w:val="nil"/>
                    <w:tr2bl w:val="nil"/>
                  </w:tcBorders>
                  <w:vAlign w:val="center"/>
                </w:tcPr>
                <w:p>
                  <w:pPr>
                    <w:pStyle w:val="174"/>
                    <w:spacing w:line="240" w:lineRule="auto"/>
                    <w:jc w:val="center"/>
                    <w:rPr>
                      <w:rFonts w:eastAsiaTheme="minorEastAsia"/>
                      <w:b/>
                      <w:bCs/>
                      <w:szCs w:val="21"/>
                    </w:rPr>
                  </w:pPr>
                  <w:r>
                    <w:rPr>
                      <w:rFonts w:eastAsiaTheme="minorEastAsia"/>
                      <w:b/>
                      <w:bCs/>
                      <w:szCs w:val="21"/>
                    </w:rPr>
                    <w:t>设备名称</w:t>
                  </w:r>
                </w:p>
              </w:tc>
              <w:tc>
                <w:tcPr>
                  <w:tcW w:w="945" w:type="dxa"/>
                  <w:tcBorders>
                    <w:tl2br w:val="nil"/>
                    <w:tr2bl w:val="nil"/>
                  </w:tcBorders>
                  <w:vAlign w:val="center"/>
                </w:tcPr>
                <w:p>
                  <w:pPr>
                    <w:pStyle w:val="174"/>
                    <w:spacing w:line="240" w:lineRule="auto"/>
                    <w:jc w:val="center"/>
                    <w:rPr>
                      <w:rFonts w:eastAsiaTheme="minorEastAsia"/>
                      <w:b/>
                      <w:bCs/>
                      <w:szCs w:val="21"/>
                    </w:rPr>
                  </w:pPr>
                  <w:r>
                    <w:rPr>
                      <w:rFonts w:eastAsiaTheme="minorEastAsia"/>
                      <w:b/>
                      <w:bCs/>
                      <w:szCs w:val="21"/>
                    </w:rPr>
                    <w:t>所在位置</w:t>
                  </w:r>
                </w:p>
              </w:tc>
              <w:tc>
                <w:tcPr>
                  <w:tcW w:w="1305" w:type="dxa"/>
                  <w:tcBorders>
                    <w:tl2br w:val="nil"/>
                    <w:tr2bl w:val="nil"/>
                  </w:tcBorders>
                  <w:vAlign w:val="center"/>
                </w:tcPr>
                <w:p>
                  <w:pPr>
                    <w:pStyle w:val="174"/>
                    <w:spacing w:line="240" w:lineRule="auto"/>
                    <w:jc w:val="center"/>
                    <w:rPr>
                      <w:rFonts w:eastAsiaTheme="minorEastAsia"/>
                      <w:b/>
                      <w:bCs/>
                      <w:szCs w:val="21"/>
                    </w:rPr>
                  </w:pPr>
                  <w:r>
                    <w:rPr>
                      <w:rFonts w:eastAsiaTheme="minorEastAsia"/>
                      <w:b/>
                      <w:bCs/>
                      <w:szCs w:val="21"/>
                    </w:rPr>
                    <w:t>源强dB(A）</w:t>
                  </w:r>
                </w:p>
              </w:tc>
              <w:tc>
                <w:tcPr>
                  <w:tcW w:w="1560" w:type="dxa"/>
                  <w:tcBorders>
                    <w:tl2br w:val="nil"/>
                    <w:tr2bl w:val="nil"/>
                  </w:tcBorders>
                  <w:vAlign w:val="center"/>
                </w:tcPr>
                <w:p>
                  <w:pPr>
                    <w:jc w:val="center"/>
                    <w:rPr>
                      <w:rFonts w:eastAsiaTheme="minorEastAsia"/>
                      <w:b/>
                      <w:bCs/>
                      <w:kern w:val="0"/>
                      <w:szCs w:val="21"/>
                    </w:rPr>
                  </w:pPr>
                  <w:r>
                    <w:rPr>
                      <w:rFonts w:eastAsiaTheme="minorEastAsia"/>
                      <w:b/>
                      <w:bCs/>
                      <w:kern w:val="0"/>
                      <w:szCs w:val="21"/>
                    </w:rPr>
                    <w:t>数量（台/套）</w:t>
                  </w:r>
                </w:p>
              </w:tc>
              <w:tc>
                <w:tcPr>
                  <w:tcW w:w="2175" w:type="dxa"/>
                  <w:vAlign w:val="center"/>
                </w:tcPr>
                <w:p>
                  <w:pPr>
                    <w:adjustRightInd w:val="0"/>
                    <w:jc w:val="center"/>
                    <w:rPr>
                      <w:rFonts w:eastAsiaTheme="minorEastAsia"/>
                      <w:szCs w:val="21"/>
                    </w:rPr>
                  </w:pPr>
                  <w:r>
                    <w:rPr>
                      <w:rFonts w:eastAsiaTheme="minorEastAsia"/>
                      <w:b/>
                      <w:bCs/>
                      <w:szCs w:val="21"/>
                    </w:rPr>
                    <w:t>降噪措施</w:t>
                  </w:r>
                </w:p>
              </w:tc>
            </w:tr>
            <w:tr>
              <w:tblPrEx>
                <w:tblBorders>
                  <w:top w:val="single" w:color="auto" w:sz="12" w:space="0"/>
                  <w:left w:val="none" w:color="auto" w:sz="0" w:space="0"/>
                  <w:bottom w:val="single" w:color="auto" w:sz="12"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90" w:hRule="atLeast"/>
                <w:jc w:val="center"/>
              </w:trPr>
              <w:tc>
                <w:tcPr>
                  <w:tcW w:w="2327" w:type="dxa"/>
                  <w:tcBorders>
                    <w:tl2br w:val="nil"/>
                    <w:tr2bl w:val="nil"/>
                  </w:tcBorders>
                  <w:vAlign w:val="center"/>
                </w:tcPr>
                <w:p>
                  <w:pPr>
                    <w:widowControl/>
                    <w:jc w:val="center"/>
                    <w:textAlignment w:val="center"/>
                    <w:rPr>
                      <w:rFonts w:hint="eastAsia" w:ascii="Times New Roman" w:hAnsi="Times New Roman" w:eastAsia="宋体" w:cs="Times New Roman"/>
                      <w:color w:val="000000" w:themeColor="text1"/>
                      <w:kern w:val="2"/>
                      <w:sz w:val="21"/>
                      <w:szCs w:val="21"/>
                      <w:lang w:val="en-US" w:eastAsia="zh-CN" w:bidi="ar-SA"/>
                      <w14:textFill>
                        <w14:solidFill>
                          <w14:schemeClr w14:val="tx1"/>
                        </w14:solidFill>
                      </w14:textFill>
                    </w:rPr>
                  </w:pPr>
                  <w:r>
                    <w:rPr>
                      <w:rFonts w:hint="eastAsia"/>
                      <w:color w:val="000000" w:themeColor="text1"/>
                      <w:szCs w:val="21"/>
                      <w:lang w:eastAsia="zh-CN"/>
                      <w14:textFill>
                        <w14:solidFill>
                          <w14:schemeClr w14:val="tx1"/>
                        </w14:solidFill>
                      </w14:textFill>
                    </w:rPr>
                    <w:t>不锈钢锉磨床</w:t>
                  </w:r>
                </w:p>
              </w:tc>
              <w:tc>
                <w:tcPr>
                  <w:tcW w:w="945" w:type="dxa"/>
                  <w:tcBorders>
                    <w:tl2br w:val="nil"/>
                    <w:tr2bl w:val="nil"/>
                  </w:tcBorders>
                  <w:vAlign w:val="center"/>
                </w:tcPr>
                <w:p>
                  <w:pPr>
                    <w:jc w:val="center"/>
                    <w:rPr>
                      <w:rFonts w:eastAsiaTheme="minorEastAsia"/>
                      <w:szCs w:val="21"/>
                    </w:rPr>
                  </w:pPr>
                  <w:r>
                    <w:rPr>
                      <w:rFonts w:hint="eastAsia" w:eastAsiaTheme="minorEastAsia"/>
                      <w:szCs w:val="21"/>
                    </w:rPr>
                    <w:t>车间内</w:t>
                  </w:r>
                </w:p>
              </w:tc>
              <w:tc>
                <w:tcPr>
                  <w:tcW w:w="1305" w:type="dxa"/>
                  <w:tcBorders>
                    <w:tl2br w:val="nil"/>
                    <w:tr2bl w:val="nil"/>
                  </w:tcBorders>
                  <w:vAlign w:val="center"/>
                </w:tcPr>
                <w:p>
                  <w:pPr>
                    <w:pStyle w:val="174"/>
                    <w:spacing w:line="240" w:lineRule="auto"/>
                    <w:jc w:val="center"/>
                    <w:rPr>
                      <w:rFonts w:hint="default" w:eastAsiaTheme="minorEastAsia"/>
                      <w:szCs w:val="21"/>
                      <w:lang w:val="en-US" w:eastAsia="zh-CN"/>
                    </w:rPr>
                  </w:pPr>
                  <w:r>
                    <w:rPr>
                      <w:rFonts w:hint="eastAsia" w:eastAsiaTheme="minorEastAsia"/>
                      <w:szCs w:val="21"/>
                      <w:lang w:val="en-US" w:eastAsia="zh-CN"/>
                    </w:rPr>
                    <w:t>80</w:t>
                  </w:r>
                </w:p>
              </w:tc>
              <w:tc>
                <w:tcPr>
                  <w:tcW w:w="1560" w:type="dxa"/>
                  <w:tcBorders>
                    <w:tl2br w:val="nil"/>
                    <w:tr2bl w:val="nil"/>
                  </w:tcBorders>
                  <w:vAlign w:val="center"/>
                </w:tcPr>
                <w:p>
                  <w:pPr>
                    <w:widowControl/>
                    <w:jc w:val="center"/>
                    <w:textAlignment w:val="center"/>
                    <w:rPr>
                      <w:rFonts w:eastAsiaTheme="minorEastAsia"/>
                      <w:szCs w:val="21"/>
                    </w:rPr>
                  </w:pPr>
                  <w:r>
                    <w:rPr>
                      <w:rFonts w:hint="eastAsia"/>
                      <w:szCs w:val="21"/>
                    </w:rPr>
                    <w:t>50</w:t>
                  </w:r>
                </w:p>
              </w:tc>
              <w:tc>
                <w:tcPr>
                  <w:tcW w:w="2175" w:type="dxa"/>
                  <w:vAlign w:val="center"/>
                </w:tcPr>
                <w:p>
                  <w:pPr>
                    <w:jc w:val="center"/>
                    <w:rPr>
                      <w:rFonts w:eastAsiaTheme="minorEastAsia"/>
                      <w:szCs w:val="21"/>
                    </w:rPr>
                  </w:pPr>
                  <w:r>
                    <w:rPr>
                      <w:rFonts w:eastAsiaTheme="minorEastAsia"/>
                      <w:szCs w:val="21"/>
                    </w:rPr>
                    <w:t>隔声、减振</w:t>
                  </w:r>
                </w:p>
              </w:tc>
            </w:tr>
            <w:tr>
              <w:tblPrEx>
                <w:tblBorders>
                  <w:top w:val="single" w:color="auto" w:sz="12" w:space="0"/>
                  <w:left w:val="none" w:color="auto" w:sz="0" w:space="0"/>
                  <w:bottom w:val="single" w:color="auto" w:sz="12"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90" w:hRule="atLeast"/>
                <w:jc w:val="center"/>
              </w:trPr>
              <w:tc>
                <w:tcPr>
                  <w:tcW w:w="2327" w:type="dxa"/>
                  <w:tcBorders>
                    <w:tl2br w:val="nil"/>
                    <w:tr2bl w:val="nil"/>
                  </w:tcBorders>
                  <w:vAlign w:val="center"/>
                </w:tcPr>
                <w:p>
                  <w:pPr>
                    <w:widowControl/>
                    <w:jc w:val="center"/>
                    <w:textAlignment w:val="center"/>
                    <w:rPr>
                      <w:rFonts w:hint="eastAsia" w:ascii="Times New Roman" w:hAnsi="Times New Roman" w:eastAsia="宋体" w:cs="Times New Roman"/>
                      <w:color w:val="000000" w:themeColor="text1"/>
                      <w:kern w:val="2"/>
                      <w:sz w:val="21"/>
                      <w:szCs w:val="21"/>
                      <w:lang w:val="en-US" w:eastAsia="zh-CN" w:bidi="ar-SA"/>
                      <w14:textFill>
                        <w14:solidFill>
                          <w14:schemeClr w14:val="tx1"/>
                        </w14:solidFill>
                      </w14:textFill>
                    </w:rPr>
                  </w:pPr>
                  <w:r>
                    <w:rPr>
                      <w:rFonts w:hint="eastAsia"/>
                      <w:color w:val="000000" w:themeColor="text1"/>
                      <w:szCs w:val="21"/>
                      <w:lang w:eastAsia="zh-CN"/>
                      <w14:textFill>
                        <w14:solidFill>
                          <w14:schemeClr w14:val="tx1"/>
                        </w14:solidFill>
                      </w14:textFill>
                    </w:rPr>
                    <w:t>镍钛锉车床</w:t>
                  </w:r>
                </w:p>
              </w:tc>
              <w:tc>
                <w:tcPr>
                  <w:tcW w:w="945" w:type="dxa"/>
                  <w:tcBorders>
                    <w:tl2br w:val="nil"/>
                    <w:tr2bl w:val="nil"/>
                  </w:tcBorders>
                  <w:vAlign w:val="center"/>
                </w:tcPr>
                <w:p>
                  <w:pPr>
                    <w:widowControl/>
                    <w:jc w:val="center"/>
                    <w:textAlignment w:val="center"/>
                    <w:rPr>
                      <w:szCs w:val="21"/>
                    </w:rPr>
                  </w:pPr>
                  <w:r>
                    <w:rPr>
                      <w:rFonts w:hint="eastAsia" w:eastAsiaTheme="minorEastAsia"/>
                      <w:szCs w:val="21"/>
                    </w:rPr>
                    <w:t>车间内</w:t>
                  </w:r>
                </w:p>
              </w:tc>
              <w:tc>
                <w:tcPr>
                  <w:tcW w:w="1305" w:type="dxa"/>
                  <w:tcBorders>
                    <w:tl2br w:val="nil"/>
                    <w:tr2bl w:val="nil"/>
                  </w:tcBorders>
                  <w:vAlign w:val="center"/>
                </w:tcPr>
                <w:p>
                  <w:pPr>
                    <w:pStyle w:val="174"/>
                    <w:spacing w:line="240" w:lineRule="auto"/>
                    <w:jc w:val="center"/>
                    <w:rPr>
                      <w:rFonts w:hint="default" w:eastAsiaTheme="minorEastAsia"/>
                      <w:szCs w:val="21"/>
                      <w:lang w:val="en-US" w:eastAsia="zh-CN"/>
                    </w:rPr>
                  </w:pPr>
                  <w:r>
                    <w:rPr>
                      <w:rFonts w:hint="eastAsia" w:eastAsiaTheme="minorEastAsia"/>
                      <w:szCs w:val="21"/>
                      <w:lang w:val="en-US" w:eastAsia="zh-CN"/>
                    </w:rPr>
                    <w:t>80</w:t>
                  </w:r>
                </w:p>
              </w:tc>
              <w:tc>
                <w:tcPr>
                  <w:tcW w:w="1560" w:type="dxa"/>
                  <w:tcBorders>
                    <w:tl2br w:val="nil"/>
                    <w:tr2bl w:val="nil"/>
                  </w:tcBorders>
                  <w:vAlign w:val="center"/>
                </w:tcPr>
                <w:p>
                  <w:pPr>
                    <w:widowControl/>
                    <w:jc w:val="center"/>
                    <w:textAlignment w:val="center"/>
                    <w:rPr>
                      <w:rFonts w:eastAsiaTheme="minorEastAsia"/>
                      <w:szCs w:val="21"/>
                    </w:rPr>
                  </w:pPr>
                  <w:r>
                    <w:rPr>
                      <w:rFonts w:hint="eastAsia"/>
                      <w:kern w:val="0"/>
                      <w:szCs w:val="21"/>
                    </w:rPr>
                    <w:t>150</w:t>
                  </w:r>
                </w:p>
              </w:tc>
              <w:tc>
                <w:tcPr>
                  <w:tcW w:w="2175" w:type="dxa"/>
                  <w:vAlign w:val="center"/>
                </w:tcPr>
                <w:p>
                  <w:pPr>
                    <w:jc w:val="center"/>
                    <w:rPr>
                      <w:rFonts w:eastAsiaTheme="minorEastAsia"/>
                      <w:szCs w:val="21"/>
                    </w:rPr>
                  </w:pPr>
                  <w:r>
                    <w:rPr>
                      <w:rFonts w:eastAsiaTheme="minorEastAsia"/>
                      <w:szCs w:val="21"/>
                    </w:rPr>
                    <w:t>隔声、减振</w:t>
                  </w:r>
                </w:p>
              </w:tc>
            </w:tr>
            <w:tr>
              <w:tblPrEx>
                <w:tblBorders>
                  <w:top w:val="single" w:color="auto" w:sz="12" w:space="0"/>
                  <w:left w:val="none" w:color="auto" w:sz="0" w:space="0"/>
                  <w:bottom w:val="single" w:color="auto" w:sz="12"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90" w:hRule="atLeast"/>
                <w:jc w:val="center"/>
              </w:trPr>
              <w:tc>
                <w:tcPr>
                  <w:tcW w:w="2327" w:type="dxa"/>
                  <w:tcBorders>
                    <w:tl2br w:val="nil"/>
                    <w:tr2bl w:val="nil"/>
                  </w:tcBorders>
                  <w:vAlign w:val="center"/>
                </w:tcPr>
                <w:p>
                  <w:pPr>
                    <w:widowControl/>
                    <w:jc w:val="center"/>
                    <w:textAlignment w:val="center"/>
                    <w:rPr>
                      <w:rFonts w:hint="eastAsia" w:ascii="Times New Roman" w:hAnsi="Times New Roman" w:eastAsia="宋体" w:cs="Times New Roman"/>
                      <w:color w:val="000000" w:themeColor="text1"/>
                      <w:kern w:val="2"/>
                      <w:sz w:val="21"/>
                      <w:szCs w:val="21"/>
                      <w:lang w:val="en-US" w:eastAsia="zh-CN" w:bidi="ar-SA"/>
                      <w14:textFill>
                        <w14:solidFill>
                          <w14:schemeClr w14:val="tx1"/>
                        </w14:solidFill>
                      </w14:textFill>
                    </w:rPr>
                  </w:pPr>
                  <w:r>
                    <w:rPr>
                      <w:rFonts w:hint="eastAsia"/>
                      <w:color w:val="000000" w:themeColor="text1"/>
                      <w:szCs w:val="21"/>
                      <w:lang w:eastAsia="zh-CN"/>
                      <w14:textFill>
                        <w14:solidFill>
                          <w14:schemeClr w14:val="tx1"/>
                        </w14:solidFill>
                      </w14:textFill>
                    </w:rPr>
                    <w:t>不锈钢锉后续处理设备</w:t>
                  </w:r>
                </w:p>
              </w:tc>
              <w:tc>
                <w:tcPr>
                  <w:tcW w:w="945" w:type="dxa"/>
                  <w:tcBorders>
                    <w:tl2br w:val="nil"/>
                    <w:tr2bl w:val="nil"/>
                  </w:tcBorders>
                  <w:vAlign w:val="center"/>
                </w:tcPr>
                <w:p>
                  <w:pPr>
                    <w:widowControl/>
                    <w:jc w:val="center"/>
                    <w:textAlignment w:val="center"/>
                    <w:rPr>
                      <w:szCs w:val="21"/>
                    </w:rPr>
                  </w:pPr>
                  <w:r>
                    <w:rPr>
                      <w:rFonts w:hint="eastAsia" w:eastAsiaTheme="minorEastAsia"/>
                      <w:szCs w:val="21"/>
                    </w:rPr>
                    <w:t>车间内</w:t>
                  </w:r>
                </w:p>
              </w:tc>
              <w:tc>
                <w:tcPr>
                  <w:tcW w:w="1305" w:type="dxa"/>
                  <w:tcBorders>
                    <w:tl2br w:val="nil"/>
                    <w:tr2bl w:val="nil"/>
                  </w:tcBorders>
                  <w:vAlign w:val="center"/>
                </w:tcPr>
                <w:p>
                  <w:pPr>
                    <w:pStyle w:val="174"/>
                    <w:spacing w:line="240" w:lineRule="auto"/>
                    <w:jc w:val="center"/>
                    <w:rPr>
                      <w:rFonts w:hint="default" w:eastAsiaTheme="minorEastAsia"/>
                      <w:szCs w:val="21"/>
                      <w:lang w:val="en-US" w:eastAsia="zh-CN"/>
                    </w:rPr>
                  </w:pPr>
                  <w:r>
                    <w:rPr>
                      <w:rFonts w:hint="eastAsia" w:eastAsiaTheme="minorEastAsia"/>
                      <w:szCs w:val="21"/>
                      <w:lang w:val="en-US" w:eastAsia="zh-CN"/>
                    </w:rPr>
                    <w:t>80</w:t>
                  </w:r>
                </w:p>
              </w:tc>
              <w:tc>
                <w:tcPr>
                  <w:tcW w:w="1560" w:type="dxa"/>
                  <w:tcBorders>
                    <w:tl2br w:val="nil"/>
                    <w:tr2bl w:val="nil"/>
                  </w:tcBorders>
                  <w:vAlign w:val="center"/>
                </w:tcPr>
                <w:p>
                  <w:pPr>
                    <w:widowControl/>
                    <w:jc w:val="center"/>
                    <w:textAlignment w:val="center"/>
                    <w:rPr>
                      <w:rFonts w:eastAsiaTheme="minorEastAsia"/>
                      <w:szCs w:val="21"/>
                    </w:rPr>
                  </w:pPr>
                  <w:r>
                    <w:rPr>
                      <w:rFonts w:hint="eastAsia"/>
                      <w:kern w:val="0"/>
                      <w:szCs w:val="21"/>
                    </w:rPr>
                    <w:t>10</w:t>
                  </w:r>
                </w:p>
              </w:tc>
              <w:tc>
                <w:tcPr>
                  <w:tcW w:w="2175" w:type="dxa"/>
                  <w:vAlign w:val="center"/>
                </w:tcPr>
                <w:p>
                  <w:pPr>
                    <w:jc w:val="center"/>
                    <w:rPr>
                      <w:rFonts w:eastAsiaTheme="minorEastAsia"/>
                      <w:szCs w:val="21"/>
                    </w:rPr>
                  </w:pPr>
                  <w:r>
                    <w:rPr>
                      <w:rFonts w:eastAsiaTheme="minorEastAsia"/>
                      <w:szCs w:val="21"/>
                    </w:rPr>
                    <w:t>隔声、减振</w:t>
                  </w:r>
                </w:p>
              </w:tc>
            </w:tr>
            <w:tr>
              <w:tblPrEx>
                <w:tblBorders>
                  <w:top w:val="single" w:color="auto" w:sz="12" w:space="0"/>
                  <w:left w:val="none" w:color="auto" w:sz="0" w:space="0"/>
                  <w:bottom w:val="single" w:color="auto" w:sz="12"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90" w:hRule="atLeast"/>
                <w:jc w:val="center"/>
              </w:trPr>
              <w:tc>
                <w:tcPr>
                  <w:tcW w:w="2327" w:type="dxa"/>
                  <w:tcBorders>
                    <w:tl2br w:val="nil"/>
                    <w:tr2bl w:val="nil"/>
                  </w:tcBorders>
                  <w:vAlign w:val="center"/>
                </w:tcPr>
                <w:p>
                  <w:pPr>
                    <w:widowControl/>
                    <w:jc w:val="center"/>
                    <w:textAlignment w:val="center"/>
                    <w:rPr>
                      <w:rFonts w:hint="eastAsia" w:ascii="Times New Roman" w:hAnsi="Times New Roman" w:eastAsia="宋体" w:cs="Times New Roman"/>
                      <w:color w:val="000000" w:themeColor="text1"/>
                      <w:kern w:val="2"/>
                      <w:sz w:val="21"/>
                      <w:szCs w:val="21"/>
                      <w:lang w:val="en-US" w:eastAsia="zh-CN" w:bidi="ar-SA"/>
                      <w14:textFill>
                        <w14:solidFill>
                          <w14:schemeClr w14:val="tx1"/>
                        </w14:solidFill>
                      </w14:textFill>
                    </w:rPr>
                  </w:pPr>
                  <w:r>
                    <w:rPr>
                      <w:rFonts w:hint="eastAsia"/>
                      <w:color w:val="000000" w:themeColor="text1"/>
                      <w:szCs w:val="21"/>
                      <w:lang w:eastAsia="zh-CN"/>
                      <w14:textFill>
                        <w14:solidFill>
                          <w14:schemeClr w14:val="tx1"/>
                        </w14:solidFill>
                      </w14:textFill>
                    </w:rPr>
                    <w:t>镍钛锉测拉力机</w:t>
                  </w:r>
                </w:p>
              </w:tc>
              <w:tc>
                <w:tcPr>
                  <w:tcW w:w="945" w:type="dxa"/>
                  <w:tcBorders>
                    <w:tl2br w:val="nil"/>
                    <w:tr2bl w:val="nil"/>
                  </w:tcBorders>
                  <w:vAlign w:val="center"/>
                </w:tcPr>
                <w:p>
                  <w:pPr>
                    <w:widowControl/>
                    <w:jc w:val="center"/>
                    <w:textAlignment w:val="center"/>
                    <w:rPr>
                      <w:szCs w:val="21"/>
                    </w:rPr>
                  </w:pPr>
                  <w:r>
                    <w:rPr>
                      <w:rFonts w:hint="eastAsia" w:eastAsiaTheme="minorEastAsia"/>
                      <w:szCs w:val="21"/>
                    </w:rPr>
                    <w:t>车间内</w:t>
                  </w:r>
                </w:p>
              </w:tc>
              <w:tc>
                <w:tcPr>
                  <w:tcW w:w="1305" w:type="dxa"/>
                  <w:tcBorders>
                    <w:tl2br w:val="nil"/>
                    <w:tr2bl w:val="nil"/>
                  </w:tcBorders>
                  <w:vAlign w:val="center"/>
                </w:tcPr>
                <w:p>
                  <w:pPr>
                    <w:pStyle w:val="174"/>
                    <w:spacing w:line="240" w:lineRule="auto"/>
                    <w:jc w:val="center"/>
                    <w:rPr>
                      <w:rFonts w:hint="default" w:eastAsiaTheme="minorEastAsia"/>
                      <w:szCs w:val="21"/>
                      <w:lang w:val="en-US" w:eastAsia="zh-CN"/>
                    </w:rPr>
                  </w:pPr>
                  <w:r>
                    <w:rPr>
                      <w:rFonts w:hint="eastAsia" w:eastAsiaTheme="minorEastAsia"/>
                      <w:szCs w:val="21"/>
                      <w:lang w:val="en-US" w:eastAsia="zh-CN"/>
                    </w:rPr>
                    <w:t>80</w:t>
                  </w:r>
                </w:p>
              </w:tc>
              <w:tc>
                <w:tcPr>
                  <w:tcW w:w="1560" w:type="dxa"/>
                  <w:tcBorders>
                    <w:tl2br w:val="nil"/>
                    <w:tr2bl w:val="nil"/>
                  </w:tcBorders>
                  <w:vAlign w:val="center"/>
                </w:tcPr>
                <w:p>
                  <w:pPr>
                    <w:widowControl/>
                    <w:jc w:val="center"/>
                    <w:textAlignment w:val="center"/>
                    <w:rPr>
                      <w:rFonts w:eastAsiaTheme="minorEastAsia"/>
                      <w:szCs w:val="21"/>
                    </w:rPr>
                  </w:pPr>
                  <w:r>
                    <w:rPr>
                      <w:rFonts w:hint="eastAsia"/>
                      <w:kern w:val="0"/>
                      <w:szCs w:val="21"/>
                    </w:rPr>
                    <w:t>10</w:t>
                  </w:r>
                </w:p>
              </w:tc>
              <w:tc>
                <w:tcPr>
                  <w:tcW w:w="2175" w:type="dxa"/>
                  <w:vAlign w:val="center"/>
                </w:tcPr>
                <w:p>
                  <w:pPr>
                    <w:jc w:val="center"/>
                    <w:rPr>
                      <w:rFonts w:eastAsiaTheme="minorEastAsia"/>
                      <w:szCs w:val="21"/>
                    </w:rPr>
                  </w:pPr>
                  <w:r>
                    <w:rPr>
                      <w:rFonts w:eastAsiaTheme="minorEastAsia"/>
                      <w:szCs w:val="21"/>
                    </w:rPr>
                    <w:t>隔声、减振</w:t>
                  </w:r>
                </w:p>
              </w:tc>
            </w:tr>
            <w:tr>
              <w:tblPrEx>
                <w:tblBorders>
                  <w:top w:val="single" w:color="auto" w:sz="12" w:space="0"/>
                  <w:left w:val="none" w:color="auto" w:sz="0" w:space="0"/>
                  <w:bottom w:val="single" w:color="auto" w:sz="12"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90" w:hRule="atLeast"/>
                <w:jc w:val="center"/>
              </w:trPr>
              <w:tc>
                <w:tcPr>
                  <w:tcW w:w="2327" w:type="dxa"/>
                  <w:tcBorders>
                    <w:tl2br w:val="nil"/>
                    <w:tr2bl w:val="nil"/>
                  </w:tcBorders>
                  <w:vAlign w:val="center"/>
                </w:tcPr>
                <w:p>
                  <w:pPr>
                    <w:widowControl/>
                    <w:jc w:val="center"/>
                    <w:textAlignment w:val="center"/>
                    <w:rPr>
                      <w:rFonts w:hint="eastAsia" w:ascii="Times New Roman" w:hAnsi="Times New Roman" w:eastAsia="宋体" w:cs="Times New Roman"/>
                      <w:color w:val="000000" w:themeColor="text1"/>
                      <w:kern w:val="2"/>
                      <w:sz w:val="21"/>
                      <w:szCs w:val="21"/>
                      <w:lang w:val="en-US" w:eastAsia="zh-CN" w:bidi="ar-SA"/>
                      <w14:textFill>
                        <w14:solidFill>
                          <w14:schemeClr w14:val="tx1"/>
                        </w14:solidFill>
                      </w14:textFill>
                    </w:rPr>
                  </w:pPr>
                  <w:r>
                    <w:rPr>
                      <w:rFonts w:hint="eastAsia"/>
                      <w:color w:val="000000" w:themeColor="text1"/>
                      <w:szCs w:val="21"/>
                      <w:lang w:eastAsia="zh-CN"/>
                      <w14:textFill>
                        <w14:solidFill>
                          <w14:schemeClr w14:val="tx1"/>
                        </w14:solidFill>
                      </w14:textFill>
                    </w:rPr>
                    <w:t>注塑机</w:t>
                  </w:r>
                </w:p>
              </w:tc>
              <w:tc>
                <w:tcPr>
                  <w:tcW w:w="945" w:type="dxa"/>
                  <w:tcBorders>
                    <w:tl2br w:val="nil"/>
                    <w:tr2bl w:val="nil"/>
                  </w:tcBorders>
                  <w:vAlign w:val="center"/>
                </w:tcPr>
                <w:p>
                  <w:pPr>
                    <w:widowControl/>
                    <w:jc w:val="center"/>
                    <w:textAlignment w:val="center"/>
                    <w:rPr>
                      <w:szCs w:val="21"/>
                    </w:rPr>
                  </w:pPr>
                  <w:r>
                    <w:rPr>
                      <w:rFonts w:hint="eastAsia" w:eastAsiaTheme="minorEastAsia"/>
                      <w:szCs w:val="21"/>
                    </w:rPr>
                    <w:t>车间内</w:t>
                  </w:r>
                </w:p>
              </w:tc>
              <w:tc>
                <w:tcPr>
                  <w:tcW w:w="1305" w:type="dxa"/>
                  <w:tcBorders>
                    <w:tl2br w:val="nil"/>
                    <w:tr2bl w:val="nil"/>
                  </w:tcBorders>
                  <w:vAlign w:val="center"/>
                </w:tcPr>
                <w:p>
                  <w:pPr>
                    <w:pStyle w:val="174"/>
                    <w:spacing w:line="240" w:lineRule="auto"/>
                    <w:jc w:val="center"/>
                    <w:rPr>
                      <w:rFonts w:hint="default" w:eastAsiaTheme="minorEastAsia"/>
                      <w:szCs w:val="21"/>
                      <w:lang w:val="en-US" w:eastAsia="zh-CN"/>
                    </w:rPr>
                  </w:pPr>
                  <w:r>
                    <w:rPr>
                      <w:rFonts w:hint="eastAsia" w:eastAsiaTheme="minorEastAsia"/>
                      <w:szCs w:val="21"/>
                      <w:lang w:val="en-US" w:eastAsia="zh-CN"/>
                    </w:rPr>
                    <w:t>85</w:t>
                  </w:r>
                </w:p>
              </w:tc>
              <w:tc>
                <w:tcPr>
                  <w:tcW w:w="1560" w:type="dxa"/>
                  <w:tcBorders>
                    <w:tl2br w:val="nil"/>
                    <w:tr2bl w:val="nil"/>
                  </w:tcBorders>
                  <w:vAlign w:val="center"/>
                </w:tcPr>
                <w:p>
                  <w:pPr>
                    <w:widowControl/>
                    <w:jc w:val="center"/>
                    <w:textAlignment w:val="center"/>
                    <w:rPr>
                      <w:rFonts w:eastAsiaTheme="minorEastAsia"/>
                      <w:szCs w:val="21"/>
                    </w:rPr>
                  </w:pPr>
                  <w:r>
                    <w:rPr>
                      <w:rFonts w:hint="eastAsia"/>
                      <w:kern w:val="0"/>
                      <w:szCs w:val="21"/>
                    </w:rPr>
                    <w:t>5</w:t>
                  </w:r>
                </w:p>
              </w:tc>
              <w:tc>
                <w:tcPr>
                  <w:tcW w:w="2175" w:type="dxa"/>
                  <w:vAlign w:val="center"/>
                </w:tcPr>
                <w:p>
                  <w:pPr>
                    <w:jc w:val="center"/>
                    <w:rPr>
                      <w:rFonts w:eastAsiaTheme="minorEastAsia"/>
                      <w:szCs w:val="21"/>
                    </w:rPr>
                  </w:pPr>
                  <w:r>
                    <w:rPr>
                      <w:rFonts w:eastAsiaTheme="minorEastAsia"/>
                      <w:szCs w:val="21"/>
                    </w:rPr>
                    <w:t>隔声、减振</w:t>
                  </w:r>
                </w:p>
              </w:tc>
            </w:tr>
            <w:tr>
              <w:tblPrEx>
                <w:tblBorders>
                  <w:top w:val="single" w:color="auto" w:sz="12" w:space="0"/>
                  <w:left w:val="none" w:color="auto" w:sz="0" w:space="0"/>
                  <w:bottom w:val="single" w:color="auto" w:sz="12"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90" w:hRule="atLeast"/>
                <w:jc w:val="center"/>
              </w:trPr>
              <w:tc>
                <w:tcPr>
                  <w:tcW w:w="2327" w:type="dxa"/>
                  <w:tcBorders>
                    <w:tl2br w:val="nil"/>
                    <w:tr2bl w:val="nil"/>
                  </w:tcBorders>
                  <w:vAlign w:val="center"/>
                </w:tcPr>
                <w:p>
                  <w:pPr>
                    <w:widowControl/>
                    <w:jc w:val="center"/>
                    <w:textAlignment w:val="center"/>
                    <w:rPr>
                      <w:rFonts w:hint="eastAsia" w:ascii="Times New Roman" w:hAnsi="Times New Roman" w:eastAsia="宋体" w:cs="Times New Roman"/>
                      <w:color w:val="000000" w:themeColor="text1"/>
                      <w:kern w:val="2"/>
                      <w:sz w:val="21"/>
                      <w:szCs w:val="21"/>
                      <w:lang w:val="en-US" w:eastAsia="zh-CN" w:bidi="ar-SA"/>
                      <w14:textFill>
                        <w14:solidFill>
                          <w14:schemeClr w14:val="tx1"/>
                        </w14:solidFill>
                      </w14:textFill>
                    </w:rPr>
                  </w:pPr>
                  <w:r>
                    <w:rPr>
                      <w:rFonts w:hint="eastAsia"/>
                      <w:color w:val="000000" w:themeColor="text1"/>
                      <w:szCs w:val="21"/>
                      <w:lang w:eastAsia="zh-CN"/>
                      <w14:textFill>
                        <w14:solidFill>
                          <w14:schemeClr w14:val="tx1"/>
                        </w14:solidFill>
                      </w14:textFill>
                    </w:rPr>
                    <w:t>钢丝调直设备</w:t>
                  </w:r>
                </w:p>
              </w:tc>
              <w:tc>
                <w:tcPr>
                  <w:tcW w:w="945" w:type="dxa"/>
                  <w:tcBorders>
                    <w:tl2br w:val="nil"/>
                    <w:tr2bl w:val="nil"/>
                  </w:tcBorders>
                  <w:vAlign w:val="center"/>
                </w:tcPr>
                <w:p>
                  <w:pPr>
                    <w:widowControl/>
                    <w:jc w:val="center"/>
                    <w:textAlignment w:val="center"/>
                    <w:rPr>
                      <w:szCs w:val="21"/>
                    </w:rPr>
                  </w:pPr>
                  <w:r>
                    <w:rPr>
                      <w:rFonts w:hint="eastAsia" w:eastAsiaTheme="minorEastAsia"/>
                      <w:szCs w:val="21"/>
                    </w:rPr>
                    <w:t>车间内</w:t>
                  </w:r>
                </w:p>
              </w:tc>
              <w:tc>
                <w:tcPr>
                  <w:tcW w:w="1305" w:type="dxa"/>
                  <w:tcBorders>
                    <w:tl2br w:val="nil"/>
                    <w:tr2bl w:val="nil"/>
                  </w:tcBorders>
                  <w:vAlign w:val="center"/>
                </w:tcPr>
                <w:p>
                  <w:pPr>
                    <w:pStyle w:val="174"/>
                    <w:spacing w:line="240" w:lineRule="auto"/>
                    <w:jc w:val="center"/>
                    <w:rPr>
                      <w:rFonts w:hint="default" w:eastAsiaTheme="minorEastAsia"/>
                      <w:szCs w:val="21"/>
                      <w:lang w:val="en-US" w:eastAsia="zh-CN"/>
                    </w:rPr>
                  </w:pPr>
                  <w:r>
                    <w:rPr>
                      <w:rFonts w:hint="eastAsia" w:eastAsiaTheme="minorEastAsia"/>
                      <w:szCs w:val="21"/>
                      <w:lang w:val="en-US" w:eastAsia="zh-CN"/>
                    </w:rPr>
                    <w:t>85</w:t>
                  </w:r>
                </w:p>
              </w:tc>
              <w:tc>
                <w:tcPr>
                  <w:tcW w:w="1560" w:type="dxa"/>
                  <w:tcBorders>
                    <w:tl2br w:val="nil"/>
                    <w:tr2bl w:val="nil"/>
                  </w:tcBorders>
                  <w:vAlign w:val="center"/>
                </w:tcPr>
                <w:p>
                  <w:pPr>
                    <w:widowControl/>
                    <w:jc w:val="center"/>
                    <w:textAlignment w:val="center"/>
                    <w:rPr>
                      <w:rFonts w:eastAsiaTheme="minorEastAsia"/>
                      <w:szCs w:val="21"/>
                    </w:rPr>
                  </w:pPr>
                  <w:r>
                    <w:rPr>
                      <w:rFonts w:hint="eastAsia"/>
                      <w:kern w:val="0"/>
                      <w:szCs w:val="28"/>
                    </w:rPr>
                    <w:t>5</w:t>
                  </w:r>
                </w:p>
              </w:tc>
              <w:tc>
                <w:tcPr>
                  <w:tcW w:w="2175" w:type="dxa"/>
                  <w:vAlign w:val="center"/>
                </w:tcPr>
                <w:p>
                  <w:pPr>
                    <w:jc w:val="center"/>
                    <w:rPr>
                      <w:rFonts w:eastAsiaTheme="minorEastAsia"/>
                      <w:szCs w:val="21"/>
                    </w:rPr>
                  </w:pPr>
                  <w:r>
                    <w:rPr>
                      <w:rFonts w:eastAsiaTheme="minorEastAsia"/>
                      <w:szCs w:val="21"/>
                    </w:rPr>
                    <w:t>隔声、减振</w:t>
                  </w:r>
                </w:p>
              </w:tc>
            </w:tr>
            <w:tr>
              <w:tblPrEx>
                <w:tblBorders>
                  <w:top w:val="single" w:color="auto" w:sz="12" w:space="0"/>
                  <w:left w:val="none" w:color="auto" w:sz="0" w:space="0"/>
                  <w:bottom w:val="single" w:color="auto" w:sz="12"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90" w:hRule="atLeast"/>
                <w:jc w:val="center"/>
              </w:trPr>
              <w:tc>
                <w:tcPr>
                  <w:tcW w:w="2327" w:type="dxa"/>
                  <w:tcBorders>
                    <w:tl2br w:val="nil"/>
                    <w:tr2bl w:val="nil"/>
                  </w:tcBorders>
                  <w:vAlign w:val="center"/>
                </w:tcPr>
                <w:p>
                  <w:pPr>
                    <w:widowControl/>
                    <w:jc w:val="center"/>
                    <w:textAlignment w:val="center"/>
                    <w:rPr>
                      <w:rFonts w:hint="eastAsia"/>
                      <w:szCs w:val="21"/>
                      <w:lang w:eastAsia="zh-CN"/>
                    </w:rPr>
                  </w:pPr>
                  <w:r>
                    <w:rPr>
                      <w:rFonts w:hint="eastAsia"/>
                      <w:szCs w:val="21"/>
                      <w:lang w:eastAsia="zh-CN"/>
                    </w:rPr>
                    <w:t>冷却机</w:t>
                  </w:r>
                </w:p>
              </w:tc>
              <w:tc>
                <w:tcPr>
                  <w:tcW w:w="945" w:type="dxa"/>
                  <w:tcBorders>
                    <w:tl2br w:val="nil"/>
                    <w:tr2bl w:val="nil"/>
                  </w:tcBorders>
                  <w:vAlign w:val="center"/>
                </w:tcPr>
                <w:p>
                  <w:pPr>
                    <w:widowControl/>
                    <w:jc w:val="center"/>
                    <w:textAlignment w:val="center"/>
                    <w:rPr>
                      <w:rFonts w:hint="eastAsia" w:eastAsiaTheme="minorEastAsia"/>
                      <w:szCs w:val="21"/>
                    </w:rPr>
                  </w:pPr>
                  <w:r>
                    <w:rPr>
                      <w:rFonts w:hint="eastAsia" w:eastAsiaTheme="minorEastAsia"/>
                      <w:szCs w:val="21"/>
                    </w:rPr>
                    <w:t>车间内</w:t>
                  </w:r>
                </w:p>
              </w:tc>
              <w:tc>
                <w:tcPr>
                  <w:tcW w:w="1305" w:type="dxa"/>
                  <w:tcBorders>
                    <w:tl2br w:val="nil"/>
                    <w:tr2bl w:val="nil"/>
                  </w:tcBorders>
                  <w:vAlign w:val="center"/>
                </w:tcPr>
                <w:p>
                  <w:pPr>
                    <w:pStyle w:val="174"/>
                    <w:spacing w:line="240" w:lineRule="auto"/>
                    <w:jc w:val="center"/>
                    <w:rPr>
                      <w:rFonts w:hint="default" w:eastAsiaTheme="minorEastAsia"/>
                      <w:szCs w:val="21"/>
                      <w:lang w:val="en-US" w:eastAsia="zh-CN"/>
                    </w:rPr>
                  </w:pPr>
                  <w:r>
                    <w:rPr>
                      <w:rFonts w:hint="eastAsia" w:eastAsiaTheme="minorEastAsia"/>
                      <w:szCs w:val="21"/>
                      <w:lang w:val="en-US" w:eastAsia="zh-CN"/>
                    </w:rPr>
                    <w:t>80</w:t>
                  </w:r>
                </w:p>
              </w:tc>
              <w:tc>
                <w:tcPr>
                  <w:tcW w:w="1560" w:type="dxa"/>
                  <w:tcBorders>
                    <w:tl2br w:val="nil"/>
                    <w:tr2bl w:val="nil"/>
                  </w:tcBorders>
                  <w:vAlign w:val="center"/>
                </w:tcPr>
                <w:p>
                  <w:pPr>
                    <w:widowControl/>
                    <w:jc w:val="center"/>
                    <w:textAlignment w:val="center"/>
                    <w:rPr>
                      <w:rFonts w:hint="eastAsia"/>
                      <w:kern w:val="0"/>
                      <w:szCs w:val="28"/>
                    </w:rPr>
                  </w:pPr>
                  <w:r>
                    <w:rPr>
                      <w:rFonts w:hint="eastAsia"/>
                      <w:kern w:val="0"/>
                      <w:szCs w:val="28"/>
                    </w:rPr>
                    <w:t>1</w:t>
                  </w:r>
                </w:p>
              </w:tc>
              <w:tc>
                <w:tcPr>
                  <w:tcW w:w="2175" w:type="dxa"/>
                  <w:vAlign w:val="center"/>
                </w:tcPr>
                <w:p>
                  <w:pPr>
                    <w:jc w:val="center"/>
                    <w:rPr>
                      <w:rFonts w:eastAsiaTheme="minorEastAsia"/>
                      <w:szCs w:val="21"/>
                    </w:rPr>
                  </w:pPr>
                  <w:r>
                    <w:rPr>
                      <w:rFonts w:eastAsiaTheme="minorEastAsia"/>
                      <w:szCs w:val="21"/>
                    </w:rPr>
                    <w:t>隔声、减振</w:t>
                  </w:r>
                </w:p>
              </w:tc>
            </w:tr>
            <w:tr>
              <w:tblPrEx>
                <w:tblBorders>
                  <w:top w:val="single" w:color="auto" w:sz="12" w:space="0"/>
                  <w:left w:val="none" w:color="auto" w:sz="0" w:space="0"/>
                  <w:bottom w:val="single" w:color="auto" w:sz="12"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90" w:hRule="atLeast"/>
                <w:jc w:val="center"/>
              </w:trPr>
              <w:tc>
                <w:tcPr>
                  <w:tcW w:w="2327" w:type="dxa"/>
                  <w:tcBorders>
                    <w:tl2br w:val="nil"/>
                    <w:tr2bl w:val="nil"/>
                  </w:tcBorders>
                  <w:vAlign w:val="center"/>
                </w:tcPr>
                <w:p>
                  <w:pPr>
                    <w:widowControl/>
                    <w:jc w:val="center"/>
                    <w:textAlignment w:val="center"/>
                    <w:rPr>
                      <w:rFonts w:hint="eastAsia" w:eastAsia="宋体"/>
                      <w:szCs w:val="21"/>
                      <w:lang w:eastAsia="zh-CN"/>
                    </w:rPr>
                  </w:pPr>
                  <w:r>
                    <w:rPr>
                      <w:rFonts w:hint="eastAsia"/>
                      <w:szCs w:val="21"/>
                      <w:lang w:eastAsia="zh-CN"/>
                    </w:rPr>
                    <w:t>空压机组</w:t>
                  </w:r>
                </w:p>
              </w:tc>
              <w:tc>
                <w:tcPr>
                  <w:tcW w:w="945" w:type="dxa"/>
                  <w:tcBorders>
                    <w:tl2br w:val="nil"/>
                    <w:tr2bl w:val="nil"/>
                  </w:tcBorders>
                  <w:vAlign w:val="center"/>
                </w:tcPr>
                <w:p>
                  <w:pPr>
                    <w:widowControl/>
                    <w:jc w:val="center"/>
                    <w:textAlignment w:val="center"/>
                    <w:rPr>
                      <w:szCs w:val="21"/>
                    </w:rPr>
                  </w:pPr>
                  <w:r>
                    <w:rPr>
                      <w:rFonts w:hint="eastAsia" w:eastAsiaTheme="minorEastAsia"/>
                      <w:szCs w:val="21"/>
                    </w:rPr>
                    <w:t>车间内</w:t>
                  </w:r>
                </w:p>
              </w:tc>
              <w:tc>
                <w:tcPr>
                  <w:tcW w:w="1305" w:type="dxa"/>
                  <w:tcBorders>
                    <w:tl2br w:val="nil"/>
                    <w:tr2bl w:val="nil"/>
                  </w:tcBorders>
                  <w:vAlign w:val="center"/>
                </w:tcPr>
                <w:p>
                  <w:pPr>
                    <w:pStyle w:val="174"/>
                    <w:spacing w:line="240" w:lineRule="auto"/>
                    <w:jc w:val="center"/>
                    <w:rPr>
                      <w:rFonts w:hint="default" w:eastAsiaTheme="minorEastAsia"/>
                      <w:szCs w:val="21"/>
                      <w:lang w:val="en-US" w:eastAsia="zh-CN"/>
                    </w:rPr>
                  </w:pPr>
                  <w:r>
                    <w:rPr>
                      <w:rFonts w:hint="eastAsia" w:eastAsiaTheme="minorEastAsia"/>
                      <w:szCs w:val="21"/>
                      <w:lang w:val="en-US" w:eastAsia="zh-CN"/>
                    </w:rPr>
                    <w:t>90</w:t>
                  </w:r>
                </w:p>
              </w:tc>
              <w:tc>
                <w:tcPr>
                  <w:tcW w:w="1560" w:type="dxa"/>
                  <w:tcBorders>
                    <w:tl2br w:val="nil"/>
                    <w:tr2bl w:val="nil"/>
                  </w:tcBorders>
                  <w:vAlign w:val="center"/>
                </w:tcPr>
                <w:p>
                  <w:pPr>
                    <w:widowControl/>
                    <w:jc w:val="center"/>
                    <w:textAlignment w:val="center"/>
                    <w:rPr>
                      <w:szCs w:val="21"/>
                    </w:rPr>
                  </w:pPr>
                  <w:r>
                    <w:rPr>
                      <w:rFonts w:hint="eastAsia"/>
                      <w:color w:val="000000" w:themeColor="text1"/>
                      <w:kern w:val="0"/>
                      <w:szCs w:val="28"/>
                      <w:lang w:val="en-US" w:eastAsia="zh-CN"/>
                      <w14:textFill>
                        <w14:solidFill>
                          <w14:schemeClr w14:val="tx1"/>
                        </w14:solidFill>
                      </w14:textFill>
                    </w:rPr>
                    <w:t>5</w:t>
                  </w:r>
                </w:p>
              </w:tc>
              <w:tc>
                <w:tcPr>
                  <w:tcW w:w="2175" w:type="dxa"/>
                  <w:vAlign w:val="center"/>
                </w:tcPr>
                <w:p>
                  <w:pPr>
                    <w:jc w:val="center"/>
                    <w:rPr>
                      <w:rFonts w:eastAsiaTheme="minorEastAsia"/>
                      <w:szCs w:val="21"/>
                    </w:rPr>
                  </w:pPr>
                  <w:r>
                    <w:rPr>
                      <w:rFonts w:hint="eastAsia" w:eastAsiaTheme="minorEastAsia"/>
                      <w:szCs w:val="21"/>
                      <w:lang w:eastAsia="zh-CN"/>
                    </w:rPr>
                    <w:t>隔声罩</w:t>
                  </w:r>
                  <w:r>
                    <w:rPr>
                      <w:rFonts w:eastAsiaTheme="minorEastAsia"/>
                      <w:szCs w:val="21"/>
                    </w:rPr>
                    <w:t>、减振</w:t>
                  </w:r>
                </w:p>
              </w:tc>
            </w:tr>
            <w:tr>
              <w:tblPrEx>
                <w:tblBorders>
                  <w:top w:val="single" w:color="auto" w:sz="12" w:space="0"/>
                  <w:left w:val="none" w:color="auto" w:sz="0" w:space="0"/>
                  <w:bottom w:val="single" w:color="auto" w:sz="12"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90" w:hRule="atLeast"/>
                <w:jc w:val="center"/>
              </w:trPr>
              <w:tc>
                <w:tcPr>
                  <w:tcW w:w="2327" w:type="dxa"/>
                  <w:tcBorders>
                    <w:tl2br w:val="nil"/>
                    <w:tr2bl w:val="nil"/>
                  </w:tcBorders>
                  <w:vAlign w:val="center"/>
                </w:tcPr>
                <w:p>
                  <w:pPr>
                    <w:widowControl/>
                    <w:jc w:val="center"/>
                    <w:textAlignment w:val="center"/>
                    <w:rPr>
                      <w:rFonts w:hint="eastAsia" w:eastAsia="宋体"/>
                      <w:szCs w:val="21"/>
                      <w:lang w:eastAsia="zh-CN"/>
                    </w:rPr>
                  </w:pPr>
                  <w:r>
                    <w:rPr>
                      <w:rFonts w:hint="eastAsia"/>
                      <w:szCs w:val="21"/>
                      <w:lang w:eastAsia="zh-CN"/>
                    </w:rPr>
                    <w:t>风机</w:t>
                  </w:r>
                </w:p>
              </w:tc>
              <w:tc>
                <w:tcPr>
                  <w:tcW w:w="945" w:type="dxa"/>
                  <w:tcBorders>
                    <w:tl2br w:val="nil"/>
                    <w:tr2bl w:val="nil"/>
                  </w:tcBorders>
                  <w:vAlign w:val="center"/>
                </w:tcPr>
                <w:p>
                  <w:pPr>
                    <w:widowControl/>
                    <w:jc w:val="center"/>
                    <w:textAlignment w:val="center"/>
                    <w:rPr>
                      <w:szCs w:val="21"/>
                    </w:rPr>
                  </w:pPr>
                  <w:r>
                    <w:rPr>
                      <w:rFonts w:hint="eastAsia" w:eastAsiaTheme="minorEastAsia"/>
                      <w:szCs w:val="21"/>
                    </w:rPr>
                    <w:t>车间内</w:t>
                  </w:r>
                </w:p>
              </w:tc>
              <w:tc>
                <w:tcPr>
                  <w:tcW w:w="1305" w:type="dxa"/>
                  <w:tcBorders>
                    <w:tl2br w:val="nil"/>
                    <w:tr2bl w:val="nil"/>
                  </w:tcBorders>
                  <w:vAlign w:val="center"/>
                </w:tcPr>
                <w:p>
                  <w:pPr>
                    <w:pStyle w:val="174"/>
                    <w:spacing w:line="240" w:lineRule="auto"/>
                    <w:jc w:val="center"/>
                    <w:rPr>
                      <w:rFonts w:hint="default" w:eastAsiaTheme="minorEastAsia"/>
                      <w:szCs w:val="21"/>
                      <w:lang w:val="en-US" w:eastAsia="zh-CN"/>
                    </w:rPr>
                  </w:pPr>
                  <w:r>
                    <w:rPr>
                      <w:rFonts w:hint="eastAsia" w:eastAsiaTheme="minorEastAsia"/>
                      <w:szCs w:val="21"/>
                      <w:lang w:val="en-US" w:eastAsia="zh-CN"/>
                    </w:rPr>
                    <w:t>85</w:t>
                  </w:r>
                </w:p>
              </w:tc>
              <w:tc>
                <w:tcPr>
                  <w:tcW w:w="1560" w:type="dxa"/>
                  <w:tcBorders>
                    <w:tl2br w:val="nil"/>
                    <w:tr2bl w:val="nil"/>
                  </w:tcBorders>
                  <w:vAlign w:val="center"/>
                </w:tcPr>
                <w:p>
                  <w:pPr>
                    <w:widowControl/>
                    <w:jc w:val="center"/>
                    <w:textAlignment w:val="center"/>
                    <w:rPr>
                      <w:rFonts w:hint="eastAsia" w:eastAsia="宋体"/>
                      <w:szCs w:val="21"/>
                      <w:lang w:eastAsia="zh-CN"/>
                    </w:rPr>
                  </w:pPr>
                  <w:r>
                    <w:rPr>
                      <w:rFonts w:hint="eastAsia"/>
                      <w:kern w:val="0"/>
                      <w:szCs w:val="28"/>
                      <w:lang w:val="en-US" w:eastAsia="zh-CN"/>
                    </w:rPr>
                    <w:t>1</w:t>
                  </w:r>
                </w:p>
              </w:tc>
              <w:tc>
                <w:tcPr>
                  <w:tcW w:w="2175" w:type="dxa"/>
                  <w:vAlign w:val="center"/>
                </w:tcPr>
                <w:p>
                  <w:pPr>
                    <w:jc w:val="center"/>
                    <w:rPr>
                      <w:rFonts w:hint="eastAsia" w:eastAsiaTheme="minorEastAsia"/>
                      <w:szCs w:val="21"/>
                      <w:lang w:eastAsia="zh-CN"/>
                    </w:rPr>
                  </w:pPr>
                  <w:r>
                    <w:rPr>
                      <w:rFonts w:eastAsiaTheme="minorEastAsia"/>
                      <w:szCs w:val="21"/>
                    </w:rPr>
                    <w:t>隔声、减振</w:t>
                  </w:r>
                  <w:r>
                    <w:rPr>
                      <w:rFonts w:hint="eastAsia" w:eastAsiaTheme="minorEastAsia"/>
                      <w:szCs w:val="21"/>
                      <w:lang w:eastAsia="zh-CN"/>
                    </w:rPr>
                    <w:t>、消音器</w:t>
                  </w:r>
                </w:p>
              </w:tc>
            </w:tr>
          </w:tbl>
          <w:p>
            <w:pPr>
              <w:spacing w:line="360" w:lineRule="auto"/>
              <w:ind w:firstLine="480" w:firstLineChars="200"/>
              <w:rPr>
                <w:sz w:val="24"/>
                <w:szCs w:val="24"/>
              </w:rPr>
            </w:pPr>
            <w:r>
              <w:rPr>
                <w:sz w:val="24"/>
                <w:szCs w:val="24"/>
              </w:rPr>
              <w:t>以上设备噪声值较大，若处理不当，将会对周围声环境造成一定影响。建议项目建设单位采取一定方式对噪声污染进行防治：</w:t>
            </w:r>
          </w:p>
          <w:p>
            <w:pPr>
              <w:spacing w:line="360" w:lineRule="auto"/>
              <w:ind w:firstLine="480" w:firstLineChars="200"/>
              <w:rPr>
                <w:sz w:val="24"/>
                <w:szCs w:val="24"/>
              </w:rPr>
            </w:pPr>
            <w:r>
              <w:rPr>
                <w:rFonts w:hint="eastAsia" w:ascii="宋体" w:cs="宋体"/>
                <w:sz w:val="24"/>
                <w:szCs w:val="24"/>
              </w:rPr>
              <w:t>①</w:t>
            </w:r>
            <w:r>
              <w:rPr>
                <w:sz w:val="24"/>
                <w:szCs w:val="24"/>
              </w:rPr>
              <w:t>尽量选择低噪声和符合国家噪声标准的生产设备，并进行定期检修维护，使其处于良好运行状态；在设备的基础与地面之间安装减振垫，减少机械振动产生的噪声污染。</w:t>
            </w:r>
          </w:p>
          <w:p>
            <w:pPr>
              <w:spacing w:line="360" w:lineRule="auto"/>
              <w:ind w:firstLine="480" w:firstLineChars="200"/>
              <w:rPr>
                <w:sz w:val="24"/>
                <w:szCs w:val="24"/>
              </w:rPr>
            </w:pPr>
            <w:r>
              <w:rPr>
                <w:rFonts w:hint="eastAsia" w:ascii="宋体" w:cs="宋体"/>
                <w:sz w:val="24"/>
                <w:szCs w:val="24"/>
              </w:rPr>
              <w:t>②</w:t>
            </w:r>
            <w:r>
              <w:rPr>
                <w:sz w:val="24"/>
                <w:szCs w:val="24"/>
              </w:rPr>
              <w:t>加强车间的隔音措施，如安装隔声门窗</w:t>
            </w:r>
            <w:r>
              <w:rPr>
                <w:rFonts w:hint="eastAsia"/>
                <w:sz w:val="24"/>
                <w:szCs w:val="24"/>
              </w:rPr>
              <w:t>，</w:t>
            </w:r>
            <w:r>
              <w:rPr>
                <w:sz w:val="24"/>
                <w:szCs w:val="24"/>
              </w:rPr>
              <w:t>尽量少开启门窗。对工人采取适当的劳动保护措施，减小职业伤害。</w:t>
            </w:r>
          </w:p>
          <w:p>
            <w:pPr>
              <w:spacing w:line="360" w:lineRule="auto"/>
              <w:ind w:firstLine="480" w:firstLineChars="200"/>
              <w:rPr>
                <w:sz w:val="24"/>
                <w:szCs w:val="24"/>
              </w:rPr>
            </w:pPr>
            <w:r>
              <w:rPr>
                <w:rFonts w:hint="eastAsia" w:ascii="宋体" w:cs="宋体"/>
                <w:sz w:val="24"/>
                <w:szCs w:val="24"/>
              </w:rPr>
              <w:t>③</w:t>
            </w:r>
            <w:r>
              <w:rPr>
                <w:sz w:val="24"/>
                <w:szCs w:val="24"/>
              </w:rPr>
              <w:t>合理布局，合理布置厂内各功能区的位置及车间内部设备的位置，将高噪声设备尽量安置在厂区中间位置以增加其距离衰减量，减少对周围环境的影响。</w:t>
            </w:r>
          </w:p>
          <w:p>
            <w:pPr>
              <w:spacing w:line="360" w:lineRule="auto"/>
              <w:ind w:firstLine="480" w:firstLineChars="200"/>
              <w:rPr>
                <w:b/>
                <w:sz w:val="24"/>
                <w:szCs w:val="24"/>
              </w:rPr>
            </w:pPr>
            <w:r>
              <w:rPr>
                <w:b/>
                <w:sz w:val="24"/>
                <w:szCs w:val="24"/>
              </w:rPr>
              <w:t>4、固废</w:t>
            </w:r>
          </w:p>
          <w:p>
            <w:pPr>
              <w:spacing w:line="360" w:lineRule="auto"/>
              <w:ind w:firstLine="480" w:firstLineChars="200"/>
              <w:rPr>
                <w:sz w:val="24"/>
                <w:szCs w:val="24"/>
              </w:rPr>
            </w:pPr>
            <w:r>
              <w:rPr>
                <w:rFonts w:hint="eastAsia"/>
                <w:sz w:val="24"/>
                <w:szCs w:val="24"/>
              </w:rPr>
              <w:t>本项目</w:t>
            </w:r>
            <w:r>
              <w:rPr>
                <w:sz w:val="24"/>
                <w:szCs w:val="24"/>
              </w:rPr>
              <w:t>生产运行期产生的</w:t>
            </w:r>
            <w:r>
              <w:rPr>
                <w:rFonts w:hint="eastAsia"/>
                <w:sz w:val="24"/>
                <w:szCs w:val="24"/>
                <w:lang w:eastAsia="zh-CN"/>
              </w:rPr>
              <w:t>一般工业</w:t>
            </w:r>
            <w:r>
              <w:rPr>
                <w:sz w:val="24"/>
                <w:szCs w:val="24"/>
              </w:rPr>
              <w:t>固废主要为</w:t>
            </w:r>
            <w:r>
              <w:rPr>
                <w:rFonts w:hint="eastAsia"/>
                <w:sz w:val="24"/>
                <w:szCs w:val="24"/>
              </w:rPr>
              <w:t>废包装材料</w:t>
            </w:r>
            <w:r>
              <w:rPr>
                <w:rFonts w:hint="eastAsia"/>
                <w:sz w:val="24"/>
                <w:szCs w:val="24"/>
                <w:lang w:eastAsia="zh-CN"/>
              </w:rPr>
              <w:t>、不合格产品和废金属碎屑</w:t>
            </w:r>
            <w:r>
              <w:rPr>
                <w:rFonts w:hint="eastAsia"/>
                <w:sz w:val="24"/>
                <w:szCs w:val="24"/>
              </w:rPr>
              <w:t>；</w:t>
            </w:r>
            <w:r>
              <w:rPr>
                <w:rFonts w:hint="eastAsia"/>
                <w:sz w:val="24"/>
                <w:szCs w:val="24"/>
                <w:lang w:eastAsia="zh-CN"/>
              </w:rPr>
              <w:t>危险废物为成型工序产生的废切削液、废气处理产生的废活性炭、设备维护时产生的废润滑油、废包装桶和废含油抹布；</w:t>
            </w:r>
            <w:r>
              <w:rPr>
                <w:rFonts w:hint="eastAsia"/>
                <w:sz w:val="24"/>
                <w:szCs w:val="24"/>
              </w:rPr>
              <w:t>员工日常生活产生的生活垃圾。</w:t>
            </w:r>
          </w:p>
          <w:p>
            <w:pPr>
              <w:spacing w:line="360" w:lineRule="auto"/>
              <w:ind w:left="465"/>
              <w:rPr>
                <w:b/>
                <w:sz w:val="24"/>
                <w:szCs w:val="24"/>
              </w:rPr>
            </w:pPr>
            <w:r>
              <w:rPr>
                <w:rFonts w:hint="eastAsia"/>
                <w:b/>
                <w:sz w:val="24"/>
                <w:szCs w:val="24"/>
              </w:rPr>
              <w:t>①一般工业固废</w:t>
            </w:r>
          </w:p>
          <w:p>
            <w:pPr>
              <w:numPr>
                <w:ilvl w:val="0"/>
                <w:numId w:val="7"/>
              </w:numPr>
              <w:spacing w:line="360" w:lineRule="auto"/>
              <w:ind w:firstLine="465"/>
              <w:rPr>
                <w:sz w:val="24"/>
                <w:szCs w:val="24"/>
              </w:rPr>
            </w:pPr>
            <w:r>
              <w:rPr>
                <w:rFonts w:hint="eastAsia"/>
                <w:b/>
                <w:sz w:val="24"/>
                <w:szCs w:val="24"/>
              </w:rPr>
              <w:t>废包装材料：</w:t>
            </w:r>
            <w:r>
              <w:rPr>
                <w:sz w:val="24"/>
                <w:szCs w:val="24"/>
              </w:rPr>
              <w:t>本项目</w:t>
            </w:r>
            <w:r>
              <w:rPr>
                <w:rFonts w:hint="eastAsia"/>
                <w:sz w:val="24"/>
                <w:szCs w:val="24"/>
                <w:lang w:eastAsia="zh-CN"/>
              </w:rPr>
              <w:t>原料拆封产生的废包装袋，</w:t>
            </w:r>
            <w:r>
              <w:rPr>
                <w:rFonts w:hint="eastAsia"/>
                <w:sz w:val="24"/>
                <w:szCs w:val="24"/>
              </w:rPr>
              <w:t>产生量约为0.</w:t>
            </w:r>
            <w:r>
              <w:rPr>
                <w:rFonts w:hint="eastAsia"/>
                <w:sz w:val="24"/>
                <w:szCs w:val="24"/>
                <w:lang w:val="en-US" w:eastAsia="zh-CN"/>
              </w:rPr>
              <w:t>01</w:t>
            </w:r>
            <w:r>
              <w:rPr>
                <w:rFonts w:hint="eastAsia"/>
                <w:sz w:val="24"/>
                <w:szCs w:val="24"/>
              </w:rPr>
              <w:t>t/a。经分类收集后外售；</w:t>
            </w:r>
          </w:p>
          <w:p>
            <w:pPr>
              <w:numPr>
                <w:ilvl w:val="0"/>
                <w:numId w:val="7"/>
              </w:numPr>
              <w:spacing w:line="360" w:lineRule="auto"/>
              <w:ind w:firstLine="465"/>
              <w:rPr>
                <w:sz w:val="24"/>
                <w:szCs w:val="24"/>
              </w:rPr>
            </w:pPr>
            <w:r>
              <w:rPr>
                <w:rFonts w:hint="eastAsia" w:ascii="宋体" w:hAnsi="宋体"/>
                <w:b/>
                <w:sz w:val="24"/>
                <w:lang w:eastAsia="zh-CN"/>
              </w:rPr>
              <w:t>不合格产品</w:t>
            </w:r>
            <w:r>
              <w:rPr>
                <w:rFonts w:hint="eastAsia"/>
                <w:b/>
                <w:sz w:val="24"/>
                <w:szCs w:val="24"/>
              </w:rPr>
              <w:t>：</w:t>
            </w:r>
            <w:r>
              <w:rPr>
                <w:rFonts w:hint="eastAsia"/>
                <w:b w:val="0"/>
                <w:bCs/>
                <w:sz w:val="24"/>
                <w:szCs w:val="24"/>
                <w:lang w:eastAsia="zh-CN"/>
              </w:rPr>
              <w:t>注塑工序产生的不合格产品，产生量约</w:t>
            </w:r>
            <w:r>
              <w:rPr>
                <w:rFonts w:hint="eastAsia"/>
                <w:b w:val="0"/>
                <w:bCs/>
                <w:sz w:val="24"/>
                <w:szCs w:val="24"/>
                <w:lang w:val="en-US" w:eastAsia="zh-CN"/>
              </w:rPr>
              <w:t>0.05t/a；</w:t>
            </w:r>
            <w:r>
              <w:rPr>
                <w:rFonts w:hint="eastAsia"/>
                <w:b w:val="0"/>
                <w:bCs/>
                <w:sz w:val="24"/>
                <w:szCs w:val="24"/>
              </w:rPr>
              <w:t>经</w:t>
            </w:r>
            <w:r>
              <w:rPr>
                <w:rFonts w:hint="eastAsia"/>
                <w:sz w:val="24"/>
                <w:szCs w:val="24"/>
              </w:rPr>
              <w:t>收集后外售；</w:t>
            </w:r>
          </w:p>
          <w:p>
            <w:pPr>
              <w:pStyle w:val="21"/>
              <w:spacing w:line="360" w:lineRule="auto"/>
              <w:ind w:firstLine="480" w:firstLineChars="200"/>
              <w:rPr>
                <w:rFonts w:hint="default" w:eastAsia="宋体"/>
                <w:sz w:val="24"/>
                <w:szCs w:val="24"/>
                <w:lang w:val="en-US" w:eastAsia="zh-CN"/>
              </w:rPr>
            </w:pPr>
            <w:r>
              <w:rPr>
                <w:rFonts w:hint="eastAsia"/>
                <w:sz w:val="24"/>
                <w:szCs w:val="24"/>
                <w:lang w:val="en-US" w:eastAsia="zh-CN"/>
              </w:rPr>
              <w:t>C</w:t>
            </w:r>
            <w:r>
              <w:rPr>
                <w:rFonts w:hint="eastAsia"/>
                <w:b/>
                <w:bCs/>
                <w:color w:val="auto"/>
                <w:sz w:val="24"/>
                <w:szCs w:val="24"/>
                <w:lang w:val="en-US" w:eastAsia="zh-CN"/>
              </w:rPr>
              <w:t>、废金属碎屑：</w:t>
            </w:r>
            <w:r>
              <w:rPr>
                <w:rFonts w:hint="eastAsia"/>
                <w:b w:val="0"/>
                <w:bCs w:val="0"/>
                <w:color w:val="auto"/>
                <w:sz w:val="24"/>
                <w:szCs w:val="24"/>
                <w:lang w:val="en-US" w:eastAsia="zh-CN"/>
              </w:rPr>
              <w:t>成型工序产生的废金属碎屑，产生量约0.05t/a，经收集后外售。</w:t>
            </w:r>
          </w:p>
          <w:p>
            <w:pPr>
              <w:adjustRightInd w:val="0"/>
              <w:snapToGrid w:val="0"/>
              <w:spacing w:line="360" w:lineRule="auto"/>
              <w:ind w:firstLine="480" w:firstLineChars="200"/>
              <w:rPr>
                <w:b/>
                <w:bCs/>
                <w:sz w:val="24"/>
              </w:rPr>
            </w:pPr>
            <w:r>
              <w:rPr>
                <w:rFonts w:hint="eastAsia"/>
                <w:b/>
                <w:bCs/>
                <w:sz w:val="24"/>
              </w:rPr>
              <w:t>②危险废物</w:t>
            </w:r>
          </w:p>
          <w:p>
            <w:pPr>
              <w:spacing w:line="360" w:lineRule="auto"/>
              <w:ind w:firstLine="465"/>
              <w:rPr>
                <w:b/>
                <w:sz w:val="24"/>
              </w:rPr>
            </w:pPr>
            <w:r>
              <w:rPr>
                <w:rFonts w:hint="eastAsia"/>
                <w:b/>
                <w:sz w:val="24"/>
              </w:rPr>
              <w:t>A</w:t>
            </w:r>
            <w:r>
              <w:rPr>
                <w:b/>
                <w:sz w:val="24"/>
              </w:rPr>
              <w:t>.</w:t>
            </w:r>
            <w:r>
              <w:rPr>
                <w:rFonts w:hint="eastAsia"/>
                <w:b/>
                <w:sz w:val="24"/>
              </w:rPr>
              <w:t>废</w:t>
            </w:r>
            <w:r>
              <w:rPr>
                <w:rFonts w:hint="eastAsia"/>
                <w:b/>
                <w:sz w:val="24"/>
                <w:lang w:eastAsia="zh-CN"/>
              </w:rPr>
              <w:t>切削液</w:t>
            </w:r>
            <w:r>
              <w:rPr>
                <w:b/>
                <w:sz w:val="24"/>
              </w:rPr>
              <w:t>：</w:t>
            </w:r>
          </w:p>
          <w:p>
            <w:pPr>
              <w:spacing w:line="360" w:lineRule="auto"/>
              <w:ind w:firstLine="465"/>
              <w:rPr>
                <w:sz w:val="24"/>
                <w:szCs w:val="24"/>
              </w:rPr>
            </w:pPr>
            <w:r>
              <w:rPr>
                <w:rFonts w:hint="eastAsia"/>
                <w:sz w:val="24"/>
                <w:szCs w:val="24"/>
              </w:rPr>
              <w:t>本项目切削液用量为0.4</w:t>
            </w:r>
            <w:r>
              <w:rPr>
                <w:sz w:val="24"/>
                <w:szCs w:val="24"/>
              </w:rPr>
              <w:t>t/a，</w:t>
            </w:r>
            <w:r>
              <w:rPr>
                <w:rFonts w:hint="eastAsia"/>
                <w:sz w:val="24"/>
                <w:szCs w:val="24"/>
              </w:rPr>
              <w:t>与水1:20比例稀释后使用，配置用水量为</w:t>
            </w:r>
            <w:r>
              <w:rPr>
                <w:rFonts w:hint="eastAsia"/>
                <w:sz w:val="24"/>
                <w:szCs w:val="24"/>
                <w:lang w:val="en-US" w:eastAsia="zh-CN"/>
              </w:rPr>
              <w:t>8.4</w:t>
            </w:r>
            <w:r>
              <w:rPr>
                <w:sz w:val="24"/>
                <w:szCs w:val="24"/>
              </w:rPr>
              <w:t>t/a</w:t>
            </w:r>
            <w:r>
              <w:rPr>
                <w:rFonts w:hint="eastAsia"/>
                <w:sz w:val="24"/>
                <w:szCs w:val="24"/>
              </w:rPr>
              <w:t>，切削液循环使用。</w:t>
            </w:r>
            <w:r>
              <w:rPr>
                <w:rFonts w:hint="eastAsia"/>
                <w:sz w:val="24"/>
                <w:szCs w:val="24"/>
                <w:lang w:eastAsia="zh-CN"/>
              </w:rPr>
              <w:t>根据建设单位提供资料，成型</w:t>
            </w:r>
            <w:r>
              <w:rPr>
                <w:rFonts w:hint="eastAsia"/>
                <w:sz w:val="24"/>
                <w:szCs w:val="24"/>
              </w:rPr>
              <w:t>过程中切削液大部分损耗，</w:t>
            </w:r>
            <w:r>
              <w:rPr>
                <w:sz w:val="24"/>
                <w:szCs w:val="24"/>
              </w:rPr>
              <w:t>废</w:t>
            </w:r>
            <w:r>
              <w:rPr>
                <w:rFonts w:hint="eastAsia"/>
                <w:sz w:val="24"/>
                <w:szCs w:val="24"/>
              </w:rPr>
              <w:t>切削液</w:t>
            </w:r>
            <w:r>
              <w:rPr>
                <w:sz w:val="24"/>
                <w:szCs w:val="24"/>
              </w:rPr>
              <w:t>产生量约为</w:t>
            </w:r>
            <w:r>
              <w:rPr>
                <w:rFonts w:hint="eastAsia"/>
                <w:sz w:val="24"/>
                <w:szCs w:val="24"/>
                <w:lang w:val="en-US" w:eastAsia="zh-CN"/>
              </w:rPr>
              <w:t>20</w:t>
            </w:r>
            <w:r>
              <w:rPr>
                <w:sz w:val="24"/>
                <w:szCs w:val="24"/>
              </w:rPr>
              <w:t>%，即</w:t>
            </w:r>
            <w:r>
              <w:rPr>
                <w:rFonts w:hint="eastAsia"/>
                <w:sz w:val="24"/>
                <w:szCs w:val="24"/>
                <w:lang w:val="en-US" w:eastAsia="zh-CN"/>
              </w:rPr>
              <w:t>1.68</w:t>
            </w:r>
            <w:r>
              <w:rPr>
                <w:rFonts w:hint="eastAsia"/>
                <w:sz w:val="24"/>
                <w:szCs w:val="24"/>
              </w:rPr>
              <w:t>t</w:t>
            </w:r>
            <w:r>
              <w:rPr>
                <w:sz w:val="24"/>
                <w:szCs w:val="24"/>
              </w:rPr>
              <w:t>/a</w:t>
            </w:r>
            <w:r>
              <w:rPr>
                <w:rFonts w:hint="eastAsia"/>
                <w:sz w:val="24"/>
                <w:szCs w:val="24"/>
              </w:rPr>
              <w:t>。</w:t>
            </w:r>
            <w:r>
              <w:rPr>
                <w:sz w:val="24"/>
                <w:szCs w:val="24"/>
              </w:rPr>
              <w:t>废</w:t>
            </w:r>
            <w:r>
              <w:rPr>
                <w:rFonts w:hint="eastAsia"/>
                <w:sz w:val="24"/>
                <w:szCs w:val="24"/>
              </w:rPr>
              <w:t>切削液属于危险废物，危险废物类别为HW</w:t>
            </w:r>
            <w:r>
              <w:rPr>
                <w:sz w:val="24"/>
                <w:szCs w:val="24"/>
              </w:rPr>
              <w:t>0</w:t>
            </w:r>
            <w:r>
              <w:rPr>
                <w:rFonts w:hint="eastAsia"/>
                <w:sz w:val="24"/>
                <w:szCs w:val="24"/>
              </w:rPr>
              <w:t>9，危险废物代码为“</w:t>
            </w:r>
            <w:r>
              <w:rPr>
                <w:sz w:val="24"/>
                <w:szCs w:val="24"/>
              </w:rPr>
              <w:t>900-</w:t>
            </w:r>
            <w:r>
              <w:rPr>
                <w:rFonts w:hint="eastAsia"/>
                <w:sz w:val="24"/>
                <w:szCs w:val="24"/>
              </w:rPr>
              <w:t>006</w:t>
            </w:r>
            <w:r>
              <w:rPr>
                <w:sz w:val="24"/>
                <w:szCs w:val="24"/>
              </w:rPr>
              <w:t>-0</w:t>
            </w:r>
            <w:r>
              <w:rPr>
                <w:rFonts w:hint="eastAsia"/>
                <w:sz w:val="24"/>
                <w:szCs w:val="24"/>
              </w:rPr>
              <w:t>9”，危险废物特性为“T”，集中收集后委托有资质单位处置。</w:t>
            </w:r>
          </w:p>
          <w:p>
            <w:pPr>
              <w:adjustRightInd w:val="0"/>
              <w:snapToGrid w:val="0"/>
              <w:spacing w:line="360" w:lineRule="auto"/>
              <w:ind w:firstLine="480" w:firstLineChars="200"/>
              <w:rPr>
                <w:b/>
                <w:bCs/>
                <w:color w:val="auto"/>
                <w:sz w:val="24"/>
              </w:rPr>
            </w:pPr>
            <w:r>
              <w:rPr>
                <w:rFonts w:hint="eastAsia"/>
                <w:b/>
                <w:bCs/>
                <w:color w:val="auto"/>
                <w:sz w:val="24"/>
              </w:rPr>
              <w:t>B.废活性炭</w:t>
            </w:r>
          </w:p>
          <w:p>
            <w:pPr>
              <w:adjustRightInd w:val="0"/>
              <w:snapToGrid w:val="0"/>
              <w:spacing w:line="360" w:lineRule="auto"/>
              <w:ind w:firstLine="480" w:firstLineChars="200"/>
              <w:rPr>
                <w:b/>
                <w:kern w:val="0"/>
                <w:sz w:val="24"/>
                <w:szCs w:val="24"/>
              </w:rPr>
            </w:pPr>
            <w:r>
              <w:rPr>
                <w:sz w:val="24"/>
              </w:rPr>
              <w:t>根据废气源强可知，项目</w:t>
            </w:r>
            <w:r>
              <w:rPr>
                <w:rFonts w:hint="eastAsia"/>
                <w:sz w:val="24"/>
                <w:lang w:eastAsia="zh-CN"/>
              </w:rPr>
              <w:t>非甲烷总烃</w:t>
            </w:r>
            <w:r>
              <w:rPr>
                <w:sz w:val="24"/>
              </w:rPr>
              <w:t>吸附量约为</w:t>
            </w:r>
            <w:r>
              <w:rPr>
                <w:rFonts w:hint="eastAsia"/>
                <w:sz w:val="24"/>
              </w:rPr>
              <w:t>0.</w:t>
            </w:r>
            <w:r>
              <w:rPr>
                <w:rFonts w:hint="eastAsia"/>
                <w:sz w:val="24"/>
                <w:lang w:val="en-US" w:eastAsia="zh-CN"/>
              </w:rPr>
              <w:t>2kg</w:t>
            </w:r>
            <w:r>
              <w:rPr>
                <w:sz w:val="24"/>
              </w:rPr>
              <w:t>/a</w:t>
            </w:r>
            <w:r>
              <w:rPr>
                <w:rFonts w:hint="eastAsia"/>
                <w:sz w:val="24"/>
              </w:rPr>
              <w:t>。</w:t>
            </w:r>
            <w:r>
              <w:rPr>
                <w:sz w:val="24"/>
              </w:rPr>
              <w:t>根据《上海市工业固定源挥发性有机物治理技术指引》（上海市环境保护局、上海市环境科学研究院，2013.07），活性炭吸附</w:t>
            </w:r>
            <w:r>
              <w:rPr>
                <w:rFonts w:hint="eastAsia"/>
                <w:sz w:val="24"/>
                <w:lang w:eastAsia="zh-CN"/>
              </w:rPr>
              <w:t>有机废气</w:t>
            </w:r>
            <w:r>
              <w:rPr>
                <w:sz w:val="24"/>
              </w:rPr>
              <w:t>的饱和吸附容量约20-40%wt，本次环评活性炭吸附量取30%计。活性炭用量为</w:t>
            </w:r>
            <w:r>
              <w:rPr>
                <w:rFonts w:hint="eastAsia"/>
                <w:sz w:val="24"/>
              </w:rPr>
              <w:t>0.</w:t>
            </w:r>
            <w:r>
              <w:rPr>
                <w:rFonts w:hint="eastAsia"/>
                <w:sz w:val="24"/>
                <w:lang w:val="en-US" w:eastAsia="zh-CN"/>
              </w:rPr>
              <w:t>2</w:t>
            </w:r>
            <w:r>
              <w:rPr>
                <w:sz w:val="24"/>
              </w:rPr>
              <w:t>÷0.3</w:t>
            </w:r>
            <w:r>
              <w:rPr>
                <w:rFonts w:hint="eastAsia"/>
                <w:sz w:val="24"/>
              </w:rPr>
              <w:t>=</w:t>
            </w:r>
            <w:r>
              <w:rPr>
                <w:rFonts w:hint="eastAsia"/>
                <w:sz w:val="24"/>
                <w:lang w:val="en-US" w:eastAsia="zh-CN"/>
              </w:rPr>
              <w:t>0.67kg</w:t>
            </w:r>
            <w:r>
              <w:rPr>
                <w:sz w:val="24"/>
              </w:rPr>
              <w:t>/a。则废活性炭产生量：</w:t>
            </w:r>
            <w:r>
              <w:rPr>
                <w:rFonts w:hint="eastAsia"/>
                <w:sz w:val="24"/>
              </w:rPr>
              <w:t>0.</w:t>
            </w:r>
            <w:r>
              <w:rPr>
                <w:rFonts w:hint="eastAsia"/>
                <w:sz w:val="24"/>
                <w:lang w:val="en-US" w:eastAsia="zh-CN"/>
              </w:rPr>
              <w:t>2</w:t>
            </w:r>
            <w:r>
              <w:rPr>
                <w:sz w:val="24"/>
              </w:rPr>
              <w:t>+</w:t>
            </w:r>
            <w:r>
              <w:rPr>
                <w:rFonts w:hint="eastAsia"/>
                <w:sz w:val="24"/>
                <w:lang w:val="en-US" w:eastAsia="zh-CN"/>
              </w:rPr>
              <w:t>0.67</w:t>
            </w:r>
            <w:r>
              <w:rPr>
                <w:sz w:val="24"/>
              </w:rPr>
              <w:t>=</w:t>
            </w:r>
            <w:r>
              <w:rPr>
                <w:rFonts w:hint="eastAsia"/>
                <w:sz w:val="24"/>
                <w:lang w:val="en-US" w:eastAsia="zh-CN"/>
              </w:rPr>
              <w:t>0.87kg</w:t>
            </w:r>
            <w:r>
              <w:rPr>
                <w:sz w:val="24"/>
              </w:rPr>
              <w:t>/a。本项目活性炭吸附箱中活性炭装填量为</w:t>
            </w:r>
            <w:r>
              <w:rPr>
                <w:rFonts w:hint="eastAsia"/>
                <w:sz w:val="24"/>
                <w:lang w:val="en-US" w:eastAsia="zh-CN"/>
              </w:rPr>
              <w:t>2</w:t>
            </w:r>
            <w:r>
              <w:rPr>
                <w:sz w:val="24"/>
              </w:rPr>
              <w:t>kg/次</w:t>
            </w:r>
            <w:r>
              <w:rPr>
                <w:rFonts w:hint="eastAsia"/>
                <w:sz w:val="24"/>
                <w:lang w:eastAsia="zh-CN"/>
              </w:rPr>
              <w:t>（</w:t>
            </w:r>
            <w:r>
              <w:rPr>
                <w:rFonts w:hint="eastAsia"/>
                <w:sz w:val="24"/>
                <w:lang w:val="en-US" w:eastAsia="zh-CN"/>
              </w:rPr>
              <w:t>2箱，每箱1kg/次</w:t>
            </w:r>
            <w:r>
              <w:rPr>
                <w:rFonts w:hint="eastAsia"/>
                <w:sz w:val="24"/>
                <w:lang w:eastAsia="zh-CN"/>
              </w:rPr>
              <w:t>）</w:t>
            </w:r>
            <w:r>
              <w:rPr>
                <w:sz w:val="24"/>
              </w:rPr>
              <w:t>，本项目需每</w:t>
            </w:r>
            <w:r>
              <w:rPr>
                <w:rFonts w:hint="eastAsia"/>
                <w:sz w:val="24"/>
                <w:lang w:eastAsia="zh-CN"/>
              </w:rPr>
              <w:t>年</w:t>
            </w:r>
            <w:r>
              <w:rPr>
                <w:sz w:val="24"/>
              </w:rPr>
              <w:t>更换一次活性炭，即废活性炭的产生量为：</w:t>
            </w:r>
            <w:r>
              <w:rPr>
                <w:rFonts w:hint="eastAsia"/>
                <w:sz w:val="24"/>
              </w:rPr>
              <w:t>0.</w:t>
            </w:r>
            <w:r>
              <w:rPr>
                <w:rFonts w:hint="eastAsia"/>
                <w:sz w:val="24"/>
                <w:lang w:val="en-US" w:eastAsia="zh-CN"/>
              </w:rPr>
              <w:t>2</w:t>
            </w:r>
            <w:r>
              <w:rPr>
                <w:sz w:val="24"/>
              </w:rPr>
              <w:t>+</w:t>
            </w:r>
            <w:r>
              <w:rPr>
                <w:rFonts w:hint="eastAsia"/>
                <w:sz w:val="24"/>
                <w:lang w:val="en-US" w:eastAsia="zh-CN"/>
              </w:rPr>
              <w:t>2</w:t>
            </w:r>
            <w:r>
              <w:rPr>
                <w:sz w:val="24"/>
              </w:rPr>
              <w:t>=</w:t>
            </w:r>
            <w:r>
              <w:rPr>
                <w:rFonts w:hint="eastAsia"/>
                <w:sz w:val="24"/>
                <w:lang w:val="en-US" w:eastAsia="zh-CN"/>
              </w:rPr>
              <w:t>2.2kg</w:t>
            </w:r>
            <w:r>
              <w:rPr>
                <w:sz w:val="24"/>
              </w:rPr>
              <w:t>/a</w:t>
            </w:r>
            <w:r>
              <w:rPr>
                <w:rFonts w:hint="eastAsia"/>
                <w:sz w:val="24"/>
                <w:lang w:eastAsia="zh-CN"/>
              </w:rPr>
              <w:t>，约</w:t>
            </w:r>
            <w:r>
              <w:rPr>
                <w:rFonts w:hint="eastAsia"/>
                <w:sz w:val="24"/>
                <w:lang w:val="en-US" w:eastAsia="zh-CN"/>
              </w:rPr>
              <w:t>0.002t/a</w:t>
            </w:r>
            <w:r>
              <w:rPr>
                <w:sz w:val="24"/>
              </w:rPr>
              <w:t>。</w:t>
            </w:r>
            <w:r>
              <w:rPr>
                <w:sz w:val="24"/>
                <w:szCs w:val="24"/>
              </w:rPr>
              <w:t>危险废物类别为HW49，危险废物代码为</w:t>
            </w:r>
            <w:r>
              <w:rPr>
                <w:rFonts w:eastAsia="TimesNewRomanPSMT"/>
                <w:kern w:val="0"/>
                <w:sz w:val="24"/>
                <w:szCs w:val="24"/>
              </w:rPr>
              <w:t>900-041-49</w:t>
            </w:r>
            <w:r>
              <w:rPr>
                <w:kern w:val="0"/>
                <w:sz w:val="24"/>
                <w:szCs w:val="24"/>
              </w:rPr>
              <w:t>，危险废物特性为“</w:t>
            </w:r>
            <w:r>
              <w:rPr>
                <w:rFonts w:eastAsia="TimesNewRomanPSMT"/>
                <w:kern w:val="0"/>
                <w:sz w:val="24"/>
                <w:szCs w:val="24"/>
              </w:rPr>
              <w:t>T/In</w:t>
            </w:r>
            <w:r>
              <w:rPr>
                <w:kern w:val="0"/>
                <w:sz w:val="24"/>
                <w:szCs w:val="24"/>
              </w:rPr>
              <w:t>”。委托有资质单位处置。</w:t>
            </w:r>
          </w:p>
          <w:p>
            <w:pPr>
              <w:spacing w:line="360" w:lineRule="auto"/>
              <w:ind w:firstLine="465"/>
              <w:rPr>
                <w:b/>
                <w:sz w:val="24"/>
                <w:szCs w:val="22"/>
              </w:rPr>
            </w:pPr>
            <w:r>
              <w:rPr>
                <w:b/>
                <w:sz w:val="24"/>
                <w:szCs w:val="22"/>
              </w:rPr>
              <w:t>C.废润滑油：</w:t>
            </w:r>
          </w:p>
          <w:p>
            <w:pPr>
              <w:spacing w:line="360" w:lineRule="auto"/>
              <w:ind w:firstLine="465"/>
              <w:rPr>
                <w:sz w:val="24"/>
                <w:szCs w:val="24"/>
              </w:rPr>
            </w:pPr>
            <w:r>
              <w:rPr>
                <w:sz w:val="24"/>
                <w:szCs w:val="24"/>
              </w:rPr>
              <w:t>生产设备运行时使用润滑油对设备进行润滑保养。废润滑油按使用量的</w:t>
            </w:r>
            <w:r>
              <w:rPr>
                <w:rFonts w:hint="eastAsia"/>
                <w:sz w:val="24"/>
                <w:szCs w:val="24"/>
                <w:lang w:val="en-US" w:eastAsia="zh-CN"/>
              </w:rPr>
              <w:t>3</w:t>
            </w:r>
            <w:r>
              <w:rPr>
                <w:sz w:val="24"/>
                <w:szCs w:val="24"/>
              </w:rPr>
              <w:t>0%计，本项目润滑油使用量为</w:t>
            </w:r>
            <w:r>
              <w:rPr>
                <w:rFonts w:hint="eastAsia"/>
                <w:sz w:val="24"/>
                <w:szCs w:val="24"/>
                <w:lang w:val="en-US" w:eastAsia="zh-CN"/>
              </w:rPr>
              <w:t>1</w:t>
            </w:r>
            <w:r>
              <w:rPr>
                <w:sz w:val="24"/>
                <w:szCs w:val="24"/>
              </w:rPr>
              <w:t>t/a，则项目废润滑油产生量为</w:t>
            </w:r>
            <w:r>
              <w:rPr>
                <w:rFonts w:hint="eastAsia"/>
                <w:sz w:val="24"/>
                <w:szCs w:val="24"/>
                <w:lang w:val="en-US" w:eastAsia="zh-CN"/>
              </w:rPr>
              <w:t>0.3</w:t>
            </w:r>
            <w:r>
              <w:rPr>
                <w:sz w:val="24"/>
                <w:szCs w:val="24"/>
              </w:rPr>
              <w:t>t/a。废润滑油为危险废物，危险废物类别为HW08，危险废物代码为</w:t>
            </w:r>
            <w:r>
              <w:rPr>
                <w:rFonts w:eastAsia="TimesNewRomanPSMT"/>
                <w:kern w:val="0"/>
                <w:sz w:val="24"/>
                <w:szCs w:val="24"/>
              </w:rPr>
              <w:t>900-</w:t>
            </w:r>
            <w:r>
              <w:rPr>
                <w:kern w:val="0"/>
                <w:sz w:val="24"/>
                <w:szCs w:val="24"/>
              </w:rPr>
              <w:t>217</w:t>
            </w:r>
            <w:r>
              <w:rPr>
                <w:rFonts w:eastAsia="TimesNewRomanPSMT"/>
                <w:kern w:val="0"/>
                <w:sz w:val="24"/>
                <w:szCs w:val="24"/>
              </w:rPr>
              <w:t>-</w:t>
            </w:r>
            <w:r>
              <w:rPr>
                <w:kern w:val="0"/>
                <w:sz w:val="24"/>
                <w:szCs w:val="24"/>
              </w:rPr>
              <w:t>08，危险废物特性为“</w:t>
            </w:r>
            <w:r>
              <w:rPr>
                <w:rFonts w:eastAsia="TimesNewRomanPSMT"/>
                <w:kern w:val="0"/>
                <w:sz w:val="24"/>
                <w:szCs w:val="24"/>
              </w:rPr>
              <w:t>T/I</w:t>
            </w:r>
            <w:r>
              <w:rPr>
                <w:kern w:val="0"/>
                <w:sz w:val="24"/>
                <w:szCs w:val="24"/>
              </w:rPr>
              <w:t>”。</w:t>
            </w:r>
            <w:r>
              <w:rPr>
                <w:sz w:val="24"/>
                <w:szCs w:val="24"/>
              </w:rPr>
              <w:t>废润滑油集中收集后交由资质单位安全处置。</w:t>
            </w:r>
          </w:p>
          <w:p>
            <w:pPr>
              <w:adjustRightInd w:val="0"/>
              <w:snapToGrid w:val="0"/>
              <w:spacing w:line="360" w:lineRule="auto"/>
              <w:ind w:firstLine="480" w:firstLineChars="200"/>
              <w:rPr>
                <w:b/>
                <w:kern w:val="0"/>
                <w:sz w:val="24"/>
                <w:szCs w:val="24"/>
              </w:rPr>
            </w:pPr>
            <w:r>
              <w:rPr>
                <w:rFonts w:hint="eastAsia"/>
                <w:b/>
                <w:kern w:val="0"/>
                <w:sz w:val="24"/>
                <w:szCs w:val="24"/>
              </w:rPr>
              <w:t>D</w:t>
            </w:r>
            <w:r>
              <w:rPr>
                <w:rFonts w:hint="eastAsia"/>
                <w:b/>
                <w:bCs/>
                <w:sz w:val="24"/>
              </w:rPr>
              <w:t>.</w:t>
            </w:r>
            <w:r>
              <w:rPr>
                <w:b/>
                <w:kern w:val="0"/>
                <w:sz w:val="24"/>
                <w:szCs w:val="24"/>
              </w:rPr>
              <w:t>废包装桶：</w:t>
            </w:r>
          </w:p>
          <w:p>
            <w:pPr>
              <w:adjustRightInd w:val="0"/>
              <w:snapToGrid w:val="0"/>
              <w:spacing w:line="360" w:lineRule="auto"/>
              <w:ind w:firstLine="480" w:firstLineChars="200"/>
              <w:rPr>
                <w:sz w:val="24"/>
                <w:szCs w:val="22"/>
              </w:rPr>
            </w:pPr>
            <w:r>
              <w:rPr>
                <w:rFonts w:hint="eastAsia"/>
                <w:sz w:val="24"/>
                <w:szCs w:val="22"/>
              </w:rPr>
              <w:t>本项目</w:t>
            </w:r>
            <w:r>
              <w:rPr>
                <w:rFonts w:hint="eastAsia"/>
                <w:sz w:val="24"/>
                <w:szCs w:val="22"/>
                <w:lang w:eastAsia="zh-CN"/>
              </w:rPr>
              <w:t>切削液</w:t>
            </w:r>
            <w:r>
              <w:rPr>
                <w:rFonts w:hint="eastAsia"/>
                <w:sz w:val="24"/>
                <w:szCs w:val="22"/>
              </w:rPr>
              <w:t>、</w:t>
            </w:r>
            <w:r>
              <w:rPr>
                <w:rFonts w:hint="eastAsia"/>
                <w:sz w:val="24"/>
                <w:szCs w:val="22"/>
                <w:lang w:eastAsia="zh-CN"/>
              </w:rPr>
              <w:t>润滑油</w:t>
            </w:r>
            <w:r>
              <w:rPr>
                <w:rFonts w:hint="eastAsia"/>
                <w:sz w:val="24"/>
                <w:szCs w:val="22"/>
              </w:rPr>
              <w:t>均为桶装。据计算，废包装桶产生量为</w:t>
            </w:r>
            <w:r>
              <w:rPr>
                <w:rFonts w:hint="eastAsia"/>
                <w:sz w:val="24"/>
                <w:szCs w:val="22"/>
                <w:lang w:val="en-US" w:eastAsia="zh-CN"/>
              </w:rPr>
              <w:t>7</w:t>
            </w:r>
            <w:r>
              <w:rPr>
                <w:rFonts w:hint="eastAsia"/>
                <w:sz w:val="24"/>
                <w:szCs w:val="22"/>
              </w:rPr>
              <w:t>个/a，约0.</w:t>
            </w:r>
            <w:r>
              <w:rPr>
                <w:rFonts w:hint="eastAsia"/>
                <w:sz w:val="24"/>
                <w:szCs w:val="22"/>
                <w:lang w:val="en-US" w:eastAsia="zh-CN"/>
              </w:rPr>
              <w:t>07</w:t>
            </w:r>
            <w:r>
              <w:rPr>
                <w:rFonts w:hint="eastAsia"/>
                <w:sz w:val="24"/>
                <w:szCs w:val="22"/>
              </w:rPr>
              <w:t>t/a。废包装桶为危险固废，危废类别为HW49，危废代码为900-041-49，危废特性为“T/In”，</w:t>
            </w:r>
            <w:r>
              <w:rPr>
                <w:sz w:val="24"/>
                <w:szCs w:val="24"/>
              </w:rPr>
              <w:t>委托有资质单位处置。</w:t>
            </w:r>
          </w:p>
          <w:p>
            <w:pPr>
              <w:adjustRightInd w:val="0"/>
              <w:snapToGrid w:val="0"/>
              <w:spacing w:line="360" w:lineRule="auto"/>
              <w:ind w:firstLine="480" w:firstLineChars="200"/>
              <w:rPr>
                <w:b/>
                <w:bCs/>
                <w:sz w:val="24"/>
              </w:rPr>
            </w:pPr>
            <w:r>
              <w:rPr>
                <w:rFonts w:hint="eastAsia"/>
                <w:b/>
                <w:bCs/>
                <w:sz w:val="24"/>
              </w:rPr>
              <w:t>F.废</w:t>
            </w:r>
            <w:r>
              <w:rPr>
                <w:rFonts w:hint="eastAsia"/>
                <w:b/>
                <w:bCs/>
                <w:sz w:val="24"/>
                <w:lang w:eastAsia="zh-CN"/>
              </w:rPr>
              <w:t>含油抹布</w:t>
            </w:r>
            <w:r>
              <w:rPr>
                <w:rFonts w:hint="eastAsia"/>
                <w:b/>
                <w:bCs/>
                <w:sz w:val="24"/>
              </w:rPr>
              <w:t>：</w:t>
            </w:r>
          </w:p>
          <w:p>
            <w:pPr>
              <w:spacing w:line="360" w:lineRule="auto"/>
              <w:ind w:firstLine="465"/>
              <w:rPr>
                <w:rFonts w:ascii="宋体" w:hAnsi="宋体"/>
                <w:b/>
                <w:sz w:val="24"/>
                <w:szCs w:val="24"/>
              </w:rPr>
            </w:pPr>
            <w:r>
              <w:rPr>
                <w:rFonts w:hint="eastAsia"/>
                <w:sz w:val="24"/>
                <w:szCs w:val="24"/>
              </w:rPr>
              <w:t>在日常工作中需要擦拭清理和设备维护时的清理，此时会产生废抹布，本项目废抹布产生量约为0.0</w:t>
            </w:r>
            <w:r>
              <w:rPr>
                <w:rFonts w:hint="eastAsia"/>
                <w:sz w:val="24"/>
                <w:szCs w:val="24"/>
                <w:lang w:val="en-US" w:eastAsia="zh-CN"/>
              </w:rPr>
              <w:t>5</w:t>
            </w:r>
            <w:r>
              <w:rPr>
                <w:rFonts w:hint="eastAsia"/>
                <w:sz w:val="24"/>
                <w:szCs w:val="24"/>
              </w:rPr>
              <w:t>t/a，根据《国家危险废物名录》（环境保护部、国家发展和改革委员会令第1号）附录“危险废物豁免管理清单”可知废弃的含油抹布、劳保用品全部环节豁免，全过程不按危险废物管理。</w:t>
            </w:r>
          </w:p>
          <w:p>
            <w:pPr>
              <w:adjustRightInd w:val="0"/>
              <w:snapToGrid w:val="0"/>
              <w:spacing w:line="360" w:lineRule="auto"/>
              <w:ind w:firstLine="480" w:firstLineChars="200"/>
              <w:rPr>
                <w:rFonts w:ascii="宋体" w:hAnsi="宋体" w:cs="Cambria Math"/>
                <w:b/>
                <w:bCs/>
                <w:sz w:val="24"/>
                <w:szCs w:val="22"/>
              </w:rPr>
            </w:pPr>
            <w:r>
              <w:rPr>
                <w:rFonts w:hint="eastAsia"/>
                <w:b/>
                <w:bCs/>
                <w:sz w:val="24"/>
              </w:rPr>
              <w:t>②</w:t>
            </w:r>
            <w:r>
              <w:rPr>
                <w:rFonts w:hint="eastAsia" w:ascii="宋体" w:hAnsi="宋体" w:cs="Cambria Math"/>
                <w:b/>
                <w:bCs/>
                <w:sz w:val="24"/>
                <w:szCs w:val="22"/>
              </w:rPr>
              <w:t>生活垃圾：</w:t>
            </w:r>
          </w:p>
          <w:p>
            <w:pPr>
              <w:pStyle w:val="79"/>
              <w:spacing w:after="0" w:line="360" w:lineRule="auto"/>
              <w:ind w:firstLine="480" w:firstLineChars="200"/>
              <w:rPr>
                <w:rFonts w:ascii="Times New Roman" w:hAnsi="Times New Roman" w:cs="Times New Roman"/>
                <w:color w:val="auto"/>
                <w:kern w:val="2"/>
                <w:szCs w:val="22"/>
              </w:rPr>
            </w:pPr>
            <w:r>
              <w:rPr>
                <w:rFonts w:hint="eastAsia" w:ascii="Times New Roman" w:hAnsi="Times New Roman" w:cs="Times New Roman"/>
                <w:color w:val="auto"/>
                <w:kern w:val="2"/>
                <w:szCs w:val="22"/>
              </w:rPr>
              <w:t>项目定员</w:t>
            </w:r>
            <w:r>
              <w:rPr>
                <w:rFonts w:hint="eastAsia" w:ascii="Times New Roman" w:hAnsi="Times New Roman" w:cs="Times New Roman"/>
                <w:color w:val="auto"/>
                <w:kern w:val="2"/>
                <w:szCs w:val="22"/>
                <w:lang w:val="en-US" w:eastAsia="zh-CN"/>
              </w:rPr>
              <w:t>30</w:t>
            </w:r>
            <w:r>
              <w:rPr>
                <w:rFonts w:hint="eastAsia" w:ascii="Times New Roman" w:hAnsi="Times New Roman" w:cs="Times New Roman"/>
                <w:color w:val="auto"/>
                <w:kern w:val="2"/>
                <w:szCs w:val="22"/>
              </w:rPr>
              <w:t>人，厂区不提供食宿，职工生活垃圾以0.5kg/d•人计，年工作300天，则职工生活垃圾产生量为</w:t>
            </w:r>
            <w:r>
              <w:rPr>
                <w:rFonts w:hint="eastAsia" w:ascii="Times New Roman" w:hAnsi="Times New Roman" w:cs="Times New Roman"/>
                <w:color w:val="auto"/>
                <w:kern w:val="2"/>
                <w:szCs w:val="22"/>
                <w:lang w:val="en-US" w:eastAsia="zh-CN"/>
              </w:rPr>
              <w:t>4.5</w:t>
            </w:r>
            <w:r>
              <w:rPr>
                <w:rFonts w:hint="eastAsia" w:ascii="Times New Roman" w:hAnsi="Times New Roman" w:cs="Times New Roman"/>
                <w:color w:val="auto"/>
                <w:kern w:val="2"/>
                <w:szCs w:val="22"/>
              </w:rPr>
              <w:t>t/a，属于一般固废，经收集后由环卫部门清运处置。</w:t>
            </w:r>
          </w:p>
          <w:p>
            <w:pPr>
              <w:spacing w:line="360" w:lineRule="auto"/>
              <w:ind w:firstLine="465"/>
              <w:rPr>
                <w:sz w:val="24"/>
              </w:rPr>
            </w:pPr>
            <w:r>
              <w:rPr>
                <w:rFonts w:hint="eastAsia"/>
                <w:sz w:val="24"/>
                <w:lang w:eastAsia="zh-CN"/>
              </w:rPr>
              <w:t>布袋捕集物</w:t>
            </w:r>
            <w:r>
              <w:rPr>
                <w:rFonts w:hint="eastAsia"/>
                <w:sz w:val="24"/>
              </w:rPr>
              <w:t>：</w:t>
            </w:r>
            <w:r>
              <w:rPr>
                <w:rFonts w:hint="eastAsia"/>
                <w:sz w:val="24"/>
                <w:lang w:eastAsia="zh-CN"/>
              </w:rPr>
              <w:t>布袋捕集物经收集后回用于生产</w:t>
            </w:r>
            <w:r>
              <w:rPr>
                <w:rFonts w:hint="eastAsia"/>
                <w:sz w:val="24"/>
              </w:rPr>
              <w:t>；根据《固体废物鉴别标准 通则》（GB34330-2017）可判断，上述物质经收集后由产生点处理并用于原始用途，不作为固废管理，本次不进行分析处置。</w:t>
            </w:r>
          </w:p>
          <w:p>
            <w:pPr>
              <w:spacing w:line="360" w:lineRule="auto"/>
              <w:ind w:firstLine="465"/>
              <w:rPr>
                <w:sz w:val="24"/>
              </w:rPr>
            </w:pPr>
            <w:r>
              <w:rPr>
                <w:sz w:val="24"/>
              </w:rPr>
              <w:t>根据《</w:t>
            </w:r>
            <w:r>
              <w:rPr>
                <w:rFonts w:hint="eastAsia"/>
                <w:sz w:val="24"/>
              </w:rPr>
              <w:t>固体废物鉴别标准 通则</w:t>
            </w:r>
            <w:r>
              <w:rPr>
                <w:sz w:val="24"/>
              </w:rPr>
              <w:t>》</w:t>
            </w:r>
            <w:r>
              <w:rPr>
                <w:rFonts w:hint="eastAsia"/>
                <w:sz w:val="24"/>
              </w:rPr>
              <w:t>（GB34330-2017）</w:t>
            </w:r>
            <w:r>
              <w:rPr>
                <w:sz w:val="24"/>
              </w:rPr>
              <w:t>对项目产生的固体废物进行判定。本项目固体废物产生情况汇总表见表</w:t>
            </w:r>
            <w:r>
              <w:rPr>
                <w:rFonts w:hint="eastAsia"/>
                <w:sz w:val="24"/>
              </w:rPr>
              <w:t>5-7</w:t>
            </w:r>
            <w:r>
              <w:rPr>
                <w:sz w:val="24"/>
              </w:rPr>
              <w:t>，固体废物产生量及处置方式具体见表</w:t>
            </w:r>
            <w:r>
              <w:rPr>
                <w:rFonts w:hint="eastAsia"/>
                <w:sz w:val="24"/>
              </w:rPr>
              <w:t>5-8</w:t>
            </w:r>
            <w:r>
              <w:rPr>
                <w:sz w:val="24"/>
              </w:rPr>
              <w:t>，固体废物分析结果汇总见表</w:t>
            </w:r>
            <w:r>
              <w:rPr>
                <w:rFonts w:hint="eastAsia"/>
                <w:sz w:val="24"/>
              </w:rPr>
              <w:t>5-9</w:t>
            </w:r>
            <w:r>
              <w:rPr>
                <w:sz w:val="24"/>
              </w:rPr>
              <w:t>。</w:t>
            </w:r>
          </w:p>
          <w:p>
            <w:pPr>
              <w:jc w:val="center"/>
              <w:rPr>
                <w:b/>
                <w:szCs w:val="21"/>
              </w:rPr>
            </w:pPr>
            <w:r>
              <w:rPr>
                <w:b/>
                <w:szCs w:val="21"/>
              </w:rPr>
              <w:t>表</w:t>
            </w:r>
            <w:r>
              <w:rPr>
                <w:rFonts w:hint="eastAsia"/>
                <w:b/>
                <w:szCs w:val="21"/>
              </w:rPr>
              <w:t xml:space="preserve">5-7 </w:t>
            </w:r>
            <w:r>
              <w:rPr>
                <w:b/>
                <w:szCs w:val="21"/>
              </w:rPr>
              <w:t xml:space="preserve"> 本项目</w:t>
            </w:r>
            <w:r>
              <w:rPr>
                <w:rFonts w:hint="eastAsia"/>
                <w:b/>
                <w:szCs w:val="21"/>
              </w:rPr>
              <w:t>固废</w:t>
            </w:r>
            <w:r>
              <w:rPr>
                <w:b/>
                <w:szCs w:val="21"/>
              </w:rPr>
              <w:t>产生情况汇总表</w:t>
            </w:r>
          </w:p>
          <w:tbl>
            <w:tblPr>
              <w:tblStyle w:val="56"/>
              <w:tblW w:w="4995" w:type="pct"/>
              <w:jc w:val="center"/>
              <w:tblBorders>
                <w:top w:val="single" w:color="auto" w:sz="12" w:space="0"/>
                <w:left w:val="none" w:color="auto" w:sz="0" w:space="0"/>
                <w:bottom w:val="single" w:color="auto" w:sz="12"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
            <w:tblGrid>
              <w:gridCol w:w="585"/>
              <w:gridCol w:w="1189"/>
              <w:gridCol w:w="1154"/>
              <w:gridCol w:w="871"/>
              <w:gridCol w:w="1481"/>
              <w:gridCol w:w="1139"/>
              <w:gridCol w:w="1109"/>
              <w:gridCol w:w="776"/>
            </w:tblGrid>
            <w:tr>
              <w:tblPrEx>
                <w:tblBorders>
                  <w:top w:val="single" w:color="auto" w:sz="12" w:space="0"/>
                  <w:left w:val="none" w:color="auto" w:sz="0" w:space="0"/>
                  <w:bottom w:val="single" w:color="auto" w:sz="12"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340" w:hRule="atLeast"/>
                <w:jc w:val="center"/>
              </w:trPr>
              <w:tc>
                <w:tcPr>
                  <w:tcW w:w="352" w:type="pct"/>
                  <w:vMerge w:val="restart"/>
                  <w:vAlign w:val="center"/>
                </w:tcPr>
                <w:p>
                  <w:pPr>
                    <w:pStyle w:val="123"/>
                    <w:rPr>
                      <w:b/>
                    </w:rPr>
                  </w:pPr>
                  <w:r>
                    <w:rPr>
                      <w:b/>
                    </w:rPr>
                    <w:t>序号</w:t>
                  </w:r>
                </w:p>
              </w:tc>
              <w:tc>
                <w:tcPr>
                  <w:tcW w:w="715" w:type="pct"/>
                  <w:vMerge w:val="restart"/>
                  <w:vAlign w:val="center"/>
                </w:tcPr>
                <w:p>
                  <w:pPr>
                    <w:pStyle w:val="123"/>
                    <w:rPr>
                      <w:b/>
                    </w:rPr>
                  </w:pPr>
                  <w:r>
                    <w:rPr>
                      <w:rFonts w:hint="eastAsia"/>
                      <w:b/>
                    </w:rPr>
                    <w:t>固体废物</w:t>
                  </w:r>
                  <w:r>
                    <w:rPr>
                      <w:b/>
                    </w:rPr>
                    <w:t>名称</w:t>
                  </w:r>
                </w:p>
              </w:tc>
              <w:tc>
                <w:tcPr>
                  <w:tcW w:w="694" w:type="pct"/>
                  <w:vMerge w:val="restart"/>
                  <w:vAlign w:val="center"/>
                </w:tcPr>
                <w:p>
                  <w:pPr>
                    <w:pStyle w:val="123"/>
                    <w:rPr>
                      <w:b/>
                    </w:rPr>
                  </w:pPr>
                  <w:r>
                    <w:rPr>
                      <w:b/>
                    </w:rPr>
                    <w:t>产生工序</w:t>
                  </w:r>
                </w:p>
              </w:tc>
              <w:tc>
                <w:tcPr>
                  <w:tcW w:w="524" w:type="pct"/>
                  <w:vMerge w:val="restart"/>
                  <w:vAlign w:val="center"/>
                </w:tcPr>
                <w:p>
                  <w:pPr>
                    <w:pStyle w:val="123"/>
                    <w:rPr>
                      <w:b/>
                    </w:rPr>
                  </w:pPr>
                  <w:r>
                    <w:rPr>
                      <w:b/>
                    </w:rPr>
                    <w:t>形态</w:t>
                  </w:r>
                </w:p>
              </w:tc>
              <w:tc>
                <w:tcPr>
                  <w:tcW w:w="891" w:type="pct"/>
                  <w:vMerge w:val="restart"/>
                  <w:vAlign w:val="center"/>
                </w:tcPr>
                <w:p>
                  <w:pPr>
                    <w:pStyle w:val="123"/>
                    <w:rPr>
                      <w:b/>
                    </w:rPr>
                  </w:pPr>
                  <w:r>
                    <w:rPr>
                      <w:b/>
                    </w:rPr>
                    <w:t>主要成分</w:t>
                  </w:r>
                </w:p>
              </w:tc>
              <w:tc>
                <w:tcPr>
                  <w:tcW w:w="685" w:type="pct"/>
                  <w:vMerge w:val="restart"/>
                  <w:vAlign w:val="center"/>
                </w:tcPr>
                <w:p>
                  <w:pPr>
                    <w:pStyle w:val="123"/>
                    <w:rPr>
                      <w:b/>
                    </w:rPr>
                  </w:pPr>
                  <w:r>
                    <w:rPr>
                      <w:b/>
                    </w:rPr>
                    <w:t>预测产生量（t/a）</w:t>
                  </w:r>
                </w:p>
              </w:tc>
              <w:tc>
                <w:tcPr>
                  <w:tcW w:w="667" w:type="pct"/>
                  <w:vAlign w:val="center"/>
                </w:tcPr>
                <w:p>
                  <w:pPr>
                    <w:pStyle w:val="123"/>
                    <w:rPr>
                      <w:b/>
                    </w:rPr>
                  </w:pPr>
                  <w:r>
                    <w:rPr>
                      <w:b/>
                    </w:rPr>
                    <w:t>种类判断</w:t>
                  </w:r>
                </w:p>
              </w:tc>
              <w:tc>
                <w:tcPr>
                  <w:tcW w:w="467" w:type="pct"/>
                  <w:vMerge w:val="restart"/>
                  <w:vAlign w:val="center"/>
                </w:tcPr>
                <w:p>
                  <w:pPr>
                    <w:pStyle w:val="123"/>
                    <w:rPr>
                      <w:b/>
                    </w:rPr>
                  </w:pPr>
                  <w:r>
                    <w:rPr>
                      <w:rFonts w:hint="eastAsia"/>
                      <w:b/>
                    </w:rPr>
                    <w:t>鉴别依据</w:t>
                  </w:r>
                </w:p>
              </w:tc>
            </w:tr>
            <w:tr>
              <w:tblPrEx>
                <w:tblBorders>
                  <w:top w:val="single" w:color="auto" w:sz="12" w:space="0"/>
                  <w:left w:val="none" w:color="auto" w:sz="0" w:space="0"/>
                  <w:bottom w:val="single" w:color="auto" w:sz="12"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340" w:hRule="atLeast"/>
                <w:jc w:val="center"/>
              </w:trPr>
              <w:tc>
                <w:tcPr>
                  <w:tcW w:w="352" w:type="pct"/>
                  <w:vMerge w:val="continue"/>
                  <w:vAlign w:val="center"/>
                </w:tcPr>
                <w:p>
                  <w:pPr>
                    <w:jc w:val="center"/>
                    <w:rPr>
                      <w:szCs w:val="21"/>
                    </w:rPr>
                  </w:pPr>
                </w:p>
              </w:tc>
              <w:tc>
                <w:tcPr>
                  <w:tcW w:w="715" w:type="pct"/>
                  <w:vMerge w:val="continue"/>
                  <w:vAlign w:val="center"/>
                </w:tcPr>
                <w:p>
                  <w:pPr>
                    <w:jc w:val="center"/>
                    <w:rPr>
                      <w:szCs w:val="21"/>
                    </w:rPr>
                  </w:pPr>
                </w:p>
              </w:tc>
              <w:tc>
                <w:tcPr>
                  <w:tcW w:w="694" w:type="pct"/>
                  <w:vMerge w:val="continue"/>
                  <w:vAlign w:val="center"/>
                </w:tcPr>
                <w:p>
                  <w:pPr>
                    <w:jc w:val="center"/>
                    <w:rPr>
                      <w:szCs w:val="21"/>
                    </w:rPr>
                  </w:pPr>
                </w:p>
              </w:tc>
              <w:tc>
                <w:tcPr>
                  <w:tcW w:w="524" w:type="pct"/>
                  <w:vMerge w:val="continue"/>
                  <w:vAlign w:val="center"/>
                </w:tcPr>
                <w:p>
                  <w:pPr>
                    <w:jc w:val="center"/>
                    <w:rPr>
                      <w:szCs w:val="21"/>
                    </w:rPr>
                  </w:pPr>
                </w:p>
              </w:tc>
              <w:tc>
                <w:tcPr>
                  <w:tcW w:w="891" w:type="pct"/>
                  <w:vMerge w:val="continue"/>
                  <w:vAlign w:val="center"/>
                </w:tcPr>
                <w:p>
                  <w:pPr>
                    <w:jc w:val="center"/>
                    <w:rPr>
                      <w:szCs w:val="21"/>
                    </w:rPr>
                  </w:pPr>
                </w:p>
              </w:tc>
              <w:tc>
                <w:tcPr>
                  <w:tcW w:w="685" w:type="pct"/>
                  <w:vMerge w:val="continue"/>
                  <w:vAlign w:val="center"/>
                </w:tcPr>
                <w:p>
                  <w:pPr>
                    <w:jc w:val="center"/>
                    <w:rPr>
                      <w:szCs w:val="21"/>
                    </w:rPr>
                  </w:pPr>
                </w:p>
              </w:tc>
              <w:tc>
                <w:tcPr>
                  <w:tcW w:w="667" w:type="pct"/>
                  <w:vAlign w:val="center"/>
                </w:tcPr>
                <w:p>
                  <w:pPr>
                    <w:pStyle w:val="123"/>
                    <w:rPr>
                      <w:b/>
                    </w:rPr>
                  </w:pPr>
                  <w:r>
                    <w:rPr>
                      <w:b/>
                    </w:rPr>
                    <w:t>固体废物</w:t>
                  </w:r>
                </w:p>
              </w:tc>
              <w:tc>
                <w:tcPr>
                  <w:tcW w:w="467" w:type="pct"/>
                  <w:vMerge w:val="continue"/>
                  <w:vAlign w:val="center"/>
                </w:tcPr>
                <w:p>
                  <w:pPr>
                    <w:pStyle w:val="123"/>
                    <w:rPr>
                      <w:b/>
                    </w:rPr>
                  </w:pPr>
                </w:p>
              </w:tc>
            </w:tr>
            <w:tr>
              <w:tblPrEx>
                <w:tblBorders>
                  <w:top w:val="single" w:color="auto" w:sz="12" w:space="0"/>
                  <w:left w:val="none" w:color="auto" w:sz="0" w:space="0"/>
                  <w:bottom w:val="single" w:color="auto" w:sz="12"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340" w:hRule="atLeast"/>
                <w:jc w:val="center"/>
              </w:trPr>
              <w:tc>
                <w:tcPr>
                  <w:tcW w:w="352" w:type="pct"/>
                  <w:vAlign w:val="center"/>
                </w:tcPr>
                <w:p>
                  <w:pPr>
                    <w:jc w:val="center"/>
                    <w:rPr>
                      <w:szCs w:val="21"/>
                    </w:rPr>
                  </w:pPr>
                  <w:r>
                    <w:rPr>
                      <w:rFonts w:hint="eastAsia"/>
                      <w:szCs w:val="21"/>
                    </w:rPr>
                    <w:t>1</w:t>
                  </w:r>
                </w:p>
              </w:tc>
              <w:tc>
                <w:tcPr>
                  <w:tcW w:w="715" w:type="pct"/>
                  <w:vAlign w:val="center"/>
                </w:tcPr>
                <w:p>
                  <w:pPr>
                    <w:jc w:val="center"/>
                    <w:rPr>
                      <w:szCs w:val="21"/>
                    </w:rPr>
                  </w:pPr>
                  <w:r>
                    <w:rPr>
                      <w:rFonts w:hint="eastAsia"/>
                      <w:szCs w:val="21"/>
                    </w:rPr>
                    <w:t>废包装材料</w:t>
                  </w:r>
                </w:p>
              </w:tc>
              <w:tc>
                <w:tcPr>
                  <w:tcW w:w="694" w:type="pct"/>
                  <w:vAlign w:val="center"/>
                </w:tcPr>
                <w:p>
                  <w:pPr>
                    <w:jc w:val="center"/>
                    <w:rPr>
                      <w:szCs w:val="21"/>
                    </w:rPr>
                  </w:pPr>
                  <w:r>
                    <w:rPr>
                      <w:rFonts w:hint="eastAsia"/>
                      <w:szCs w:val="21"/>
                    </w:rPr>
                    <w:t>原料拆封</w:t>
                  </w:r>
                </w:p>
              </w:tc>
              <w:tc>
                <w:tcPr>
                  <w:tcW w:w="524" w:type="pct"/>
                  <w:vAlign w:val="center"/>
                </w:tcPr>
                <w:p>
                  <w:pPr>
                    <w:jc w:val="center"/>
                    <w:rPr>
                      <w:szCs w:val="21"/>
                    </w:rPr>
                  </w:pPr>
                  <w:r>
                    <w:rPr>
                      <w:rFonts w:hint="eastAsia"/>
                      <w:szCs w:val="21"/>
                    </w:rPr>
                    <w:t>固态</w:t>
                  </w:r>
                </w:p>
              </w:tc>
              <w:tc>
                <w:tcPr>
                  <w:tcW w:w="891" w:type="pct"/>
                  <w:vAlign w:val="center"/>
                </w:tcPr>
                <w:p>
                  <w:pPr>
                    <w:jc w:val="center"/>
                    <w:rPr>
                      <w:rFonts w:hint="eastAsia" w:eastAsia="宋体"/>
                      <w:szCs w:val="21"/>
                      <w:lang w:eastAsia="zh-CN"/>
                    </w:rPr>
                  </w:pPr>
                  <w:r>
                    <w:rPr>
                      <w:rFonts w:hint="eastAsia"/>
                      <w:szCs w:val="21"/>
                    </w:rPr>
                    <w:t>纸板、包装袋</w:t>
                  </w:r>
                  <w:r>
                    <w:rPr>
                      <w:rFonts w:hint="eastAsia"/>
                      <w:szCs w:val="21"/>
                      <w:lang w:eastAsia="zh-CN"/>
                    </w:rPr>
                    <w:t>等</w:t>
                  </w:r>
                </w:p>
              </w:tc>
              <w:tc>
                <w:tcPr>
                  <w:tcW w:w="685" w:type="pct"/>
                  <w:vAlign w:val="center"/>
                </w:tcPr>
                <w:p>
                  <w:pPr>
                    <w:jc w:val="center"/>
                    <w:rPr>
                      <w:szCs w:val="21"/>
                    </w:rPr>
                  </w:pPr>
                  <w:r>
                    <w:rPr>
                      <w:rFonts w:hint="eastAsia"/>
                      <w:szCs w:val="21"/>
                    </w:rPr>
                    <w:t>0.</w:t>
                  </w:r>
                  <w:r>
                    <w:rPr>
                      <w:rFonts w:hint="eastAsia"/>
                      <w:szCs w:val="21"/>
                      <w:lang w:val="en-US" w:eastAsia="zh-CN"/>
                    </w:rPr>
                    <w:t>0</w:t>
                  </w:r>
                  <w:r>
                    <w:rPr>
                      <w:rFonts w:hint="eastAsia"/>
                      <w:szCs w:val="21"/>
                    </w:rPr>
                    <w:t>1</w:t>
                  </w:r>
                </w:p>
              </w:tc>
              <w:tc>
                <w:tcPr>
                  <w:tcW w:w="667" w:type="pct"/>
                  <w:vAlign w:val="center"/>
                </w:tcPr>
                <w:p>
                  <w:pPr>
                    <w:jc w:val="center"/>
                    <w:rPr>
                      <w:szCs w:val="21"/>
                    </w:rPr>
                  </w:pPr>
                  <w:r>
                    <w:rPr>
                      <w:bCs/>
                      <w:kern w:val="18"/>
                      <w:szCs w:val="21"/>
                    </w:rPr>
                    <w:t>√</w:t>
                  </w:r>
                </w:p>
              </w:tc>
              <w:tc>
                <w:tcPr>
                  <w:tcW w:w="467" w:type="pct"/>
                  <w:vMerge w:val="restart"/>
                  <w:vAlign w:val="center"/>
                </w:tcPr>
                <w:p>
                  <w:pPr>
                    <w:jc w:val="center"/>
                    <w:rPr>
                      <w:bCs/>
                      <w:kern w:val="18"/>
                      <w:szCs w:val="21"/>
                    </w:rPr>
                  </w:pPr>
                  <w:r>
                    <w:rPr>
                      <w:bCs/>
                    </w:rPr>
                    <w:t>《固体废物鉴别标准 通则》</w:t>
                  </w:r>
                </w:p>
              </w:tc>
            </w:tr>
            <w:tr>
              <w:tblPrEx>
                <w:tblBorders>
                  <w:top w:val="single" w:color="auto" w:sz="12" w:space="0"/>
                  <w:left w:val="none" w:color="auto" w:sz="0" w:space="0"/>
                  <w:bottom w:val="single" w:color="auto" w:sz="12"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340" w:hRule="atLeast"/>
                <w:jc w:val="center"/>
              </w:trPr>
              <w:tc>
                <w:tcPr>
                  <w:tcW w:w="352" w:type="pct"/>
                  <w:vAlign w:val="center"/>
                </w:tcPr>
                <w:p>
                  <w:pPr>
                    <w:jc w:val="center"/>
                    <w:rPr>
                      <w:szCs w:val="21"/>
                    </w:rPr>
                  </w:pPr>
                  <w:r>
                    <w:rPr>
                      <w:rFonts w:hint="eastAsia"/>
                      <w:szCs w:val="21"/>
                    </w:rPr>
                    <w:t>2</w:t>
                  </w:r>
                </w:p>
              </w:tc>
              <w:tc>
                <w:tcPr>
                  <w:tcW w:w="715" w:type="pct"/>
                  <w:vAlign w:val="center"/>
                </w:tcPr>
                <w:p>
                  <w:pPr>
                    <w:jc w:val="center"/>
                    <w:rPr>
                      <w:rFonts w:hint="eastAsia" w:eastAsia="宋体"/>
                      <w:szCs w:val="21"/>
                      <w:lang w:eastAsia="zh-CN"/>
                    </w:rPr>
                  </w:pPr>
                  <w:r>
                    <w:rPr>
                      <w:rFonts w:hint="eastAsia"/>
                      <w:szCs w:val="21"/>
                      <w:lang w:eastAsia="zh-CN"/>
                    </w:rPr>
                    <w:t>不合格品</w:t>
                  </w:r>
                </w:p>
              </w:tc>
              <w:tc>
                <w:tcPr>
                  <w:tcW w:w="694" w:type="pct"/>
                  <w:vAlign w:val="center"/>
                </w:tcPr>
                <w:p>
                  <w:pPr>
                    <w:jc w:val="center"/>
                    <w:rPr>
                      <w:rFonts w:hint="eastAsia" w:eastAsia="宋体"/>
                      <w:szCs w:val="21"/>
                      <w:lang w:eastAsia="zh-CN"/>
                    </w:rPr>
                  </w:pPr>
                  <w:r>
                    <w:rPr>
                      <w:rFonts w:hint="eastAsia"/>
                      <w:szCs w:val="21"/>
                      <w:lang w:eastAsia="zh-CN"/>
                    </w:rPr>
                    <w:t>注塑成型</w:t>
                  </w:r>
                </w:p>
              </w:tc>
              <w:tc>
                <w:tcPr>
                  <w:tcW w:w="524" w:type="pct"/>
                  <w:vAlign w:val="center"/>
                </w:tcPr>
                <w:p>
                  <w:pPr>
                    <w:jc w:val="center"/>
                    <w:rPr>
                      <w:szCs w:val="21"/>
                    </w:rPr>
                  </w:pPr>
                  <w:r>
                    <w:rPr>
                      <w:rFonts w:hint="eastAsia"/>
                      <w:szCs w:val="21"/>
                    </w:rPr>
                    <w:t>固态</w:t>
                  </w:r>
                </w:p>
              </w:tc>
              <w:tc>
                <w:tcPr>
                  <w:tcW w:w="891" w:type="pct"/>
                  <w:vAlign w:val="center"/>
                </w:tcPr>
                <w:p>
                  <w:pPr>
                    <w:jc w:val="center"/>
                    <w:rPr>
                      <w:rFonts w:hint="eastAsia" w:eastAsia="宋体"/>
                      <w:szCs w:val="21"/>
                      <w:lang w:eastAsia="zh-CN"/>
                    </w:rPr>
                  </w:pPr>
                  <w:r>
                    <w:rPr>
                      <w:rFonts w:hint="eastAsia"/>
                      <w:szCs w:val="21"/>
                      <w:lang w:eastAsia="zh-CN"/>
                    </w:rPr>
                    <w:t>废塑料手柄</w:t>
                  </w:r>
                </w:p>
              </w:tc>
              <w:tc>
                <w:tcPr>
                  <w:tcW w:w="685" w:type="pct"/>
                  <w:vAlign w:val="center"/>
                </w:tcPr>
                <w:p>
                  <w:pPr>
                    <w:jc w:val="center"/>
                    <w:rPr>
                      <w:rFonts w:hint="default" w:eastAsia="宋体"/>
                      <w:szCs w:val="21"/>
                      <w:lang w:val="en-US" w:eastAsia="zh-CN"/>
                    </w:rPr>
                  </w:pPr>
                  <w:r>
                    <w:rPr>
                      <w:rFonts w:hint="eastAsia"/>
                      <w:szCs w:val="21"/>
                      <w:lang w:val="en-US" w:eastAsia="zh-CN"/>
                    </w:rPr>
                    <w:t>0.05</w:t>
                  </w:r>
                </w:p>
              </w:tc>
              <w:tc>
                <w:tcPr>
                  <w:tcW w:w="667" w:type="pct"/>
                  <w:vAlign w:val="center"/>
                </w:tcPr>
                <w:p>
                  <w:pPr>
                    <w:jc w:val="center"/>
                    <w:rPr>
                      <w:bCs/>
                      <w:kern w:val="18"/>
                      <w:szCs w:val="21"/>
                    </w:rPr>
                  </w:pPr>
                  <w:r>
                    <w:rPr>
                      <w:bCs/>
                      <w:kern w:val="18"/>
                      <w:szCs w:val="21"/>
                    </w:rPr>
                    <w:t>√</w:t>
                  </w:r>
                </w:p>
              </w:tc>
              <w:tc>
                <w:tcPr>
                  <w:tcW w:w="467" w:type="pct"/>
                  <w:vMerge w:val="continue"/>
                  <w:vAlign w:val="center"/>
                </w:tcPr>
                <w:p>
                  <w:pPr>
                    <w:jc w:val="center"/>
                    <w:rPr>
                      <w:bCs/>
                      <w:kern w:val="18"/>
                      <w:szCs w:val="21"/>
                    </w:rPr>
                  </w:pPr>
                </w:p>
              </w:tc>
            </w:tr>
            <w:tr>
              <w:tblPrEx>
                <w:tblBorders>
                  <w:top w:val="single" w:color="auto" w:sz="12" w:space="0"/>
                  <w:left w:val="none" w:color="auto" w:sz="0" w:space="0"/>
                  <w:bottom w:val="single" w:color="auto" w:sz="12"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340" w:hRule="atLeast"/>
                <w:jc w:val="center"/>
              </w:trPr>
              <w:tc>
                <w:tcPr>
                  <w:tcW w:w="352" w:type="pct"/>
                  <w:vAlign w:val="center"/>
                </w:tcPr>
                <w:p>
                  <w:pPr>
                    <w:jc w:val="center"/>
                    <w:rPr>
                      <w:rFonts w:hint="eastAsia" w:ascii="Times New Roman" w:hAnsi="Times New Roman" w:eastAsia="宋体" w:cs="Times New Roman"/>
                      <w:kern w:val="2"/>
                      <w:sz w:val="21"/>
                      <w:szCs w:val="21"/>
                      <w:lang w:val="en-US" w:eastAsia="zh-CN" w:bidi="ar-SA"/>
                    </w:rPr>
                  </w:pPr>
                  <w:r>
                    <w:rPr>
                      <w:rFonts w:hint="eastAsia"/>
                      <w:szCs w:val="21"/>
                    </w:rPr>
                    <w:t>3</w:t>
                  </w:r>
                </w:p>
              </w:tc>
              <w:tc>
                <w:tcPr>
                  <w:tcW w:w="715" w:type="pct"/>
                  <w:vAlign w:val="center"/>
                </w:tcPr>
                <w:p>
                  <w:pPr>
                    <w:jc w:val="center"/>
                    <w:rPr>
                      <w:rFonts w:hint="eastAsia"/>
                      <w:szCs w:val="21"/>
                      <w:lang w:eastAsia="zh-CN"/>
                    </w:rPr>
                  </w:pPr>
                  <w:r>
                    <w:rPr>
                      <w:rFonts w:hint="eastAsia"/>
                      <w:szCs w:val="21"/>
                      <w:lang w:eastAsia="zh-CN"/>
                    </w:rPr>
                    <w:t>废金属碎屑</w:t>
                  </w:r>
                </w:p>
              </w:tc>
              <w:tc>
                <w:tcPr>
                  <w:tcW w:w="694" w:type="pct"/>
                  <w:vAlign w:val="center"/>
                </w:tcPr>
                <w:p>
                  <w:pPr>
                    <w:jc w:val="center"/>
                    <w:rPr>
                      <w:rFonts w:hint="eastAsia"/>
                      <w:szCs w:val="21"/>
                      <w:lang w:eastAsia="zh-CN"/>
                    </w:rPr>
                  </w:pPr>
                  <w:r>
                    <w:rPr>
                      <w:rFonts w:hint="eastAsia"/>
                      <w:szCs w:val="21"/>
                      <w:lang w:eastAsia="zh-CN"/>
                    </w:rPr>
                    <w:t>成型工序</w:t>
                  </w:r>
                </w:p>
              </w:tc>
              <w:tc>
                <w:tcPr>
                  <w:tcW w:w="524" w:type="pct"/>
                  <w:vAlign w:val="center"/>
                </w:tcPr>
                <w:p>
                  <w:pPr>
                    <w:jc w:val="center"/>
                    <w:rPr>
                      <w:rFonts w:hint="eastAsia" w:eastAsia="宋体"/>
                      <w:szCs w:val="21"/>
                      <w:lang w:eastAsia="zh-CN"/>
                    </w:rPr>
                  </w:pPr>
                  <w:r>
                    <w:rPr>
                      <w:rFonts w:hint="eastAsia"/>
                      <w:szCs w:val="21"/>
                      <w:lang w:eastAsia="zh-CN"/>
                    </w:rPr>
                    <w:t>固态</w:t>
                  </w:r>
                </w:p>
              </w:tc>
              <w:tc>
                <w:tcPr>
                  <w:tcW w:w="891" w:type="pct"/>
                  <w:vAlign w:val="center"/>
                </w:tcPr>
                <w:p>
                  <w:pPr>
                    <w:jc w:val="center"/>
                    <w:rPr>
                      <w:rFonts w:hint="eastAsia"/>
                      <w:szCs w:val="21"/>
                      <w:lang w:eastAsia="zh-CN"/>
                    </w:rPr>
                  </w:pPr>
                  <w:r>
                    <w:rPr>
                      <w:rFonts w:hint="eastAsia"/>
                      <w:szCs w:val="21"/>
                      <w:lang w:eastAsia="zh-CN"/>
                    </w:rPr>
                    <w:t>镍钛碎屑、不锈钢碎屑</w:t>
                  </w:r>
                </w:p>
              </w:tc>
              <w:tc>
                <w:tcPr>
                  <w:tcW w:w="685" w:type="pct"/>
                  <w:vAlign w:val="center"/>
                </w:tcPr>
                <w:p>
                  <w:pPr>
                    <w:jc w:val="center"/>
                    <w:rPr>
                      <w:rFonts w:hint="default" w:eastAsia="宋体"/>
                      <w:szCs w:val="21"/>
                      <w:lang w:val="en-US" w:eastAsia="zh-CN"/>
                    </w:rPr>
                  </w:pPr>
                  <w:r>
                    <w:rPr>
                      <w:rFonts w:hint="eastAsia"/>
                      <w:szCs w:val="21"/>
                      <w:lang w:val="en-US" w:eastAsia="zh-CN"/>
                    </w:rPr>
                    <w:t>0.05</w:t>
                  </w:r>
                </w:p>
              </w:tc>
              <w:tc>
                <w:tcPr>
                  <w:tcW w:w="667" w:type="pct"/>
                  <w:vAlign w:val="center"/>
                </w:tcPr>
                <w:p>
                  <w:pPr>
                    <w:jc w:val="center"/>
                    <w:rPr>
                      <w:bCs/>
                      <w:kern w:val="18"/>
                      <w:szCs w:val="21"/>
                    </w:rPr>
                  </w:pPr>
                  <w:r>
                    <w:rPr>
                      <w:bCs/>
                      <w:kern w:val="18"/>
                      <w:szCs w:val="21"/>
                    </w:rPr>
                    <w:t>√</w:t>
                  </w:r>
                </w:p>
              </w:tc>
              <w:tc>
                <w:tcPr>
                  <w:tcW w:w="467" w:type="pct"/>
                  <w:vMerge w:val="continue"/>
                  <w:vAlign w:val="center"/>
                </w:tcPr>
                <w:p>
                  <w:pPr>
                    <w:jc w:val="center"/>
                    <w:rPr>
                      <w:bCs/>
                      <w:kern w:val="18"/>
                      <w:szCs w:val="21"/>
                    </w:rPr>
                  </w:pPr>
                </w:p>
              </w:tc>
            </w:tr>
            <w:tr>
              <w:tblPrEx>
                <w:tblBorders>
                  <w:top w:val="single" w:color="auto" w:sz="12" w:space="0"/>
                  <w:left w:val="none" w:color="auto" w:sz="0" w:space="0"/>
                  <w:bottom w:val="single" w:color="auto" w:sz="12"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340" w:hRule="atLeast"/>
                <w:jc w:val="center"/>
              </w:trPr>
              <w:tc>
                <w:tcPr>
                  <w:tcW w:w="352" w:type="pct"/>
                  <w:vAlign w:val="center"/>
                </w:tcPr>
                <w:p>
                  <w:pPr>
                    <w:jc w:val="center"/>
                    <w:rPr>
                      <w:rFonts w:ascii="Times New Roman" w:hAnsi="Times New Roman" w:eastAsia="宋体" w:cs="Times New Roman"/>
                      <w:kern w:val="2"/>
                      <w:sz w:val="21"/>
                      <w:szCs w:val="21"/>
                      <w:lang w:val="en-US" w:eastAsia="zh-CN" w:bidi="ar-SA"/>
                    </w:rPr>
                  </w:pPr>
                  <w:r>
                    <w:rPr>
                      <w:rFonts w:hint="eastAsia"/>
                      <w:szCs w:val="21"/>
                    </w:rPr>
                    <w:t>4</w:t>
                  </w:r>
                </w:p>
              </w:tc>
              <w:tc>
                <w:tcPr>
                  <w:tcW w:w="715" w:type="pct"/>
                  <w:vAlign w:val="center"/>
                </w:tcPr>
                <w:p>
                  <w:pPr>
                    <w:pStyle w:val="123"/>
                    <w:rPr>
                      <w:rFonts w:hint="eastAsia" w:eastAsia="宋体"/>
                      <w:szCs w:val="21"/>
                      <w:lang w:eastAsia="zh-CN"/>
                    </w:rPr>
                  </w:pPr>
                  <w:r>
                    <w:rPr>
                      <w:rFonts w:hint="eastAsia"/>
                    </w:rPr>
                    <w:t>废切削液</w:t>
                  </w:r>
                </w:p>
              </w:tc>
              <w:tc>
                <w:tcPr>
                  <w:tcW w:w="694" w:type="pct"/>
                  <w:vAlign w:val="center"/>
                </w:tcPr>
                <w:p>
                  <w:pPr>
                    <w:pStyle w:val="123"/>
                    <w:rPr>
                      <w:rFonts w:hint="eastAsia" w:eastAsia="宋体"/>
                      <w:szCs w:val="21"/>
                      <w:lang w:eastAsia="zh-CN"/>
                    </w:rPr>
                  </w:pPr>
                  <w:r>
                    <w:rPr>
                      <w:rFonts w:hint="eastAsia"/>
                      <w:szCs w:val="21"/>
                      <w:lang w:eastAsia="zh-CN"/>
                    </w:rPr>
                    <w:t>成型工序</w:t>
                  </w:r>
                </w:p>
              </w:tc>
              <w:tc>
                <w:tcPr>
                  <w:tcW w:w="524" w:type="pct"/>
                  <w:vAlign w:val="center"/>
                </w:tcPr>
                <w:p>
                  <w:pPr>
                    <w:pStyle w:val="123"/>
                    <w:rPr>
                      <w:szCs w:val="21"/>
                    </w:rPr>
                  </w:pPr>
                  <w:r>
                    <w:rPr>
                      <w:rFonts w:hint="eastAsia"/>
                    </w:rPr>
                    <w:t>液态</w:t>
                  </w:r>
                </w:p>
              </w:tc>
              <w:tc>
                <w:tcPr>
                  <w:tcW w:w="891" w:type="pct"/>
                  <w:vAlign w:val="center"/>
                </w:tcPr>
                <w:p>
                  <w:pPr>
                    <w:pStyle w:val="123"/>
                    <w:rPr>
                      <w:szCs w:val="21"/>
                    </w:rPr>
                  </w:pPr>
                  <w:r>
                    <w:rPr>
                      <w:rFonts w:hint="eastAsia"/>
                    </w:rPr>
                    <w:t>废切削液</w:t>
                  </w:r>
                </w:p>
              </w:tc>
              <w:tc>
                <w:tcPr>
                  <w:tcW w:w="685" w:type="pct"/>
                  <w:vAlign w:val="center"/>
                </w:tcPr>
                <w:p>
                  <w:pPr>
                    <w:jc w:val="center"/>
                    <w:rPr>
                      <w:rFonts w:hint="default" w:eastAsia="宋体"/>
                      <w:szCs w:val="21"/>
                      <w:lang w:val="en-US" w:eastAsia="zh-CN"/>
                    </w:rPr>
                  </w:pPr>
                  <w:r>
                    <w:rPr>
                      <w:rFonts w:hint="eastAsia"/>
                      <w:szCs w:val="21"/>
                      <w:lang w:val="en-US" w:eastAsia="zh-CN"/>
                    </w:rPr>
                    <w:t>1.68</w:t>
                  </w:r>
                </w:p>
              </w:tc>
              <w:tc>
                <w:tcPr>
                  <w:tcW w:w="667" w:type="pct"/>
                  <w:vAlign w:val="center"/>
                </w:tcPr>
                <w:p>
                  <w:pPr>
                    <w:jc w:val="center"/>
                    <w:rPr>
                      <w:bCs/>
                      <w:kern w:val="18"/>
                      <w:szCs w:val="21"/>
                    </w:rPr>
                  </w:pPr>
                  <w:r>
                    <w:rPr>
                      <w:bCs/>
                      <w:kern w:val="18"/>
                      <w:szCs w:val="21"/>
                    </w:rPr>
                    <w:t>√</w:t>
                  </w:r>
                </w:p>
              </w:tc>
              <w:tc>
                <w:tcPr>
                  <w:tcW w:w="467" w:type="pct"/>
                  <w:vMerge w:val="continue"/>
                  <w:vAlign w:val="center"/>
                </w:tcPr>
                <w:p>
                  <w:pPr>
                    <w:jc w:val="center"/>
                    <w:rPr>
                      <w:bCs/>
                      <w:kern w:val="18"/>
                      <w:szCs w:val="21"/>
                    </w:rPr>
                  </w:pPr>
                </w:p>
              </w:tc>
            </w:tr>
            <w:tr>
              <w:tblPrEx>
                <w:tblBorders>
                  <w:top w:val="single" w:color="auto" w:sz="12" w:space="0"/>
                  <w:left w:val="none" w:color="auto" w:sz="0" w:space="0"/>
                  <w:bottom w:val="single" w:color="auto" w:sz="12"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350" w:hRule="atLeast"/>
                <w:jc w:val="center"/>
              </w:trPr>
              <w:tc>
                <w:tcPr>
                  <w:tcW w:w="352" w:type="pct"/>
                  <w:vAlign w:val="center"/>
                </w:tcPr>
                <w:p>
                  <w:pPr>
                    <w:jc w:val="center"/>
                    <w:rPr>
                      <w:rFonts w:ascii="Times New Roman" w:hAnsi="Times New Roman" w:eastAsia="宋体" w:cs="Times New Roman"/>
                      <w:kern w:val="2"/>
                      <w:sz w:val="21"/>
                      <w:szCs w:val="21"/>
                      <w:lang w:val="en-US" w:eastAsia="zh-CN" w:bidi="ar-SA"/>
                    </w:rPr>
                  </w:pPr>
                  <w:r>
                    <w:rPr>
                      <w:rFonts w:hint="eastAsia"/>
                      <w:szCs w:val="21"/>
                    </w:rPr>
                    <w:t>5</w:t>
                  </w:r>
                </w:p>
              </w:tc>
              <w:tc>
                <w:tcPr>
                  <w:tcW w:w="715" w:type="pct"/>
                  <w:vAlign w:val="center"/>
                </w:tcPr>
                <w:p>
                  <w:pPr>
                    <w:jc w:val="center"/>
                    <w:rPr>
                      <w:szCs w:val="21"/>
                    </w:rPr>
                  </w:pPr>
                  <w:r>
                    <w:rPr>
                      <w:rFonts w:hint="eastAsia"/>
                      <w:szCs w:val="21"/>
                    </w:rPr>
                    <w:t>废活性炭</w:t>
                  </w:r>
                </w:p>
              </w:tc>
              <w:tc>
                <w:tcPr>
                  <w:tcW w:w="694" w:type="pct"/>
                  <w:vAlign w:val="center"/>
                </w:tcPr>
                <w:p>
                  <w:pPr>
                    <w:jc w:val="center"/>
                    <w:rPr>
                      <w:szCs w:val="21"/>
                    </w:rPr>
                  </w:pPr>
                  <w:r>
                    <w:rPr>
                      <w:rFonts w:hint="eastAsia"/>
                      <w:szCs w:val="21"/>
                    </w:rPr>
                    <w:t>废气处理</w:t>
                  </w:r>
                </w:p>
              </w:tc>
              <w:tc>
                <w:tcPr>
                  <w:tcW w:w="524" w:type="pct"/>
                  <w:vAlign w:val="center"/>
                </w:tcPr>
                <w:p>
                  <w:pPr>
                    <w:jc w:val="center"/>
                    <w:rPr>
                      <w:szCs w:val="21"/>
                    </w:rPr>
                  </w:pPr>
                  <w:r>
                    <w:rPr>
                      <w:rFonts w:hint="eastAsia"/>
                      <w:szCs w:val="21"/>
                    </w:rPr>
                    <w:t>固态</w:t>
                  </w:r>
                </w:p>
              </w:tc>
              <w:tc>
                <w:tcPr>
                  <w:tcW w:w="891" w:type="pct"/>
                  <w:vAlign w:val="center"/>
                </w:tcPr>
                <w:p>
                  <w:pPr>
                    <w:jc w:val="center"/>
                    <w:rPr>
                      <w:color w:val="0000FF"/>
                      <w:szCs w:val="21"/>
                    </w:rPr>
                  </w:pPr>
                  <w:r>
                    <w:rPr>
                      <w:rFonts w:hint="eastAsia"/>
                      <w:color w:val="0000FF"/>
                      <w:szCs w:val="21"/>
                    </w:rPr>
                    <w:t>废活性炭</w:t>
                  </w:r>
                </w:p>
              </w:tc>
              <w:tc>
                <w:tcPr>
                  <w:tcW w:w="685" w:type="pct"/>
                  <w:vAlign w:val="center"/>
                </w:tcPr>
                <w:p>
                  <w:pPr>
                    <w:jc w:val="center"/>
                    <w:rPr>
                      <w:rFonts w:hint="default" w:eastAsia="宋体"/>
                      <w:color w:val="0000FF"/>
                      <w:szCs w:val="21"/>
                      <w:lang w:val="en-US" w:eastAsia="zh-CN"/>
                    </w:rPr>
                  </w:pPr>
                  <w:r>
                    <w:rPr>
                      <w:rFonts w:hint="eastAsia"/>
                      <w:color w:val="0000FF"/>
                      <w:szCs w:val="21"/>
                      <w:lang w:val="en-US" w:eastAsia="zh-CN"/>
                    </w:rPr>
                    <w:t>0.002</w:t>
                  </w:r>
                </w:p>
              </w:tc>
              <w:tc>
                <w:tcPr>
                  <w:tcW w:w="667" w:type="pct"/>
                  <w:vAlign w:val="center"/>
                </w:tcPr>
                <w:p>
                  <w:pPr>
                    <w:jc w:val="center"/>
                    <w:rPr>
                      <w:bCs/>
                      <w:kern w:val="18"/>
                      <w:szCs w:val="21"/>
                    </w:rPr>
                  </w:pPr>
                  <w:r>
                    <w:rPr>
                      <w:bCs/>
                      <w:kern w:val="18"/>
                      <w:szCs w:val="21"/>
                    </w:rPr>
                    <w:t>√</w:t>
                  </w:r>
                </w:p>
              </w:tc>
              <w:tc>
                <w:tcPr>
                  <w:tcW w:w="467" w:type="pct"/>
                  <w:vMerge w:val="continue"/>
                  <w:vAlign w:val="center"/>
                </w:tcPr>
                <w:p>
                  <w:pPr>
                    <w:jc w:val="center"/>
                    <w:rPr>
                      <w:bCs/>
                      <w:kern w:val="18"/>
                      <w:szCs w:val="21"/>
                    </w:rPr>
                  </w:pPr>
                </w:p>
              </w:tc>
            </w:tr>
            <w:tr>
              <w:tblPrEx>
                <w:tblBorders>
                  <w:top w:val="single" w:color="auto" w:sz="12" w:space="0"/>
                  <w:left w:val="none" w:color="auto" w:sz="0" w:space="0"/>
                  <w:bottom w:val="single" w:color="auto" w:sz="12"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340" w:hRule="atLeast"/>
                <w:jc w:val="center"/>
              </w:trPr>
              <w:tc>
                <w:tcPr>
                  <w:tcW w:w="352" w:type="pct"/>
                  <w:vAlign w:val="center"/>
                </w:tcPr>
                <w:p>
                  <w:pPr>
                    <w:jc w:val="center"/>
                    <w:rPr>
                      <w:rFonts w:ascii="Times New Roman" w:hAnsi="Times New Roman" w:eastAsia="宋体" w:cs="Times New Roman"/>
                      <w:kern w:val="2"/>
                      <w:sz w:val="21"/>
                      <w:szCs w:val="21"/>
                      <w:lang w:val="en-US" w:eastAsia="zh-CN" w:bidi="ar-SA"/>
                    </w:rPr>
                  </w:pPr>
                  <w:r>
                    <w:rPr>
                      <w:rFonts w:hint="eastAsia"/>
                      <w:szCs w:val="21"/>
                    </w:rPr>
                    <w:t>6</w:t>
                  </w:r>
                </w:p>
              </w:tc>
              <w:tc>
                <w:tcPr>
                  <w:tcW w:w="715" w:type="pct"/>
                  <w:vAlign w:val="center"/>
                </w:tcPr>
                <w:p>
                  <w:pPr>
                    <w:jc w:val="center"/>
                    <w:rPr>
                      <w:rFonts w:ascii="Times New Roman" w:hAnsi="Times New Roman" w:eastAsia="宋体" w:cs="Times New Roman"/>
                      <w:kern w:val="2"/>
                      <w:sz w:val="21"/>
                      <w:szCs w:val="21"/>
                      <w:lang w:val="en-US" w:eastAsia="zh-CN" w:bidi="ar-SA"/>
                    </w:rPr>
                  </w:pPr>
                  <w:r>
                    <w:rPr>
                      <w:rFonts w:hint="eastAsia"/>
                      <w:szCs w:val="21"/>
                    </w:rPr>
                    <w:t>废润滑油</w:t>
                  </w:r>
                </w:p>
              </w:tc>
              <w:tc>
                <w:tcPr>
                  <w:tcW w:w="694" w:type="pct"/>
                  <w:vAlign w:val="center"/>
                </w:tcPr>
                <w:p>
                  <w:pPr>
                    <w:jc w:val="center"/>
                    <w:rPr>
                      <w:rFonts w:ascii="Times New Roman" w:hAnsi="Times New Roman" w:eastAsia="宋体" w:cs="Times New Roman"/>
                      <w:kern w:val="2"/>
                      <w:sz w:val="21"/>
                      <w:szCs w:val="21"/>
                      <w:lang w:val="en-US" w:eastAsia="zh-CN" w:bidi="ar-SA"/>
                    </w:rPr>
                  </w:pPr>
                  <w:r>
                    <w:rPr>
                      <w:rFonts w:hint="eastAsia"/>
                      <w:szCs w:val="21"/>
                    </w:rPr>
                    <w:t>设备维护</w:t>
                  </w:r>
                </w:p>
              </w:tc>
              <w:tc>
                <w:tcPr>
                  <w:tcW w:w="524" w:type="pct"/>
                  <w:vAlign w:val="center"/>
                </w:tcPr>
                <w:p>
                  <w:pPr>
                    <w:jc w:val="center"/>
                    <w:rPr>
                      <w:rFonts w:ascii="Times New Roman" w:hAnsi="Times New Roman" w:eastAsia="宋体" w:cs="Times New Roman"/>
                      <w:kern w:val="2"/>
                      <w:sz w:val="21"/>
                      <w:szCs w:val="21"/>
                      <w:lang w:val="en-US" w:eastAsia="zh-CN" w:bidi="ar-SA"/>
                    </w:rPr>
                  </w:pPr>
                  <w:r>
                    <w:rPr>
                      <w:rFonts w:hint="eastAsia"/>
                      <w:szCs w:val="21"/>
                    </w:rPr>
                    <w:t>液态</w:t>
                  </w:r>
                </w:p>
              </w:tc>
              <w:tc>
                <w:tcPr>
                  <w:tcW w:w="891" w:type="pct"/>
                  <w:vAlign w:val="center"/>
                </w:tcPr>
                <w:p>
                  <w:pPr>
                    <w:jc w:val="center"/>
                    <w:rPr>
                      <w:rFonts w:ascii="Times New Roman" w:hAnsi="Times New Roman" w:eastAsia="宋体" w:cs="Times New Roman"/>
                      <w:kern w:val="2"/>
                      <w:sz w:val="21"/>
                      <w:szCs w:val="21"/>
                      <w:lang w:val="en-US" w:eastAsia="zh-CN" w:bidi="ar-SA"/>
                    </w:rPr>
                  </w:pPr>
                  <w:r>
                    <w:rPr>
                      <w:rFonts w:hint="eastAsia"/>
                      <w:szCs w:val="21"/>
                    </w:rPr>
                    <w:t>废矿物油</w:t>
                  </w:r>
                </w:p>
              </w:tc>
              <w:tc>
                <w:tcPr>
                  <w:tcW w:w="685" w:type="pct"/>
                  <w:vAlign w:val="center"/>
                </w:tcPr>
                <w:p>
                  <w:pPr>
                    <w:jc w:val="center"/>
                    <w:rPr>
                      <w:rFonts w:hint="eastAsia" w:ascii="Times New Roman" w:hAnsi="Times New Roman" w:eastAsia="宋体" w:cs="Times New Roman"/>
                      <w:kern w:val="2"/>
                      <w:sz w:val="21"/>
                      <w:szCs w:val="21"/>
                      <w:lang w:val="en-US" w:eastAsia="zh-CN" w:bidi="ar-SA"/>
                    </w:rPr>
                  </w:pPr>
                  <w:r>
                    <w:rPr>
                      <w:rFonts w:hint="eastAsia"/>
                      <w:szCs w:val="21"/>
                    </w:rPr>
                    <w:t>0.</w:t>
                  </w:r>
                  <w:r>
                    <w:rPr>
                      <w:rFonts w:hint="eastAsia"/>
                      <w:szCs w:val="21"/>
                      <w:lang w:val="en-US" w:eastAsia="zh-CN"/>
                    </w:rPr>
                    <w:t>3</w:t>
                  </w:r>
                </w:p>
              </w:tc>
              <w:tc>
                <w:tcPr>
                  <w:tcW w:w="667" w:type="pct"/>
                  <w:vAlign w:val="center"/>
                </w:tcPr>
                <w:p>
                  <w:pPr>
                    <w:jc w:val="center"/>
                    <w:rPr>
                      <w:rFonts w:ascii="Times New Roman" w:hAnsi="Times New Roman" w:eastAsia="宋体" w:cs="Times New Roman"/>
                      <w:bCs/>
                      <w:kern w:val="18"/>
                      <w:sz w:val="21"/>
                      <w:szCs w:val="21"/>
                      <w:lang w:val="en-US" w:eastAsia="zh-CN" w:bidi="ar-SA"/>
                    </w:rPr>
                  </w:pPr>
                  <w:r>
                    <w:rPr>
                      <w:bCs/>
                      <w:kern w:val="18"/>
                      <w:szCs w:val="21"/>
                    </w:rPr>
                    <w:t>√</w:t>
                  </w:r>
                </w:p>
              </w:tc>
              <w:tc>
                <w:tcPr>
                  <w:tcW w:w="467" w:type="pct"/>
                  <w:vMerge w:val="continue"/>
                  <w:vAlign w:val="center"/>
                </w:tcPr>
                <w:p>
                  <w:pPr>
                    <w:jc w:val="center"/>
                    <w:rPr>
                      <w:bCs/>
                      <w:kern w:val="18"/>
                      <w:szCs w:val="21"/>
                    </w:rPr>
                  </w:pPr>
                </w:p>
              </w:tc>
            </w:tr>
            <w:tr>
              <w:tblPrEx>
                <w:tblBorders>
                  <w:top w:val="single" w:color="auto" w:sz="12" w:space="0"/>
                  <w:left w:val="none" w:color="auto" w:sz="0" w:space="0"/>
                  <w:bottom w:val="single" w:color="auto" w:sz="12"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245" w:hRule="atLeast"/>
                <w:jc w:val="center"/>
              </w:trPr>
              <w:tc>
                <w:tcPr>
                  <w:tcW w:w="352" w:type="pct"/>
                  <w:vAlign w:val="center"/>
                </w:tcPr>
                <w:p>
                  <w:pPr>
                    <w:jc w:val="center"/>
                    <w:rPr>
                      <w:rFonts w:ascii="Times New Roman" w:hAnsi="Times New Roman" w:eastAsia="宋体" w:cs="Times New Roman"/>
                      <w:kern w:val="2"/>
                      <w:sz w:val="21"/>
                      <w:szCs w:val="21"/>
                      <w:lang w:val="en-US" w:eastAsia="zh-CN" w:bidi="ar-SA"/>
                    </w:rPr>
                  </w:pPr>
                  <w:r>
                    <w:rPr>
                      <w:rFonts w:hint="eastAsia"/>
                      <w:szCs w:val="21"/>
                    </w:rPr>
                    <w:t>7</w:t>
                  </w:r>
                </w:p>
              </w:tc>
              <w:tc>
                <w:tcPr>
                  <w:tcW w:w="715" w:type="pct"/>
                  <w:vAlign w:val="center"/>
                </w:tcPr>
                <w:p>
                  <w:pPr>
                    <w:jc w:val="center"/>
                    <w:rPr>
                      <w:szCs w:val="21"/>
                    </w:rPr>
                  </w:pPr>
                  <w:r>
                    <w:rPr>
                      <w:rFonts w:hint="eastAsia"/>
                      <w:szCs w:val="21"/>
                    </w:rPr>
                    <w:t>废包装桶</w:t>
                  </w:r>
                </w:p>
              </w:tc>
              <w:tc>
                <w:tcPr>
                  <w:tcW w:w="694" w:type="pct"/>
                  <w:vAlign w:val="center"/>
                </w:tcPr>
                <w:p>
                  <w:pPr>
                    <w:jc w:val="center"/>
                    <w:rPr>
                      <w:szCs w:val="21"/>
                    </w:rPr>
                  </w:pPr>
                  <w:r>
                    <w:rPr>
                      <w:rFonts w:hint="eastAsia"/>
                      <w:szCs w:val="21"/>
                    </w:rPr>
                    <w:t>原料拆封</w:t>
                  </w:r>
                </w:p>
              </w:tc>
              <w:tc>
                <w:tcPr>
                  <w:tcW w:w="524" w:type="pct"/>
                  <w:vAlign w:val="center"/>
                </w:tcPr>
                <w:p>
                  <w:pPr>
                    <w:jc w:val="center"/>
                    <w:rPr>
                      <w:szCs w:val="21"/>
                    </w:rPr>
                  </w:pPr>
                  <w:r>
                    <w:rPr>
                      <w:rFonts w:hint="eastAsia"/>
                      <w:szCs w:val="21"/>
                    </w:rPr>
                    <w:t>固态</w:t>
                  </w:r>
                </w:p>
              </w:tc>
              <w:tc>
                <w:tcPr>
                  <w:tcW w:w="891" w:type="pct"/>
                  <w:vAlign w:val="center"/>
                </w:tcPr>
                <w:p>
                  <w:pPr>
                    <w:jc w:val="center"/>
                    <w:rPr>
                      <w:rFonts w:hint="eastAsia" w:eastAsia="宋体"/>
                      <w:szCs w:val="21"/>
                      <w:lang w:val="en-US" w:eastAsia="zh-CN"/>
                    </w:rPr>
                  </w:pPr>
                  <w:r>
                    <w:rPr>
                      <w:rFonts w:hint="eastAsia"/>
                      <w:szCs w:val="21"/>
                    </w:rPr>
                    <w:t>废桶</w:t>
                  </w:r>
                </w:p>
              </w:tc>
              <w:tc>
                <w:tcPr>
                  <w:tcW w:w="685" w:type="pct"/>
                  <w:vAlign w:val="center"/>
                </w:tcPr>
                <w:p>
                  <w:pPr>
                    <w:jc w:val="center"/>
                    <w:rPr>
                      <w:rFonts w:hint="default" w:eastAsia="宋体"/>
                      <w:szCs w:val="21"/>
                      <w:lang w:val="en-US" w:eastAsia="zh-CN"/>
                    </w:rPr>
                  </w:pPr>
                  <w:r>
                    <w:rPr>
                      <w:rFonts w:hint="eastAsia"/>
                      <w:szCs w:val="21"/>
                    </w:rPr>
                    <w:t>0.</w:t>
                  </w:r>
                  <w:r>
                    <w:rPr>
                      <w:rFonts w:hint="eastAsia"/>
                      <w:szCs w:val="21"/>
                      <w:lang w:val="en-US" w:eastAsia="zh-CN"/>
                    </w:rPr>
                    <w:t>07</w:t>
                  </w:r>
                </w:p>
              </w:tc>
              <w:tc>
                <w:tcPr>
                  <w:tcW w:w="667" w:type="pct"/>
                  <w:vAlign w:val="center"/>
                </w:tcPr>
                <w:p>
                  <w:pPr>
                    <w:jc w:val="center"/>
                    <w:rPr>
                      <w:bCs/>
                      <w:kern w:val="18"/>
                      <w:szCs w:val="21"/>
                    </w:rPr>
                  </w:pPr>
                  <w:r>
                    <w:rPr>
                      <w:bCs/>
                      <w:kern w:val="18"/>
                      <w:szCs w:val="21"/>
                    </w:rPr>
                    <w:t>√</w:t>
                  </w:r>
                </w:p>
              </w:tc>
              <w:tc>
                <w:tcPr>
                  <w:tcW w:w="467" w:type="pct"/>
                  <w:vMerge w:val="continue"/>
                  <w:vAlign w:val="center"/>
                </w:tcPr>
                <w:p>
                  <w:pPr>
                    <w:jc w:val="center"/>
                    <w:rPr>
                      <w:bCs/>
                      <w:kern w:val="18"/>
                      <w:szCs w:val="21"/>
                    </w:rPr>
                  </w:pPr>
                </w:p>
              </w:tc>
            </w:tr>
            <w:tr>
              <w:tblPrEx>
                <w:tblBorders>
                  <w:top w:val="single" w:color="auto" w:sz="12" w:space="0"/>
                  <w:left w:val="none" w:color="auto" w:sz="0" w:space="0"/>
                  <w:bottom w:val="single" w:color="auto" w:sz="12"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340" w:hRule="atLeast"/>
                <w:jc w:val="center"/>
              </w:trPr>
              <w:tc>
                <w:tcPr>
                  <w:tcW w:w="352" w:type="pct"/>
                  <w:vAlign w:val="center"/>
                </w:tcPr>
                <w:p>
                  <w:pPr>
                    <w:jc w:val="center"/>
                    <w:rPr>
                      <w:rFonts w:ascii="Times New Roman" w:hAnsi="Times New Roman" w:eastAsia="宋体" w:cs="Times New Roman"/>
                      <w:kern w:val="2"/>
                      <w:sz w:val="21"/>
                      <w:szCs w:val="21"/>
                      <w:lang w:val="en-US" w:eastAsia="zh-CN" w:bidi="ar-SA"/>
                    </w:rPr>
                  </w:pPr>
                  <w:r>
                    <w:rPr>
                      <w:rFonts w:hint="eastAsia"/>
                      <w:szCs w:val="21"/>
                    </w:rPr>
                    <w:t>8</w:t>
                  </w:r>
                </w:p>
              </w:tc>
              <w:tc>
                <w:tcPr>
                  <w:tcW w:w="715" w:type="pct"/>
                  <w:vAlign w:val="center"/>
                </w:tcPr>
                <w:p>
                  <w:pPr>
                    <w:jc w:val="center"/>
                    <w:rPr>
                      <w:rFonts w:hint="eastAsia" w:eastAsia="宋体"/>
                      <w:szCs w:val="21"/>
                      <w:lang w:eastAsia="zh-CN"/>
                    </w:rPr>
                  </w:pPr>
                  <w:r>
                    <w:rPr>
                      <w:rFonts w:hint="eastAsia"/>
                      <w:szCs w:val="21"/>
                    </w:rPr>
                    <w:t>废</w:t>
                  </w:r>
                  <w:r>
                    <w:rPr>
                      <w:rFonts w:hint="eastAsia"/>
                      <w:szCs w:val="21"/>
                      <w:lang w:eastAsia="zh-CN"/>
                    </w:rPr>
                    <w:t>含油抹布</w:t>
                  </w:r>
                </w:p>
              </w:tc>
              <w:tc>
                <w:tcPr>
                  <w:tcW w:w="694" w:type="pct"/>
                  <w:vAlign w:val="center"/>
                </w:tcPr>
                <w:p>
                  <w:pPr>
                    <w:jc w:val="center"/>
                    <w:rPr>
                      <w:rFonts w:hint="eastAsia" w:eastAsia="宋体"/>
                      <w:szCs w:val="21"/>
                      <w:lang w:eastAsia="zh-CN"/>
                    </w:rPr>
                  </w:pPr>
                  <w:r>
                    <w:rPr>
                      <w:rFonts w:hint="eastAsia"/>
                      <w:szCs w:val="21"/>
                      <w:lang w:eastAsia="zh-CN"/>
                    </w:rPr>
                    <w:t>设备维护</w:t>
                  </w:r>
                </w:p>
              </w:tc>
              <w:tc>
                <w:tcPr>
                  <w:tcW w:w="524" w:type="pct"/>
                  <w:vAlign w:val="center"/>
                </w:tcPr>
                <w:p>
                  <w:pPr>
                    <w:jc w:val="center"/>
                    <w:rPr>
                      <w:szCs w:val="21"/>
                    </w:rPr>
                  </w:pPr>
                  <w:r>
                    <w:rPr>
                      <w:rFonts w:hint="eastAsia"/>
                      <w:szCs w:val="21"/>
                    </w:rPr>
                    <w:t>固态</w:t>
                  </w:r>
                </w:p>
              </w:tc>
              <w:tc>
                <w:tcPr>
                  <w:tcW w:w="891" w:type="pct"/>
                  <w:vAlign w:val="center"/>
                </w:tcPr>
                <w:p>
                  <w:pPr>
                    <w:jc w:val="center"/>
                    <w:rPr>
                      <w:rFonts w:hint="eastAsia" w:eastAsia="宋体"/>
                      <w:szCs w:val="21"/>
                      <w:lang w:eastAsia="zh-CN"/>
                    </w:rPr>
                  </w:pPr>
                  <w:r>
                    <w:rPr>
                      <w:rFonts w:hint="eastAsia"/>
                      <w:szCs w:val="21"/>
                    </w:rPr>
                    <w:t>废</w:t>
                  </w:r>
                  <w:r>
                    <w:rPr>
                      <w:rFonts w:hint="eastAsia"/>
                      <w:szCs w:val="21"/>
                      <w:lang w:eastAsia="zh-CN"/>
                    </w:rPr>
                    <w:t>含油抹布</w:t>
                  </w:r>
                </w:p>
              </w:tc>
              <w:tc>
                <w:tcPr>
                  <w:tcW w:w="685" w:type="pct"/>
                  <w:vAlign w:val="center"/>
                </w:tcPr>
                <w:p>
                  <w:pPr>
                    <w:jc w:val="center"/>
                    <w:rPr>
                      <w:rFonts w:hint="eastAsia" w:eastAsia="宋体"/>
                      <w:szCs w:val="21"/>
                      <w:lang w:eastAsia="zh-CN"/>
                    </w:rPr>
                  </w:pPr>
                  <w:r>
                    <w:rPr>
                      <w:rFonts w:hint="eastAsia"/>
                      <w:szCs w:val="21"/>
                    </w:rPr>
                    <w:t>0.0</w:t>
                  </w:r>
                  <w:r>
                    <w:rPr>
                      <w:rFonts w:hint="eastAsia"/>
                      <w:szCs w:val="21"/>
                      <w:lang w:val="en-US" w:eastAsia="zh-CN"/>
                    </w:rPr>
                    <w:t>5</w:t>
                  </w:r>
                </w:p>
              </w:tc>
              <w:tc>
                <w:tcPr>
                  <w:tcW w:w="667" w:type="pct"/>
                  <w:vAlign w:val="center"/>
                </w:tcPr>
                <w:p>
                  <w:pPr>
                    <w:jc w:val="center"/>
                    <w:rPr>
                      <w:bCs/>
                      <w:kern w:val="18"/>
                      <w:szCs w:val="21"/>
                    </w:rPr>
                  </w:pPr>
                  <w:r>
                    <w:rPr>
                      <w:bCs/>
                      <w:kern w:val="18"/>
                      <w:szCs w:val="21"/>
                    </w:rPr>
                    <w:t>√</w:t>
                  </w:r>
                </w:p>
              </w:tc>
              <w:tc>
                <w:tcPr>
                  <w:tcW w:w="467" w:type="pct"/>
                  <w:vMerge w:val="continue"/>
                  <w:vAlign w:val="center"/>
                </w:tcPr>
                <w:p>
                  <w:pPr>
                    <w:jc w:val="center"/>
                    <w:rPr>
                      <w:bCs/>
                      <w:kern w:val="18"/>
                      <w:szCs w:val="21"/>
                    </w:rPr>
                  </w:pPr>
                </w:p>
              </w:tc>
            </w:tr>
            <w:tr>
              <w:tblPrEx>
                <w:tblBorders>
                  <w:top w:val="single" w:color="auto" w:sz="12" w:space="0"/>
                  <w:left w:val="none" w:color="auto" w:sz="0" w:space="0"/>
                  <w:bottom w:val="single" w:color="auto" w:sz="12"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340" w:hRule="atLeast"/>
                <w:jc w:val="center"/>
              </w:trPr>
              <w:tc>
                <w:tcPr>
                  <w:tcW w:w="352" w:type="pct"/>
                  <w:vAlign w:val="center"/>
                </w:tcPr>
                <w:p>
                  <w:pPr>
                    <w:jc w:val="center"/>
                    <w:rPr>
                      <w:rFonts w:hint="eastAsia" w:eastAsia="宋体"/>
                      <w:szCs w:val="21"/>
                      <w:lang w:val="en-US" w:eastAsia="zh-CN"/>
                    </w:rPr>
                  </w:pPr>
                  <w:r>
                    <w:rPr>
                      <w:rFonts w:hint="eastAsia"/>
                      <w:szCs w:val="21"/>
                      <w:lang w:val="en-US" w:eastAsia="zh-CN"/>
                    </w:rPr>
                    <w:t>9</w:t>
                  </w:r>
                </w:p>
              </w:tc>
              <w:tc>
                <w:tcPr>
                  <w:tcW w:w="715" w:type="pct"/>
                  <w:vAlign w:val="center"/>
                </w:tcPr>
                <w:p>
                  <w:pPr>
                    <w:jc w:val="center"/>
                    <w:rPr>
                      <w:szCs w:val="21"/>
                    </w:rPr>
                  </w:pPr>
                  <w:r>
                    <w:rPr>
                      <w:rFonts w:hint="eastAsia"/>
                      <w:szCs w:val="21"/>
                    </w:rPr>
                    <w:t>生活垃圾</w:t>
                  </w:r>
                </w:p>
              </w:tc>
              <w:tc>
                <w:tcPr>
                  <w:tcW w:w="694" w:type="pct"/>
                  <w:vAlign w:val="center"/>
                </w:tcPr>
                <w:p>
                  <w:pPr>
                    <w:jc w:val="center"/>
                    <w:rPr>
                      <w:szCs w:val="21"/>
                    </w:rPr>
                  </w:pPr>
                  <w:r>
                    <w:rPr>
                      <w:rFonts w:hint="eastAsia"/>
                      <w:szCs w:val="21"/>
                    </w:rPr>
                    <w:t>员工日常生活</w:t>
                  </w:r>
                </w:p>
              </w:tc>
              <w:tc>
                <w:tcPr>
                  <w:tcW w:w="524" w:type="pct"/>
                  <w:vAlign w:val="center"/>
                </w:tcPr>
                <w:p>
                  <w:pPr>
                    <w:jc w:val="center"/>
                    <w:rPr>
                      <w:szCs w:val="21"/>
                    </w:rPr>
                  </w:pPr>
                  <w:r>
                    <w:rPr>
                      <w:rFonts w:hint="eastAsia"/>
                      <w:szCs w:val="21"/>
                    </w:rPr>
                    <w:t>固态</w:t>
                  </w:r>
                </w:p>
              </w:tc>
              <w:tc>
                <w:tcPr>
                  <w:tcW w:w="891" w:type="pct"/>
                  <w:vAlign w:val="center"/>
                </w:tcPr>
                <w:p>
                  <w:pPr>
                    <w:jc w:val="center"/>
                    <w:rPr>
                      <w:szCs w:val="21"/>
                    </w:rPr>
                  </w:pPr>
                  <w:r>
                    <w:rPr>
                      <w:rFonts w:hint="eastAsia"/>
                      <w:szCs w:val="21"/>
                    </w:rPr>
                    <w:t>果皮、纸屑等</w:t>
                  </w:r>
                </w:p>
              </w:tc>
              <w:tc>
                <w:tcPr>
                  <w:tcW w:w="685" w:type="pct"/>
                  <w:vAlign w:val="center"/>
                </w:tcPr>
                <w:p>
                  <w:pPr>
                    <w:jc w:val="center"/>
                    <w:rPr>
                      <w:rFonts w:hint="default" w:eastAsia="宋体"/>
                      <w:szCs w:val="21"/>
                      <w:lang w:val="en-US" w:eastAsia="zh-CN"/>
                    </w:rPr>
                  </w:pPr>
                  <w:r>
                    <w:rPr>
                      <w:rFonts w:hint="eastAsia"/>
                      <w:szCs w:val="21"/>
                      <w:lang w:val="en-US" w:eastAsia="zh-CN"/>
                    </w:rPr>
                    <w:t>4.5</w:t>
                  </w:r>
                </w:p>
              </w:tc>
              <w:tc>
                <w:tcPr>
                  <w:tcW w:w="667" w:type="pct"/>
                  <w:vAlign w:val="center"/>
                </w:tcPr>
                <w:p>
                  <w:pPr>
                    <w:jc w:val="center"/>
                    <w:rPr>
                      <w:bCs/>
                      <w:kern w:val="18"/>
                      <w:szCs w:val="21"/>
                    </w:rPr>
                  </w:pPr>
                  <w:r>
                    <w:rPr>
                      <w:bCs/>
                      <w:kern w:val="18"/>
                      <w:szCs w:val="21"/>
                    </w:rPr>
                    <w:t>√</w:t>
                  </w:r>
                </w:p>
              </w:tc>
              <w:tc>
                <w:tcPr>
                  <w:tcW w:w="467" w:type="pct"/>
                  <w:vMerge w:val="continue"/>
                  <w:vAlign w:val="center"/>
                </w:tcPr>
                <w:p>
                  <w:pPr>
                    <w:jc w:val="center"/>
                    <w:rPr>
                      <w:bCs/>
                      <w:kern w:val="18"/>
                      <w:szCs w:val="21"/>
                    </w:rPr>
                  </w:pPr>
                </w:p>
              </w:tc>
            </w:tr>
          </w:tbl>
          <w:p>
            <w:pPr>
              <w:jc w:val="center"/>
              <w:rPr>
                <w:b/>
                <w:szCs w:val="21"/>
              </w:rPr>
            </w:pPr>
            <w:r>
              <w:rPr>
                <w:b/>
                <w:szCs w:val="21"/>
              </w:rPr>
              <w:t>表</w:t>
            </w:r>
            <w:r>
              <w:rPr>
                <w:rFonts w:hint="eastAsia"/>
                <w:b/>
                <w:szCs w:val="21"/>
              </w:rPr>
              <w:t>5-8</w:t>
            </w:r>
            <w:r>
              <w:rPr>
                <w:b/>
                <w:szCs w:val="21"/>
              </w:rPr>
              <w:t xml:space="preserve">  本项目固体废物分析结果汇总一览表</w:t>
            </w:r>
          </w:p>
          <w:tbl>
            <w:tblPr>
              <w:tblStyle w:val="56"/>
              <w:tblW w:w="4995" w:type="pct"/>
              <w:jc w:val="center"/>
              <w:tblBorders>
                <w:top w:val="single" w:color="auto" w:sz="12" w:space="0"/>
                <w:left w:val="none" w:color="auto" w:sz="0" w:space="0"/>
                <w:bottom w:val="single" w:color="auto" w:sz="12"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
            <w:tblGrid>
              <w:gridCol w:w="427"/>
              <w:gridCol w:w="938"/>
              <w:gridCol w:w="780"/>
              <w:gridCol w:w="613"/>
              <w:gridCol w:w="923"/>
              <w:gridCol w:w="883"/>
              <w:gridCol w:w="826"/>
              <w:gridCol w:w="1197"/>
              <w:gridCol w:w="871"/>
              <w:gridCol w:w="846"/>
            </w:tblGrid>
            <w:tr>
              <w:tblPrEx>
                <w:tblBorders>
                  <w:top w:val="single" w:color="auto" w:sz="12" w:space="0"/>
                  <w:left w:val="none" w:color="auto" w:sz="0" w:space="0"/>
                  <w:bottom w:val="single" w:color="auto" w:sz="12"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340" w:hRule="atLeast"/>
                <w:jc w:val="center"/>
              </w:trPr>
              <w:tc>
                <w:tcPr>
                  <w:tcW w:w="257" w:type="pct"/>
                  <w:vAlign w:val="center"/>
                </w:tcPr>
                <w:p>
                  <w:pPr>
                    <w:pStyle w:val="123"/>
                    <w:rPr>
                      <w:b/>
                    </w:rPr>
                  </w:pPr>
                  <w:r>
                    <w:rPr>
                      <w:b/>
                    </w:rPr>
                    <w:t>序号</w:t>
                  </w:r>
                </w:p>
              </w:tc>
              <w:tc>
                <w:tcPr>
                  <w:tcW w:w="564" w:type="pct"/>
                  <w:vAlign w:val="center"/>
                </w:tcPr>
                <w:p>
                  <w:pPr>
                    <w:pStyle w:val="123"/>
                    <w:rPr>
                      <w:b/>
                    </w:rPr>
                  </w:pPr>
                  <w:r>
                    <w:rPr>
                      <w:b/>
                    </w:rPr>
                    <w:t>固废名称</w:t>
                  </w:r>
                </w:p>
              </w:tc>
              <w:tc>
                <w:tcPr>
                  <w:tcW w:w="469" w:type="pct"/>
                  <w:vAlign w:val="center"/>
                </w:tcPr>
                <w:p>
                  <w:pPr>
                    <w:pStyle w:val="123"/>
                    <w:rPr>
                      <w:b/>
                    </w:rPr>
                  </w:pPr>
                  <w:r>
                    <w:rPr>
                      <w:b/>
                    </w:rPr>
                    <w:t>产生工序</w:t>
                  </w:r>
                </w:p>
              </w:tc>
              <w:tc>
                <w:tcPr>
                  <w:tcW w:w="369" w:type="pct"/>
                  <w:vAlign w:val="center"/>
                </w:tcPr>
                <w:p>
                  <w:pPr>
                    <w:pStyle w:val="123"/>
                    <w:rPr>
                      <w:b/>
                    </w:rPr>
                  </w:pPr>
                  <w:r>
                    <w:rPr>
                      <w:b/>
                    </w:rPr>
                    <w:t>形态</w:t>
                  </w:r>
                </w:p>
              </w:tc>
              <w:tc>
                <w:tcPr>
                  <w:tcW w:w="555" w:type="pct"/>
                  <w:vAlign w:val="center"/>
                </w:tcPr>
                <w:p>
                  <w:pPr>
                    <w:pStyle w:val="123"/>
                    <w:rPr>
                      <w:b/>
                    </w:rPr>
                  </w:pPr>
                  <w:r>
                    <w:rPr>
                      <w:b/>
                    </w:rPr>
                    <w:t>主要成分</w:t>
                  </w:r>
                </w:p>
              </w:tc>
              <w:tc>
                <w:tcPr>
                  <w:tcW w:w="531" w:type="pct"/>
                  <w:vAlign w:val="center"/>
                </w:tcPr>
                <w:p>
                  <w:pPr>
                    <w:pStyle w:val="123"/>
                    <w:rPr>
                      <w:b/>
                    </w:rPr>
                  </w:pPr>
                  <w:r>
                    <w:rPr>
                      <w:b/>
                    </w:rPr>
                    <w:t>危险特性</w:t>
                  </w:r>
                </w:p>
              </w:tc>
              <w:tc>
                <w:tcPr>
                  <w:tcW w:w="497" w:type="pct"/>
                  <w:vAlign w:val="center"/>
                </w:tcPr>
                <w:p>
                  <w:pPr>
                    <w:pStyle w:val="123"/>
                    <w:rPr>
                      <w:b/>
                    </w:rPr>
                  </w:pPr>
                  <w:r>
                    <w:rPr>
                      <w:b/>
                    </w:rPr>
                    <w:t>废物类别</w:t>
                  </w:r>
                </w:p>
              </w:tc>
              <w:tc>
                <w:tcPr>
                  <w:tcW w:w="720" w:type="pct"/>
                  <w:vAlign w:val="center"/>
                </w:tcPr>
                <w:p>
                  <w:pPr>
                    <w:pStyle w:val="123"/>
                    <w:rPr>
                      <w:b/>
                    </w:rPr>
                  </w:pPr>
                  <w:r>
                    <w:rPr>
                      <w:b/>
                    </w:rPr>
                    <w:t>废物代码</w:t>
                  </w:r>
                </w:p>
              </w:tc>
              <w:tc>
                <w:tcPr>
                  <w:tcW w:w="524" w:type="pct"/>
                  <w:vAlign w:val="center"/>
                </w:tcPr>
                <w:p>
                  <w:pPr>
                    <w:pStyle w:val="123"/>
                    <w:rPr>
                      <w:b/>
                    </w:rPr>
                  </w:pPr>
                  <w:r>
                    <w:rPr>
                      <w:b/>
                    </w:rPr>
                    <w:t>产生量（t/a）</w:t>
                  </w:r>
                </w:p>
              </w:tc>
              <w:tc>
                <w:tcPr>
                  <w:tcW w:w="509" w:type="pct"/>
                  <w:vAlign w:val="center"/>
                </w:tcPr>
                <w:p>
                  <w:pPr>
                    <w:pStyle w:val="123"/>
                    <w:rPr>
                      <w:b/>
                    </w:rPr>
                  </w:pPr>
                  <w:r>
                    <w:rPr>
                      <w:b/>
                    </w:rPr>
                    <w:t>危险性鉴别方法</w:t>
                  </w:r>
                </w:p>
              </w:tc>
            </w:tr>
            <w:tr>
              <w:tblPrEx>
                <w:tblBorders>
                  <w:top w:val="single" w:color="auto" w:sz="12" w:space="0"/>
                  <w:left w:val="none" w:color="auto" w:sz="0" w:space="0"/>
                  <w:bottom w:val="single" w:color="auto" w:sz="12"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340" w:hRule="atLeast"/>
                <w:jc w:val="center"/>
              </w:trPr>
              <w:tc>
                <w:tcPr>
                  <w:tcW w:w="257" w:type="pct"/>
                  <w:vAlign w:val="center"/>
                </w:tcPr>
                <w:p>
                  <w:pPr>
                    <w:pStyle w:val="123"/>
                  </w:pPr>
                  <w:r>
                    <w:t>1</w:t>
                  </w:r>
                </w:p>
              </w:tc>
              <w:tc>
                <w:tcPr>
                  <w:tcW w:w="948" w:type="dxa"/>
                  <w:vAlign w:val="center"/>
                </w:tcPr>
                <w:p>
                  <w:pPr>
                    <w:jc w:val="center"/>
                    <w:rPr>
                      <w:szCs w:val="21"/>
                    </w:rPr>
                  </w:pPr>
                  <w:r>
                    <w:rPr>
                      <w:rFonts w:hint="eastAsia"/>
                      <w:szCs w:val="21"/>
                    </w:rPr>
                    <w:t>废包装材料</w:t>
                  </w:r>
                </w:p>
              </w:tc>
              <w:tc>
                <w:tcPr>
                  <w:tcW w:w="788" w:type="dxa"/>
                  <w:vAlign w:val="center"/>
                </w:tcPr>
                <w:p>
                  <w:pPr>
                    <w:jc w:val="center"/>
                    <w:rPr>
                      <w:szCs w:val="21"/>
                    </w:rPr>
                  </w:pPr>
                  <w:r>
                    <w:rPr>
                      <w:rFonts w:hint="eastAsia"/>
                      <w:szCs w:val="21"/>
                    </w:rPr>
                    <w:t>原料拆封</w:t>
                  </w:r>
                </w:p>
              </w:tc>
              <w:tc>
                <w:tcPr>
                  <w:tcW w:w="620" w:type="dxa"/>
                  <w:vAlign w:val="center"/>
                </w:tcPr>
                <w:p>
                  <w:pPr>
                    <w:jc w:val="center"/>
                    <w:rPr>
                      <w:szCs w:val="21"/>
                    </w:rPr>
                  </w:pPr>
                  <w:r>
                    <w:rPr>
                      <w:rFonts w:hint="eastAsia"/>
                      <w:szCs w:val="21"/>
                    </w:rPr>
                    <w:t>固态</w:t>
                  </w:r>
                </w:p>
              </w:tc>
              <w:tc>
                <w:tcPr>
                  <w:tcW w:w="932" w:type="dxa"/>
                  <w:vAlign w:val="center"/>
                </w:tcPr>
                <w:p>
                  <w:pPr>
                    <w:jc w:val="center"/>
                    <w:rPr>
                      <w:szCs w:val="21"/>
                    </w:rPr>
                  </w:pPr>
                  <w:r>
                    <w:rPr>
                      <w:rFonts w:hint="eastAsia"/>
                      <w:szCs w:val="21"/>
                    </w:rPr>
                    <w:t>纸板、包装袋</w:t>
                  </w:r>
                  <w:r>
                    <w:rPr>
                      <w:rFonts w:hint="eastAsia"/>
                      <w:szCs w:val="21"/>
                      <w:lang w:eastAsia="zh-CN"/>
                    </w:rPr>
                    <w:t>等</w:t>
                  </w:r>
                </w:p>
              </w:tc>
              <w:tc>
                <w:tcPr>
                  <w:tcW w:w="531" w:type="pct"/>
                  <w:vAlign w:val="center"/>
                </w:tcPr>
                <w:p>
                  <w:pPr>
                    <w:jc w:val="center"/>
                    <w:rPr>
                      <w:szCs w:val="21"/>
                    </w:rPr>
                  </w:pPr>
                  <w:r>
                    <w:rPr>
                      <w:rFonts w:hint="eastAsia"/>
                      <w:szCs w:val="21"/>
                    </w:rPr>
                    <w:t>—</w:t>
                  </w:r>
                </w:p>
              </w:tc>
              <w:tc>
                <w:tcPr>
                  <w:tcW w:w="497" w:type="pct"/>
                  <w:vAlign w:val="center"/>
                </w:tcPr>
                <w:p>
                  <w:pPr>
                    <w:jc w:val="center"/>
                    <w:rPr>
                      <w:szCs w:val="21"/>
                    </w:rPr>
                  </w:pPr>
                  <w:r>
                    <w:rPr>
                      <w:rFonts w:hint="eastAsia"/>
                      <w:szCs w:val="21"/>
                    </w:rPr>
                    <w:t>—</w:t>
                  </w:r>
                </w:p>
              </w:tc>
              <w:tc>
                <w:tcPr>
                  <w:tcW w:w="720" w:type="pct"/>
                  <w:vAlign w:val="center"/>
                </w:tcPr>
                <w:p>
                  <w:pPr>
                    <w:jc w:val="center"/>
                    <w:rPr>
                      <w:szCs w:val="21"/>
                    </w:rPr>
                  </w:pPr>
                  <w:r>
                    <w:rPr>
                      <w:rFonts w:hint="eastAsia"/>
                      <w:szCs w:val="21"/>
                    </w:rPr>
                    <w:t>—</w:t>
                  </w:r>
                </w:p>
              </w:tc>
              <w:tc>
                <w:tcPr>
                  <w:tcW w:w="880" w:type="dxa"/>
                  <w:vAlign w:val="center"/>
                </w:tcPr>
                <w:p>
                  <w:pPr>
                    <w:jc w:val="center"/>
                    <w:rPr>
                      <w:szCs w:val="21"/>
                    </w:rPr>
                  </w:pPr>
                  <w:r>
                    <w:rPr>
                      <w:rFonts w:hint="eastAsia"/>
                      <w:szCs w:val="21"/>
                    </w:rPr>
                    <w:t>0.</w:t>
                  </w:r>
                  <w:r>
                    <w:rPr>
                      <w:rFonts w:hint="eastAsia"/>
                      <w:szCs w:val="21"/>
                      <w:lang w:val="en-US" w:eastAsia="zh-CN"/>
                    </w:rPr>
                    <w:t>0</w:t>
                  </w:r>
                  <w:r>
                    <w:rPr>
                      <w:rFonts w:hint="eastAsia"/>
                      <w:szCs w:val="21"/>
                    </w:rPr>
                    <w:t>1</w:t>
                  </w:r>
                </w:p>
              </w:tc>
              <w:tc>
                <w:tcPr>
                  <w:tcW w:w="509" w:type="pct"/>
                  <w:vMerge w:val="restart"/>
                  <w:vAlign w:val="center"/>
                </w:tcPr>
                <w:p>
                  <w:pPr>
                    <w:pStyle w:val="123"/>
                    <w:rPr>
                      <w:b/>
                    </w:rPr>
                  </w:pPr>
                  <w:r>
                    <w:t>《国家危险废物名录》（2016年修订）</w:t>
                  </w:r>
                </w:p>
              </w:tc>
            </w:tr>
            <w:tr>
              <w:tblPrEx>
                <w:tblBorders>
                  <w:top w:val="single" w:color="auto" w:sz="12" w:space="0"/>
                  <w:left w:val="none" w:color="auto" w:sz="0" w:space="0"/>
                  <w:bottom w:val="single" w:color="auto" w:sz="12" w:space="0"/>
                  <w:right w:val="none" w:color="auto" w:sz="0" w:space="0"/>
                  <w:insideH w:val="single" w:color="auto" w:sz="2" w:space="0"/>
                  <w:insideV w:val="single" w:color="auto" w:sz="2" w:space="0"/>
                </w:tblBorders>
              </w:tblPrEx>
              <w:trPr>
                <w:trHeight w:val="90" w:hRule="atLeast"/>
                <w:jc w:val="center"/>
              </w:trPr>
              <w:tc>
                <w:tcPr>
                  <w:tcW w:w="257" w:type="pct"/>
                  <w:vAlign w:val="center"/>
                </w:tcPr>
                <w:p>
                  <w:pPr>
                    <w:pStyle w:val="123"/>
                  </w:pPr>
                  <w:r>
                    <w:t>2</w:t>
                  </w:r>
                </w:p>
              </w:tc>
              <w:tc>
                <w:tcPr>
                  <w:tcW w:w="948" w:type="dxa"/>
                  <w:vAlign w:val="center"/>
                </w:tcPr>
                <w:p>
                  <w:pPr>
                    <w:jc w:val="center"/>
                    <w:rPr>
                      <w:rFonts w:hint="eastAsia" w:ascii="Times New Roman" w:hAnsi="Times New Roman" w:eastAsia="宋体" w:cs="Times New Roman"/>
                      <w:kern w:val="2"/>
                      <w:sz w:val="21"/>
                      <w:szCs w:val="21"/>
                      <w:lang w:val="en-US" w:eastAsia="zh-CN" w:bidi="ar-SA"/>
                    </w:rPr>
                  </w:pPr>
                  <w:r>
                    <w:rPr>
                      <w:rFonts w:hint="eastAsia"/>
                      <w:szCs w:val="21"/>
                      <w:lang w:eastAsia="zh-CN"/>
                    </w:rPr>
                    <w:t>不合格品</w:t>
                  </w:r>
                </w:p>
              </w:tc>
              <w:tc>
                <w:tcPr>
                  <w:tcW w:w="788" w:type="dxa"/>
                  <w:vAlign w:val="center"/>
                </w:tcPr>
                <w:p>
                  <w:pPr>
                    <w:jc w:val="center"/>
                    <w:rPr>
                      <w:rFonts w:hint="eastAsia" w:ascii="Times New Roman" w:hAnsi="Times New Roman" w:eastAsia="宋体" w:cs="Times New Roman"/>
                      <w:kern w:val="2"/>
                      <w:sz w:val="21"/>
                      <w:szCs w:val="21"/>
                      <w:lang w:val="en-US" w:eastAsia="zh-CN" w:bidi="ar-SA"/>
                    </w:rPr>
                  </w:pPr>
                  <w:r>
                    <w:rPr>
                      <w:rFonts w:hint="eastAsia"/>
                      <w:szCs w:val="21"/>
                      <w:lang w:eastAsia="zh-CN"/>
                    </w:rPr>
                    <w:t>注塑成型</w:t>
                  </w:r>
                </w:p>
              </w:tc>
              <w:tc>
                <w:tcPr>
                  <w:tcW w:w="620" w:type="dxa"/>
                  <w:vAlign w:val="center"/>
                </w:tcPr>
                <w:p>
                  <w:pPr>
                    <w:jc w:val="center"/>
                    <w:rPr>
                      <w:rFonts w:ascii="Times New Roman" w:hAnsi="Times New Roman" w:eastAsia="宋体" w:cs="Times New Roman"/>
                      <w:kern w:val="2"/>
                      <w:sz w:val="21"/>
                      <w:szCs w:val="21"/>
                      <w:lang w:val="en-US" w:eastAsia="zh-CN" w:bidi="ar-SA"/>
                    </w:rPr>
                  </w:pPr>
                  <w:r>
                    <w:rPr>
                      <w:rFonts w:hint="eastAsia"/>
                      <w:szCs w:val="21"/>
                    </w:rPr>
                    <w:t>固态</w:t>
                  </w:r>
                </w:p>
              </w:tc>
              <w:tc>
                <w:tcPr>
                  <w:tcW w:w="932" w:type="dxa"/>
                  <w:vAlign w:val="center"/>
                </w:tcPr>
                <w:p>
                  <w:pPr>
                    <w:jc w:val="center"/>
                    <w:rPr>
                      <w:rFonts w:hint="eastAsia" w:ascii="Times New Roman" w:hAnsi="Times New Roman" w:eastAsia="宋体" w:cs="Times New Roman"/>
                      <w:kern w:val="2"/>
                      <w:sz w:val="21"/>
                      <w:szCs w:val="21"/>
                      <w:lang w:val="en-US" w:eastAsia="zh-CN" w:bidi="ar-SA"/>
                    </w:rPr>
                  </w:pPr>
                  <w:r>
                    <w:rPr>
                      <w:rFonts w:hint="eastAsia"/>
                      <w:szCs w:val="21"/>
                      <w:lang w:eastAsia="zh-CN"/>
                    </w:rPr>
                    <w:t>废塑料手柄</w:t>
                  </w:r>
                </w:p>
              </w:tc>
              <w:tc>
                <w:tcPr>
                  <w:tcW w:w="531" w:type="pct"/>
                  <w:vAlign w:val="center"/>
                </w:tcPr>
                <w:p>
                  <w:pPr>
                    <w:jc w:val="center"/>
                    <w:rPr>
                      <w:szCs w:val="21"/>
                    </w:rPr>
                  </w:pPr>
                  <w:r>
                    <w:rPr>
                      <w:rFonts w:hint="eastAsia"/>
                      <w:szCs w:val="21"/>
                    </w:rPr>
                    <w:t>—</w:t>
                  </w:r>
                </w:p>
              </w:tc>
              <w:tc>
                <w:tcPr>
                  <w:tcW w:w="497" w:type="pct"/>
                  <w:vAlign w:val="center"/>
                </w:tcPr>
                <w:p>
                  <w:pPr>
                    <w:jc w:val="center"/>
                    <w:rPr>
                      <w:szCs w:val="21"/>
                    </w:rPr>
                  </w:pPr>
                  <w:r>
                    <w:rPr>
                      <w:rFonts w:hint="eastAsia"/>
                      <w:szCs w:val="21"/>
                    </w:rPr>
                    <w:t>—</w:t>
                  </w:r>
                </w:p>
              </w:tc>
              <w:tc>
                <w:tcPr>
                  <w:tcW w:w="720" w:type="pct"/>
                  <w:vAlign w:val="center"/>
                </w:tcPr>
                <w:p>
                  <w:pPr>
                    <w:jc w:val="center"/>
                    <w:rPr>
                      <w:szCs w:val="21"/>
                    </w:rPr>
                  </w:pPr>
                  <w:r>
                    <w:rPr>
                      <w:rFonts w:hint="eastAsia"/>
                      <w:szCs w:val="21"/>
                    </w:rPr>
                    <w:t>—</w:t>
                  </w:r>
                </w:p>
              </w:tc>
              <w:tc>
                <w:tcPr>
                  <w:tcW w:w="880" w:type="dxa"/>
                  <w:vAlign w:val="center"/>
                </w:tcPr>
                <w:p>
                  <w:pPr>
                    <w:jc w:val="center"/>
                    <w:rPr>
                      <w:szCs w:val="21"/>
                    </w:rPr>
                  </w:pPr>
                  <w:r>
                    <w:rPr>
                      <w:rFonts w:hint="eastAsia"/>
                      <w:szCs w:val="21"/>
                      <w:lang w:val="en-US" w:eastAsia="zh-CN"/>
                    </w:rPr>
                    <w:t>0.05</w:t>
                  </w:r>
                </w:p>
              </w:tc>
              <w:tc>
                <w:tcPr>
                  <w:tcW w:w="509" w:type="pct"/>
                  <w:vMerge w:val="continue"/>
                  <w:vAlign w:val="center"/>
                </w:tcPr>
                <w:p>
                  <w:pPr>
                    <w:pStyle w:val="123"/>
                    <w:rPr>
                      <w:b/>
                    </w:rPr>
                  </w:pPr>
                </w:p>
              </w:tc>
            </w:tr>
            <w:tr>
              <w:tblPrEx>
                <w:tblBorders>
                  <w:top w:val="single" w:color="auto" w:sz="12" w:space="0"/>
                  <w:left w:val="none" w:color="auto" w:sz="0" w:space="0"/>
                  <w:bottom w:val="single" w:color="auto" w:sz="12" w:space="0"/>
                  <w:right w:val="none" w:color="auto" w:sz="0" w:space="0"/>
                  <w:insideH w:val="single" w:color="auto" w:sz="2" w:space="0"/>
                  <w:insideV w:val="single" w:color="auto" w:sz="2" w:space="0"/>
                </w:tblBorders>
              </w:tblPrEx>
              <w:trPr>
                <w:trHeight w:val="90" w:hRule="atLeast"/>
                <w:jc w:val="center"/>
              </w:trPr>
              <w:tc>
                <w:tcPr>
                  <w:tcW w:w="257" w:type="pct"/>
                  <w:vAlign w:val="center"/>
                </w:tcPr>
                <w:p>
                  <w:pPr>
                    <w:pStyle w:val="123"/>
                    <w:rPr>
                      <w:rFonts w:ascii="Times New Roman" w:hAnsi="Times New Roman" w:eastAsia="宋体" w:cs="Times New Roman"/>
                      <w:kern w:val="18"/>
                      <w:sz w:val="21"/>
                      <w:szCs w:val="21"/>
                      <w:lang w:val="en-US" w:eastAsia="zh-CN" w:bidi="ar-SA"/>
                    </w:rPr>
                  </w:pPr>
                  <w:r>
                    <w:t>3</w:t>
                  </w:r>
                </w:p>
              </w:tc>
              <w:tc>
                <w:tcPr>
                  <w:tcW w:w="948" w:type="dxa"/>
                  <w:vAlign w:val="center"/>
                </w:tcPr>
                <w:p>
                  <w:pPr>
                    <w:jc w:val="center"/>
                    <w:rPr>
                      <w:rFonts w:hint="eastAsia" w:ascii="Times New Roman" w:hAnsi="Times New Roman" w:eastAsia="宋体" w:cs="Times New Roman"/>
                      <w:kern w:val="2"/>
                      <w:sz w:val="21"/>
                      <w:szCs w:val="21"/>
                      <w:lang w:val="en-US" w:eastAsia="zh-CN" w:bidi="ar-SA"/>
                    </w:rPr>
                  </w:pPr>
                  <w:r>
                    <w:rPr>
                      <w:rFonts w:hint="eastAsia"/>
                      <w:szCs w:val="21"/>
                      <w:lang w:eastAsia="zh-CN"/>
                    </w:rPr>
                    <w:t>废金属碎屑</w:t>
                  </w:r>
                </w:p>
              </w:tc>
              <w:tc>
                <w:tcPr>
                  <w:tcW w:w="788" w:type="dxa"/>
                  <w:vAlign w:val="center"/>
                </w:tcPr>
                <w:p>
                  <w:pPr>
                    <w:jc w:val="center"/>
                    <w:rPr>
                      <w:rFonts w:hint="eastAsia" w:ascii="Times New Roman" w:hAnsi="Times New Roman" w:eastAsia="宋体" w:cs="Times New Roman"/>
                      <w:kern w:val="2"/>
                      <w:sz w:val="21"/>
                      <w:szCs w:val="21"/>
                      <w:lang w:val="en-US" w:eastAsia="zh-CN" w:bidi="ar-SA"/>
                    </w:rPr>
                  </w:pPr>
                  <w:r>
                    <w:rPr>
                      <w:rFonts w:hint="eastAsia"/>
                      <w:szCs w:val="21"/>
                      <w:lang w:eastAsia="zh-CN"/>
                    </w:rPr>
                    <w:t>成型工序</w:t>
                  </w:r>
                </w:p>
              </w:tc>
              <w:tc>
                <w:tcPr>
                  <w:tcW w:w="620" w:type="dxa"/>
                  <w:vAlign w:val="center"/>
                </w:tcPr>
                <w:p>
                  <w:pPr>
                    <w:jc w:val="center"/>
                    <w:rPr>
                      <w:rFonts w:hint="eastAsia" w:ascii="Times New Roman" w:hAnsi="Times New Roman" w:eastAsia="宋体" w:cs="Times New Roman"/>
                      <w:kern w:val="2"/>
                      <w:sz w:val="21"/>
                      <w:szCs w:val="21"/>
                      <w:lang w:val="en-US" w:eastAsia="zh-CN" w:bidi="ar-SA"/>
                    </w:rPr>
                  </w:pPr>
                  <w:r>
                    <w:rPr>
                      <w:rFonts w:hint="eastAsia"/>
                      <w:szCs w:val="21"/>
                      <w:lang w:eastAsia="zh-CN"/>
                    </w:rPr>
                    <w:t>固态</w:t>
                  </w:r>
                </w:p>
              </w:tc>
              <w:tc>
                <w:tcPr>
                  <w:tcW w:w="932" w:type="dxa"/>
                  <w:vAlign w:val="center"/>
                </w:tcPr>
                <w:p>
                  <w:pPr>
                    <w:jc w:val="center"/>
                    <w:rPr>
                      <w:rFonts w:hint="eastAsia" w:ascii="Times New Roman" w:hAnsi="Times New Roman" w:eastAsia="宋体" w:cs="Times New Roman"/>
                      <w:kern w:val="2"/>
                      <w:sz w:val="21"/>
                      <w:szCs w:val="21"/>
                      <w:lang w:val="en-US" w:eastAsia="zh-CN" w:bidi="ar-SA"/>
                    </w:rPr>
                  </w:pPr>
                  <w:r>
                    <w:rPr>
                      <w:rFonts w:hint="eastAsia"/>
                      <w:szCs w:val="21"/>
                      <w:lang w:eastAsia="zh-CN"/>
                    </w:rPr>
                    <w:t>镍钛碎屑、不锈钢碎屑</w:t>
                  </w:r>
                </w:p>
              </w:tc>
              <w:tc>
                <w:tcPr>
                  <w:tcW w:w="531" w:type="pct"/>
                  <w:vAlign w:val="center"/>
                </w:tcPr>
                <w:p>
                  <w:pPr>
                    <w:jc w:val="center"/>
                    <w:rPr>
                      <w:rFonts w:hint="eastAsia"/>
                      <w:szCs w:val="21"/>
                    </w:rPr>
                  </w:pPr>
                  <w:r>
                    <w:rPr>
                      <w:rFonts w:hint="eastAsia"/>
                      <w:szCs w:val="21"/>
                    </w:rPr>
                    <w:t>—</w:t>
                  </w:r>
                </w:p>
              </w:tc>
              <w:tc>
                <w:tcPr>
                  <w:tcW w:w="497" w:type="pct"/>
                  <w:vAlign w:val="center"/>
                </w:tcPr>
                <w:p>
                  <w:pPr>
                    <w:jc w:val="center"/>
                    <w:rPr>
                      <w:rFonts w:hint="eastAsia"/>
                      <w:szCs w:val="21"/>
                    </w:rPr>
                  </w:pPr>
                  <w:r>
                    <w:rPr>
                      <w:rFonts w:hint="eastAsia"/>
                      <w:szCs w:val="21"/>
                    </w:rPr>
                    <w:t>—</w:t>
                  </w:r>
                </w:p>
              </w:tc>
              <w:tc>
                <w:tcPr>
                  <w:tcW w:w="720" w:type="pct"/>
                  <w:vAlign w:val="center"/>
                </w:tcPr>
                <w:p>
                  <w:pPr>
                    <w:jc w:val="center"/>
                    <w:rPr>
                      <w:rFonts w:hint="eastAsia"/>
                      <w:szCs w:val="21"/>
                    </w:rPr>
                  </w:pPr>
                  <w:r>
                    <w:rPr>
                      <w:rFonts w:hint="eastAsia"/>
                      <w:szCs w:val="21"/>
                    </w:rPr>
                    <w:t>—</w:t>
                  </w:r>
                </w:p>
              </w:tc>
              <w:tc>
                <w:tcPr>
                  <w:tcW w:w="880" w:type="dxa"/>
                  <w:vAlign w:val="center"/>
                </w:tcPr>
                <w:p>
                  <w:pPr>
                    <w:jc w:val="center"/>
                    <w:rPr>
                      <w:rFonts w:hint="eastAsia"/>
                      <w:szCs w:val="21"/>
                    </w:rPr>
                  </w:pPr>
                  <w:r>
                    <w:rPr>
                      <w:rFonts w:hint="eastAsia"/>
                      <w:szCs w:val="21"/>
                      <w:lang w:val="en-US" w:eastAsia="zh-CN"/>
                    </w:rPr>
                    <w:t>0.05</w:t>
                  </w:r>
                </w:p>
              </w:tc>
              <w:tc>
                <w:tcPr>
                  <w:tcW w:w="509" w:type="pct"/>
                  <w:vMerge w:val="continue"/>
                  <w:vAlign w:val="center"/>
                </w:tcPr>
                <w:p>
                  <w:pPr>
                    <w:pStyle w:val="123"/>
                    <w:rPr>
                      <w:b/>
                    </w:rPr>
                  </w:pPr>
                </w:p>
              </w:tc>
            </w:tr>
            <w:tr>
              <w:tblPrEx>
                <w:tblBorders>
                  <w:top w:val="single" w:color="auto" w:sz="12" w:space="0"/>
                  <w:left w:val="none" w:color="auto" w:sz="0" w:space="0"/>
                  <w:bottom w:val="single" w:color="auto" w:sz="12" w:space="0"/>
                  <w:right w:val="none" w:color="auto" w:sz="0" w:space="0"/>
                  <w:insideH w:val="single" w:color="auto" w:sz="2" w:space="0"/>
                  <w:insideV w:val="single" w:color="auto" w:sz="2" w:space="0"/>
                </w:tblBorders>
              </w:tblPrEx>
              <w:trPr>
                <w:trHeight w:val="340" w:hRule="atLeast"/>
                <w:jc w:val="center"/>
              </w:trPr>
              <w:tc>
                <w:tcPr>
                  <w:tcW w:w="257" w:type="pct"/>
                  <w:vAlign w:val="center"/>
                </w:tcPr>
                <w:p>
                  <w:pPr>
                    <w:pStyle w:val="123"/>
                    <w:rPr>
                      <w:rFonts w:ascii="Times New Roman" w:hAnsi="Times New Roman" w:eastAsia="宋体" w:cs="Times New Roman"/>
                      <w:kern w:val="18"/>
                      <w:sz w:val="21"/>
                      <w:szCs w:val="21"/>
                      <w:lang w:val="en-US" w:eastAsia="zh-CN" w:bidi="ar-SA"/>
                    </w:rPr>
                  </w:pPr>
                  <w:r>
                    <w:t>4</w:t>
                  </w:r>
                </w:p>
              </w:tc>
              <w:tc>
                <w:tcPr>
                  <w:tcW w:w="948" w:type="dxa"/>
                  <w:vAlign w:val="center"/>
                </w:tcPr>
                <w:p>
                  <w:pPr>
                    <w:pStyle w:val="123"/>
                    <w:rPr>
                      <w:szCs w:val="21"/>
                    </w:rPr>
                  </w:pPr>
                  <w:r>
                    <w:rPr>
                      <w:rFonts w:hint="eastAsia"/>
                    </w:rPr>
                    <w:t>废切削液</w:t>
                  </w:r>
                </w:p>
              </w:tc>
              <w:tc>
                <w:tcPr>
                  <w:tcW w:w="788" w:type="dxa"/>
                  <w:vAlign w:val="center"/>
                </w:tcPr>
                <w:p>
                  <w:pPr>
                    <w:pStyle w:val="123"/>
                    <w:rPr>
                      <w:szCs w:val="21"/>
                    </w:rPr>
                  </w:pPr>
                  <w:r>
                    <w:rPr>
                      <w:rFonts w:hint="eastAsia"/>
                      <w:szCs w:val="21"/>
                      <w:lang w:eastAsia="zh-CN"/>
                    </w:rPr>
                    <w:t>成型工序</w:t>
                  </w:r>
                </w:p>
              </w:tc>
              <w:tc>
                <w:tcPr>
                  <w:tcW w:w="620" w:type="dxa"/>
                  <w:vAlign w:val="center"/>
                </w:tcPr>
                <w:p>
                  <w:pPr>
                    <w:pStyle w:val="123"/>
                    <w:rPr>
                      <w:szCs w:val="21"/>
                    </w:rPr>
                  </w:pPr>
                  <w:r>
                    <w:rPr>
                      <w:rFonts w:hint="eastAsia"/>
                    </w:rPr>
                    <w:t>液态</w:t>
                  </w:r>
                </w:p>
              </w:tc>
              <w:tc>
                <w:tcPr>
                  <w:tcW w:w="932" w:type="dxa"/>
                  <w:vAlign w:val="center"/>
                </w:tcPr>
                <w:p>
                  <w:pPr>
                    <w:pStyle w:val="123"/>
                    <w:rPr>
                      <w:szCs w:val="21"/>
                    </w:rPr>
                  </w:pPr>
                  <w:r>
                    <w:rPr>
                      <w:rFonts w:hint="eastAsia"/>
                    </w:rPr>
                    <w:t>废切削液</w:t>
                  </w:r>
                </w:p>
              </w:tc>
              <w:tc>
                <w:tcPr>
                  <w:tcW w:w="531" w:type="pct"/>
                  <w:vAlign w:val="center"/>
                </w:tcPr>
                <w:p>
                  <w:pPr>
                    <w:widowControl/>
                    <w:adjustRightInd w:val="0"/>
                    <w:snapToGrid w:val="0"/>
                    <w:ind w:left="-105" w:leftChars="-50" w:right="-105" w:rightChars="-50"/>
                    <w:jc w:val="center"/>
                    <w:rPr>
                      <w:szCs w:val="21"/>
                    </w:rPr>
                  </w:pPr>
                  <w:r>
                    <w:rPr>
                      <w:kern w:val="18"/>
                      <w:szCs w:val="21"/>
                    </w:rPr>
                    <w:t>T</w:t>
                  </w:r>
                </w:p>
              </w:tc>
              <w:tc>
                <w:tcPr>
                  <w:tcW w:w="497" w:type="pct"/>
                  <w:vAlign w:val="center"/>
                </w:tcPr>
                <w:p>
                  <w:pPr>
                    <w:widowControl/>
                    <w:adjustRightInd w:val="0"/>
                    <w:snapToGrid w:val="0"/>
                    <w:ind w:left="-105" w:leftChars="-50" w:right="-105" w:rightChars="-50"/>
                    <w:jc w:val="center"/>
                    <w:rPr>
                      <w:szCs w:val="21"/>
                    </w:rPr>
                  </w:pPr>
                  <w:r>
                    <w:rPr>
                      <w:kern w:val="18"/>
                      <w:szCs w:val="21"/>
                    </w:rPr>
                    <w:t>HW09</w:t>
                  </w:r>
                </w:p>
              </w:tc>
              <w:tc>
                <w:tcPr>
                  <w:tcW w:w="720" w:type="pct"/>
                  <w:vAlign w:val="center"/>
                </w:tcPr>
                <w:p>
                  <w:pPr>
                    <w:widowControl/>
                    <w:adjustRightInd w:val="0"/>
                    <w:snapToGrid w:val="0"/>
                    <w:ind w:left="-105" w:leftChars="-50" w:right="-105" w:rightChars="-50"/>
                    <w:jc w:val="center"/>
                    <w:rPr>
                      <w:szCs w:val="21"/>
                    </w:rPr>
                  </w:pPr>
                  <w:r>
                    <w:rPr>
                      <w:kern w:val="18"/>
                      <w:szCs w:val="21"/>
                    </w:rPr>
                    <w:t>900-006-09</w:t>
                  </w:r>
                </w:p>
              </w:tc>
              <w:tc>
                <w:tcPr>
                  <w:tcW w:w="880" w:type="dxa"/>
                  <w:vAlign w:val="center"/>
                </w:tcPr>
                <w:p>
                  <w:pPr>
                    <w:jc w:val="center"/>
                    <w:rPr>
                      <w:szCs w:val="21"/>
                    </w:rPr>
                  </w:pPr>
                  <w:r>
                    <w:rPr>
                      <w:rFonts w:hint="eastAsia"/>
                      <w:szCs w:val="21"/>
                      <w:lang w:val="en-US" w:eastAsia="zh-CN"/>
                    </w:rPr>
                    <w:t>1.68</w:t>
                  </w:r>
                </w:p>
              </w:tc>
              <w:tc>
                <w:tcPr>
                  <w:tcW w:w="509" w:type="pct"/>
                  <w:vMerge w:val="continue"/>
                  <w:vAlign w:val="center"/>
                </w:tcPr>
                <w:p>
                  <w:pPr>
                    <w:pStyle w:val="123"/>
                    <w:rPr>
                      <w:b/>
                    </w:rPr>
                  </w:pPr>
                </w:p>
              </w:tc>
            </w:tr>
            <w:tr>
              <w:tblPrEx>
                <w:tblBorders>
                  <w:top w:val="single" w:color="auto" w:sz="12" w:space="0"/>
                  <w:left w:val="none" w:color="auto" w:sz="0" w:space="0"/>
                  <w:bottom w:val="single" w:color="auto" w:sz="12" w:space="0"/>
                  <w:right w:val="none" w:color="auto" w:sz="0" w:space="0"/>
                  <w:insideH w:val="single" w:color="auto" w:sz="2" w:space="0"/>
                  <w:insideV w:val="single" w:color="auto" w:sz="2" w:space="0"/>
                </w:tblBorders>
              </w:tblPrEx>
              <w:trPr>
                <w:trHeight w:val="340" w:hRule="atLeast"/>
                <w:jc w:val="center"/>
              </w:trPr>
              <w:tc>
                <w:tcPr>
                  <w:tcW w:w="257" w:type="pct"/>
                  <w:vAlign w:val="center"/>
                </w:tcPr>
                <w:p>
                  <w:pPr>
                    <w:pStyle w:val="123"/>
                    <w:rPr>
                      <w:rFonts w:ascii="Times New Roman" w:hAnsi="Times New Roman" w:eastAsia="宋体" w:cs="Times New Roman"/>
                      <w:kern w:val="18"/>
                      <w:sz w:val="21"/>
                      <w:szCs w:val="21"/>
                      <w:lang w:val="en-US" w:eastAsia="zh-CN" w:bidi="ar-SA"/>
                    </w:rPr>
                  </w:pPr>
                  <w:r>
                    <w:t>5</w:t>
                  </w:r>
                </w:p>
              </w:tc>
              <w:tc>
                <w:tcPr>
                  <w:tcW w:w="948" w:type="dxa"/>
                  <w:vAlign w:val="center"/>
                </w:tcPr>
                <w:p>
                  <w:pPr>
                    <w:jc w:val="center"/>
                    <w:rPr>
                      <w:szCs w:val="21"/>
                    </w:rPr>
                  </w:pPr>
                  <w:r>
                    <w:rPr>
                      <w:rFonts w:hint="eastAsia"/>
                      <w:szCs w:val="21"/>
                    </w:rPr>
                    <w:t>废活性炭</w:t>
                  </w:r>
                </w:p>
              </w:tc>
              <w:tc>
                <w:tcPr>
                  <w:tcW w:w="788" w:type="dxa"/>
                  <w:vAlign w:val="center"/>
                </w:tcPr>
                <w:p>
                  <w:pPr>
                    <w:jc w:val="center"/>
                    <w:rPr>
                      <w:szCs w:val="21"/>
                    </w:rPr>
                  </w:pPr>
                  <w:r>
                    <w:rPr>
                      <w:rFonts w:hint="eastAsia"/>
                      <w:szCs w:val="21"/>
                    </w:rPr>
                    <w:t>废气处理</w:t>
                  </w:r>
                </w:p>
              </w:tc>
              <w:tc>
                <w:tcPr>
                  <w:tcW w:w="620" w:type="dxa"/>
                  <w:vAlign w:val="center"/>
                </w:tcPr>
                <w:p>
                  <w:pPr>
                    <w:jc w:val="center"/>
                    <w:rPr>
                      <w:szCs w:val="21"/>
                    </w:rPr>
                  </w:pPr>
                  <w:r>
                    <w:rPr>
                      <w:rFonts w:hint="eastAsia"/>
                      <w:szCs w:val="21"/>
                    </w:rPr>
                    <w:t>固态</w:t>
                  </w:r>
                </w:p>
              </w:tc>
              <w:tc>
                <w:tcPr>
                  <w:tcW w:w="932" w:type="dxa"/>
                  <w:vAlign w:val="center"/>
                </w:tcPr>
                <w:p>
                  <w:pPr>
                    <w:jc w:val="center"/>
                    <w:rPr>
                      <w:color w:val="0000FF"/>
                      <w:szCs w:val="21"/>
                    </w:rPr>
                  </w:pPr>
                  <w:r>
                    <w:rPr>
                      <w:rFonts w:hint="eastAsia"/>
                      <w:color w:val="0000FF"/>
                      <w:szCs w:val="21"/>
                    </w:rPr>
                    <w:t>废活性炭</w:t>
                  </w:r>
                </w:p>
              </w:tc>
              <w:tc>
                <w:tcPr>
                  <w:tcW w:w="531" w:type="pct"/>
                  <w:vAlign w:val="center"/>
                </w:tcPr>
                <w:p>
                  <w:pPr>
                    <w:jc w:val="center"/>
                    <w:rPr>
                      <w:color w:val="0000FF"/>
                      <w:szCs w:val="21"/>
                    </w:rPr>
                  </w:pPr>
                  <w:r>
                    <w:rPr>
                      <w:rFonts w:hint="eastAsia"/>
                      <w:color w:val="0000FF"/>
                      <w:szCs w:val="21"/>
                    </w:rPr>
                    <w:t>T/In</w:t>
                  </w:r>
                </w:p>
              </w:tc>
              <w:tc>
                <w:tcPr>
                  <w:tcW w:w="497" w:type="pct"/>
                  <w:vAlign w:val="center"/>
                </w:tcPr>
                <w:p>
                  <w:pPr>
                    <w:jc w:val="center"/>
                    <w:rPr>
                      <w:color w:val="0000FF"/>
                      <w:szCs w:val="21"/>
                    </w:rPr>
                  </w:pPr>
                  <w:r>
                    <w:rPr>
                      <w:rFonts w:hint="eastAsia"/>
                      <w:color w:val="0000FF"/>
                      <w:szCs w:val="21"/>
                    </w:rPr>
                    <w:t>HW49</w:t>
                  </w:r>
                </w:p>
              </w:tc>
              <w:tc>
                <w:tcPr>
                  <w:tcW w:w="720" w:type="pct"/>
                  <w:vAlign w:val="center"/>
                </w:tcPr>
                <w:p>
                  <w:pPr>
                    <w:jc w:val="center"/>
                    <w:rPr>
                      <w:color w:val="0000FF"/>
                      <w:szCs w:val="21"/>
                    </w:rPr>
                  </w:pPr>
                  <w:r>
                    <w:rPr>
                      <w:rFonts w:hint="eastAsia"/>
                      <w:color w:val="0000FF"/>
                      <w:szCs w:val="21"/>
                    </w:rPr>
                    <w:t>900-041-49</w:t>
                  </w:r>
                </w:p>
              </w:tc>
              <w:tc>
                <w:tcPr>
                  <w:tcW w:w="880" w:type="dxa"/>
                  <w:vAlign w:val="center"/>
                </w:tcPr>
                <w:p>
                  <w:pPr>
                    <w:jc w:val="center"/>
                    <w:rPr>
                      <w:rFonts w:hint="default"/>
                      <w:color w:val="0000FF"/>
                      <w:szCs w:val="21"/>
                      <w:lang w:val="en-US"/>
                    </w:rPr>
                  </w:pPr>
                  <w:r>
                    <w:rPr>
                      <w:rFonts w:hint="eastAsia"/>
                      <w:color w:val="0000FF"/>
                      <w:szCs w:val="21"/>
                      <w:lang w:val="en-US" w:eastAsia="zh-CN"/>
                    </w:rPr>
                    <w:t>0.002</w:t>
                  </w:r>
                </w:p>
              </w:tc>
              <w:tc>
                <w:tcPr>
                  <w:tcW w:w="509" w:type="pct"/>
                  <w:vMerge w:val="continue"/>
                  <w:vAlign w:val="center"/>
                </w:tcPr>
                <w:p>
                  <w:pPr>
                    <w:pStyle w:val="123"/>
                    <w:rPr>
                      <w:b/>
                    </w:rPr>
                  </w:pPr>
                </w:p>
              </w:tc>
            </w:tr>
            <w:tr>
              <w:tblPrEx>
                <w:tblBorders>
                  <w:top w:val="single" w:color="auto" w:sz="12" w:space="0"/>
                  <w:left w:val="none" w:color="auto" w:sz="0" w:space="0"/>
                  <w:bottom w:val="single" w:color="auto" w:sz="12" w:space="0"/>
                  <w:right w:val="none" w:color="auto" w:sz="0" w:space="0"/>
                  <w:insideH w:val="single" w:color="auto" w:sz="2" w:space="0"/>
                  <w:insideV w:val="single" w:color="auto" w:sz="2" w:space="0"/>
                </w:tblBorders>
              </w:tblPrEx>
              <w:trPr>
                <w:trHeight w:val="340" w:hRule="atLeast"/>
                <w:jc w:val="center"/>
              </w:trPr>
              <w:tc>
                <w:tcPr>
                  <w:tcW w:w="257" w:type="pct"/>
                  <w:vAlign w:val="center"/>
                </w:tcPr>
                <w:p>
                  <w:pPr>
                    <w:pStyle w:val="123"/>
                    <w:rPr>
                      <w:rFonts w:ascii="Times New Roman" w:hAnsi="Times New Roman" w:eastAsia="宋体" w:cs="Times New Roman"/>
                      <w:kern w:val="18"/>
                      <w:sz w:val="21"/>
                      <w:szCs w:val="21"/>
                      <w:lang w:val="en-US" w:eastAsia="zh-CN" w:bidi="ar-SA"/>
                    </w:rPr>
                  </w:pPr>
                  <w:r>
                    <w:rPr>
                      <w:rFonts w:hint="eastAsia"/>
                    </w:rPr>
                    <w:t>6</w:t>
                  </w:r>
                </w:p>
              </w:tc>
              <w:tc>
                <w:tcPr>
                  <w:tcW w:w="948" w:type="dxa"/>
                  <w:vAlign w:val="center"/>
                </w:tcPr>
                <w:p>
                  <w:pPr>
                    <w:jc w:val="center"/>
                    <w:rPr>
                      <w:rFonts w:ascii="Times New Roman" w:hAnsi="Times New Roman" w:eastAsia="宋体" w:cs="Times New Roman"/>
                      <w:kern w:val="2"/>
                      <w:sz w:val="21"/>
                      <w:szCs w:val="21"/>
                      <w:lang w:val="en-US" w:eastAsia="zh-CN" w:bidi="ar-SA"/>
                    </w:rPr>
                  </w:pPr>
                  <w:r>
                    <w:rPr>
                      <w:rFonts w:hint="eastAsia"/>
                      <w:szCs w:val="21"/>
                    </w:rPr>
                    <w:t>废润滑油</w:t>
                  </w:r>
                </w:p>
              </w:tc>
              <w:tc>
                <w:tcPr>
                  <w:tcW w:w="788" w:type="dxa"/>
                  <w:vAlign w:val="center"/>
                </w:tcPr>
                <w:p>
                  <w:pPr>
                    <w:jc w:val="center"/>
                    <w:rPr>
                      <w:rFonts w:ascii="Times New Roman" w:hAnsi="Times New Roman" w:eastAsia="宋体" w:cs="Times New Roman"/>
                      <w:kern w:val="2"/>
                      <w:sz w:val="21"/>
                      <w:szCs w:val="21"/>
                      <w:lang w:val="en-US" w:eastAsia="zh-CN" w:bidi="ar-SA"/>
                    </w:rPr>
                  </w:pPr>
                  <w:r>
                    <w:rPr>
                      <w:rFonts w:hint="eastAsia"/>
                      <w:szCs w:val="21"/>
                    </w:rPr>
                    <w:t>设备维护</w:t>
                  </w:r>
                </w:p>
              </w:tc>
              <w:tc>
                <w:tcPr>
                  <w:tcW w:w="620" w:type="dxa"/>
                  <w:vAlign w:val="center"/>
                </w:tcPr>
                <w:p>
                  <w:pPr>
                    <w:jc w:val="center"/>
                    <w:rPr>
                      <w:rFonts w:ascii="Times New Roman" w:hAnsi="Times New Roman" w:eastAsia="宋体" w:cs="Times New Roman"/>
                      <w:kern w:val="2"/>
                      <w:sz w:val="21"/>
                      <w:szCs w:val="21"/>
                      <w:lang w:val="en-US" w:eastAsia="zh-CN" w:bidi="ar-SA"/>
                    </w:rPr>
                  </w:pPr>
                  <w:r>
                    <w:rPr>
                      <w:rFonts w:hint="eastAsia"/>
                      <w:szCs w:val="21"/>
                    </w:rPr>
                    <w:t>液态</w:t>
                  </w:r>
                </w:p>
              </w:tc>
              <w:tc>
                <w:tcPr>
                  <w:tcW w:w="932" w:type="dxa"/>
                  <w:vAlign w:val="center"/>
                </w:tcPr>
                <w:p>
                  <w:pPr>
                    <w:jc w:val="center"/>
                    <w:rPr>
                      <w:rFonts w:ascii="Times New Roman" w:hAnsi="Times New Roman" w:eastAsia="宋体" w:cs="Times New Roman"/>
                      <w:kern w:val="2"/>
                      <w:sz w:val="21"/>
                      <w:szCs w:val="21"/>
                      <w:lang w:val="en-US" w:eastAsia="zh-CN" w:bidi="ar-SA"/>
                    </w:rPr>
                  </w:pPr>
                  <w:r>
                    <w:rPr>
                      <w:rFonts w:hint="eastAsia"/>
                      <w:szCs w:val="21"/>
                    </w:rPr>
                    <w:t>废矿物油</w:t>
                  </w:r>
                </w:p>
              </w:tc>
              <w:tc>
                <w:tcPr>
                  <w:tcW w:w="531" w:type="pct"/>
                  <w:vAlign w:val="center"/>
                </w:tcPr>
                <w:p>
                  <w:pPr>
                    <w:jc w:val="center"/>
                    <w:rPr>
                      <w:rFonts w:ascii="Times New Roman" w:hAnsi="Times New Roman" w:eastAsia="宋体" w:cs="Times New Roman"/>
                      <w:kern w:val="2"/>
                      <w:sz w:val="21"/>
                      <w:szCs w:val="21"/>
                      <w:lang w:val="en-US" w:eastAsia="zh-CN" w:bidi="ar-SA"/>
                    </w:rPr>
                  </w:pPr>
                  <w:r>
                    <w:rPr>
                      <w:rFonts w:hint="eastAsia"/>
                      <w:szCs w:val="21"/>
                    </w:rPr>
                    <w:t>T/I</w:t>
                  </w:r>
                </w:p>
              </w:tc>
              <w:tc>
                <w:tcPr>
                  <w:tcW w:w="497" w:type="pct"/>
                  <w:vAlign w:val="center"/>
                </w:tcPr>
                <w:p>
                  <w:pPr>
                    <w:jc w:val="center"/>
                    <w:rPr>
                      <w:rFonts w:ascii="Times New Roman" w:hAnsi="Times New Roman" w:eastAsia="宋体" w:cs="Times New Roman"/>
                      <w:kern w:val="2"/>
                      <w:sz w:val="21"/>
                      <w:szCs w:val="21"/>
                      <w:lang w:val="en-US" w:eastAsia="zh-CN" w:bidi="ar-SA"/>
                    </w:rPr>
                  </w:pPr>
                  <w:r>
                    <w:rPr>
                      <w:rFonts w:hint="eastAsia"/>
                      <w:szCs w:val="21"/>
                    </w:rPr>
                    <w:t>HW08</w:t>
                  </w:r>
                </w:p>
              </w:tc>
              <w:tc>
                <w:tcPr>
                  <w:tcW w:w="720" w:type="pct"/>
                  <w:vAlign w:val="center"/>
                </w:tcPr>
                <w:p>
                  <w:pPr>
                    <w:jc w:val="center"/>
                    <w:rPr>
                      <w:rFonts w:ascii="Times New Roman" w:hAnsi="Times New Roman" w:eastAsia="宋体" w:cs="Times New Roman"/>
                      <w:kern w:val="2"/>
                      <w:sz w:val="21"/>
                      <w:szCs w:val="21"/>
                      <w:lang w:val="en-US" w:eastAsia="zh-CN" w:bidi="ar-SA"/>
                    </w:rPr>
                  </w:pPr>
                  <w:r>
                    <w:rPr>
                      <w:rFonts w:hint="eastAsia"/>
                      <w:szCs w:val="21"/>
                    </w:rPr>
                    <w:t>900-217-08</w:t>
                  </w:r>
                </w:p>
              </w:tc>
              <w:tc>
                <w:tcPr>
                  <w:tcW w:w="880" w:type="dxa"/>
                  <w:vAlign w:val="center"/>
                </w:tcPr>
                <w:p>
                  <w:pPr>
                    <w:jc w:val="center"/>
                    <w:rPr>
                      <w:szCs w:val="21"/>
                    </w:rPr>
                  </w:pPr>
                  <w:r>
                    <w:rPr>
                      <w:rFonts w:hint="eastAsia"/>
                      <w:szCs w:val="21"/>
                    </w:rPr>
                    <w:t>0.</w:t>
                  </w:r>
                  <w:r>
                    <w:rPr>
                      <w:rFonts w:hint="eastAsia"/>
                      <w:szCs w:val="21"/>
                      <w:lang w:val="en-US" w:eastAsia="zh-CN"/>
                    </w:rPr>
                    <w:t>3</w:t>
                  </w:r>
                </w:p>
              </w:tc>
              <w:tc>
                <w:tcPr>
                  <w:tcW w:w="509" w:type="pct"/>
                  <w:vMerge w:val="continue"/>
                  <w:vAlign w:val="center"/>
                </w:tcPr>
                <w:p>
                  <w:pPr>
                    <w:pStyle w:val="123"/>
                    <w:rPr>
                      <w:b/>
                    </w:rPr>
                  </w:pPr>
                </w:p>
              </w:tc>
            </w:tr>
            <w:tr>
              <w:tblPrEx>
                <w:tblBorders>
                  <w:top w:val="single" w:color="auto" w:sz="12" w:space="0"/>
                  <w:left w:val="none" w:color="auto" w:sz="0" w:space="0"/>
                  <w:bottom w:val="single" w:color="auto" w:sz="12" w:space="0"/>
                  <w:right w:val="none" w:color="auto" w:sz="0" w:space="0"/>
                  <w:insideH w:val="single" w:color="auto" w:sz="2" w:space="0"/>
                  <w:insideV w:val="single" w:color="auto" w:sz="2" w:space="0"/>
                </w:tblBorders>
              </w:tblPrEx>
              <w:trPr>
                <w:trHeight w:val="340" w:hRule="atLeast"/>
                <w:jc w:val="center"/>
              </w:trPr>
              <w:tc>
                <w:tcPr>
                  <w:tcW w:w="257" w:type="pct"/>
                  <w:vAlign w:val="center"/>
                </w:tcPr>
                <w:p>
                  <w:pPr>
                    <w:pStyle w:val="123"/>
                    <w:rPr>
                      <w:rFonts w:ascii="Times New Roman" w:hAnsi="Times New Roman" w:eastAsia="宋体" w:cs="Times New Roman"/>
                      <w:kern w:val="18"/>
                      <w:sz w:val="21"/>
                      <w:szCs w:val="21"/>
                      <w:lang w:val="en-US" w:eastAsia="zh-CN" w:bidi="ar-SA"/>
                    </w:rPr>
                  </w:pPr>
                  <w:r>
                    <w:rPr>
                      <w:rFonts w:hint="eastAsia"/>
                    </w:rPr>
                    <w:t>7</w:t>
                  </w:r>
                </w:p>
              </w:tc>
              <w:tc>
                <w:tcPr>
                  <w:tcW w:w="948" w:type="dxa"/>
                  <w:vAlign w:val="center"/>
                </w:tcPr>
                <w:p>
                  <w:pPr>
                    <w:jc w:val="center"/>
                    <w:rPr>
                      <w:rFonts w:ascii="Times New Roman" w:hAnsi="Times New Roman" w:eastAsia="宋体" w:cs="Times New Roman"/>
                      <w:kern w:val="2"/>
                      <w:sz w:val="21"/>
                      <w:szCs w:val="21"/>
                      <w:lang w:val="en-US" w:eastAsia="zh-CN" w:bidi="ar-SA"/>
                    </w:rPr>
                  </w:pPr>
                  <w:r>
                    <w:rPr>
                      <w:rFonts w:hint="eastAsia"/>
                      <w:szCs w:val="21"/>
                    </w:rPr>
                    <w:t>废包装桶</w:t>
                  </w:r>
                </w:p>
              </w:tc>
              <w:tc>
                <w:tcPr>
                  <w:tcW w:w="788" w:type="dxa"/>
                  <w:vAlign w:val="center"/>
                </w:tcPr>
                <w:p>
                  <w:pPr>
                    <w:jc w:val="center"/>
                    <w:rPr>
                      <w:rFonts w:ascii="Times New Roman" w:hAnsi="Times New Roman" w:eastAsia="宋体" w:cs="Times New Roman"/>
                      <w:kern w:val="2"/>
                      <w:sz w:val="21"/>
                      <w:szCs w:val="21"/>
                      <w:lang w:val="en-US" w:eastAsia="zh-CN" w:bidi="ar-SA"/>
                    </w:rPr>
                  </w:pPr>
                  <w:r>
                    <w:rPr>
                      <w:rFonts w:hint="eastAsia"/>
                      <w:szCs w:val="21"/>
                    </w:rPr>
                    <w:t>原料拆封</w:t>
                  </w:r>
                </w:p>
              </w:tc>
              <w:tc>
                <w:tcPr>
                  <w:tcW w:w="620" w:type="dxa"/>
                  <w:vAlign w:val="center"/>
                </w:tcPr>
                <w:p>
                  <w:pPr>
                    <w:jc w:val="center"/>
                    <w:rPr>
                      <w:rFonts w:ascii="Times New Roman" w:hAnsi="Times New Roman" w:eastAsia="宋体" w:cs="Times New Roman"/>
                      <w:kern w:val="2"/>
                      <w:sz w:val="21"/>
                      <w:szCs w:val="21"/>
                      <w:lang w:val="en-US" w:eastAsia="zh-CN" w:bidi="ar-SA"/>
                    </w:rPr>
                  </w:pPr>
                  <w:r>
                    <w:rPr>
                      <w:rFonts w:hint="eastAsia"/>
                      <w:szCs w:val="21"/>
                    </w:rPr>
                    <w:t>固态</w:t>
                  </w:r>
                </w:p>
              </w:tc>
              <w:tc>
                <w:tcPr>
                  <w:tcW w:w="932" w:type="dxa"/>
                  <w:vAlign w:val="center"/>
                </w:tcPr>
                <w:p>
                  <w:pPr>
                    <w:jc w:val="center"/>
                    <w:rPr>
                      <w:rFonts w:ascii="Times New Roman" w:hAnsi="Times New Roman" w:eastAsia="宋体" w:cs="Times New Roman"/>
                      <w:kern w:val="2"/>
                      <w:sz w:val="21"/>
                      <w:szCs w:val="21"/>
                      <w:lang w:val="en-US" w:eastAsia="zh-CN" w:bidi="ar-SA"/>
                    </w:rPr>
                  </w:pPr>
                  <w:r>
                    <w:rPr>
                      <w:rFonts w:hint="eastAsia"/>
                      <w:szCs w:val="21"/>
                    </w:rPr>
                    <w:t>废桶</w:t>
                  </w:r>
                </w:p>
              </w:tc>
              <w:tc>
                <w:tcPr>
                  <w:tcW w:w="531" w:type="pct"/>
                  <w:vAlign w:val="center"/>
                </w:tcPr>
                <w:p>
                  <w:pPr>
                    <w:jc w:val="center"/>
                    <w:rPr>
                      <w:rFonts w:ascii="Times New Roman" w:hAnsi="Times New Roman" w:eastAsia="宋体" w:cs="Times New Roman"/>
                      <w:kern w:val="2"/>
                      <w:sz w:val="21"/>
                      <w:szCs w:val="21"/>
                      <w:lang w:val="en-US" w:eastAsia="zh-CN" w:bidi="ar-SA"/>
                    </w:rPr>
                  </w:pPr>
                  <w:r>
                    <w:rPr>
                      <w:rFonts w:hint="eastAsia"/>
                      <w:szCs w:val="21"/>
                    </w:rPr>
                    <w:t>T/In</w:t>
                  </w:r>
                </w:p>
              </w:tc>
              <w:tc>
                <w:tcPr>
                  <w:tcW w:w="497" w:type="pct"/>
                  <w:vAlign w:val="center"/>
                </w:tcPr>
                <w:p>
                  <w:pPr>
                    <w:jc w:val="center"/>
                    <w:rPr>
                      <w:rFonts w:ascii="Times New Roman" w:hAnsi="Times New Roman" w:eastAsia="宋体" w:cs="Times New Roman"/>
                      <w:kern w:val="2"/>
                      <w:sz w:val="21"/>
                      <w:szCs w:val="21"/>
                      <w:lang w:val="en-US" w:eastAsia="zh-CN" w:bidi="ar-SA"/>
                    </w:rPr>
                  </w:pPr>
                  <w:r>
                    <w:rPr>
                      <w:rFonts w:hint="eastAsia"/>
                      <w:szCs w:val="21"/>
                    </w:rPr>
                    <w:t>HW49</w:t>
                  </w:r>
                </w:p>
              </w:tc>
              <w:tc>
                <w:tcPr>
                  <w:tcW w:w="720" w:type="pct"/>
                  <w:vAlign w:val="center"/>
                </w:tcPr>
                <w:p>
                  <w:pPr>
                    <w:jc w:val="center"/>
                    <w:rPr>
                      <w:rFonts w:ascii="Times New Roman" w:hAnsi="Times New Roman" w:eastAsia="宋体" w:cs="Times New Roman"/>
                      <w:kern w:val="2"/>
                      <w:sz w:val="21"/>
                      <w:szCs w:val="21"/>
                      <w:lang w:val="en-US" w:eastAsia="zh-CN" w:bidi="ar-SA"/>
                    </w:rPr>
                  </w:pPr>
                  <w:r>
                    <w:rPr>
                      <w:rFonts w:hint="eastAsia"/>
                      <w:szCs w:val="21"/>
                    </w:rPr>
                    <w:t>900-041-49</w:t>
                  </w:r>
                </w:p>
              </w:tc>
              <w:tc>
                <w:tcPr>
                  <w:tcW w:w="880" w:type="dxa"/>
                  <w:vAlign w:val="center"/>
                </w:tcPr>
                <w:p>
                  <w:pPr>
                    <w:jc w:val="center"/>
                    <w:rPr>
                      <w:szCs w:val="21"/>
                    </w:rPr>
                  </w:pPr>
                  <w:r>
                    <w:rPr>
                      <w:rFonts w:hint="eastAsia"/>
                      <w:szCs w:val="21"/>
                    </w:rPr>
                    <w:t>0.</w:t>
                  </w:r>
                  <w:r>
                    <w:rPr>
                      <w:rFonts w:hint="eastAsia"/>
                      <w:szCs w:val="21"/>
                      <w:lang w:val="en-US" w:eastAsia="zh-CN"/>
                    </w:rPr>
                    <w:t>07</w:t>
                  </w:r>
                </w:p>
              </w:tc>
              <w:tc>
                <w:tcPr>
                  <w:tcW w:w="509" w:type="pct"/>
                  <w:vMerge w:val="continue"/>
                  <w:vAlign w:val="center"/>
                </w:tcPr>
                <w:p>
                  <w:pPr>
                    <w:pStyle w:val="123"/>
                    <w:rPr>
                      <w:b/>
                    </w:rPr>
                  </w:pPr>
                </w:p>
              </w:tc>
            </w:tr>
            <w:tr>
              <w:tblPrEx>
                <w:tblBorders>
                  <w:top w:val="single" w:color="auto" w:sz="12" w:space="0"/>
                  <w:left w:val="none" w:color="auto" w:sz="0" w:space="0"/>
                  <w:bottom w:val="single" w:color="auto" w:sz="12" w:space="0"/>
                  <w:right w:val="none" w:color="auto" w:sz="0" w:space="0"/>
                  <w:insideH w:val="single" w:color="auto" w:sz="2" w:space="0"/>
                  <w:insideV w:val="single" w:color="auto" w:sz="2" w:space="0"/>
                </w:tblBorders>
              </w:tblPrEx>
              <w:trPr>
                <w:trHeight w:val="340" w:hRule="atLeast"/>
                <w:jc w:val="center"/>
              </w:trPr>
              <w:tc>
                <w:tcPr>
                  <w:tcW w:w="257" w:type="pct"/>
                  <w:vAlign w:val="center"/>
                </w:tcPr>
                <w:p>
                  <w:pPr>
                    <w:pStyle w:val="123"/>
                    <w:rPr>
                      <w:rFonts w:ascii="Times New Roman" w:hAnsi="Times New Roman" w:eastAsia="宋体" w:cs="Times New Roman"/>
                      <w:kern w:val="18"/>
                      <w:sz w:val="21"/>
                      <w:szCs w:val="21"/>
                      <w:lang w:val="en-US" w:eastAsia="zh-CN" w:bidi="ar-SA"/>
                    </w:rPr>
                  </w:pPr>
                  <w:r>
                    <w:rPr>
                      <w:rFonts w:hint="eastAsia"/>
                    </w:rPr>
                    <w:t>8</w:t>
                  </w:r>
                </w:p>
              </w:tc>
              <w:tc>
                <w:tcPr>
                  <w:tcW w:w="948" w:type="dxa"/>
                  <w:vAlign w:val="center"/>
                </w:tcPr>
                <w:p>
                  <w:pPr>
                    <w:jc w:val="center"/>
                    <w:rPr>
                      <w:szCs w:val="21"/>
                    </w:rPr>
                  </w:pPr>
                  <w:r>
                    <w:rPr>
                      <w:rFonts w:hint="eastAsia"/>
                      <w:szCs w:val="21"/>
                    </w:rPr>
                    <w:t>废</w:t>
                  </w:r>
                  <w:r>
                    <w:rPr>
                      <w:rFonts w:hint="eastAsia"/>
                      <w:szCs w:val="21"/>
                      <w:lang w:eastAsia="zh-CN"/>
                    </w:rPr>
                    <w:t>含油抹布</w:t>
                  </w:r>
                </w:p>
              </w:tc>
              <w:tc>
                <w:tcPr>
                  <w:tcW w:w="788" w:type="dxa"/>
                  <w:vAlign w:val="center"/>
                </w:tcPr>
                <w:p>
                  <w:pPr>
                    <w:jc w:val="center"/>
                    <w:rPr>
                      <w:szCs w:val="21"/>
                    </w:rPr>
                  </w:pPr>
                  <w:r>
                    <w:rPr>
                      <w:rFonts w:hint="eastAsia"/>
                      <w:szCs w:val="21"/>
                      <w:lang w:eastAsia="zh-CN"/>
                    </w:rPr>
                    <w:t>设备维护</w:t>
                  </w:r>
                </w:p>
              </w:tc>
              <w:tc>
                <w:tcPr>
                  <w:tcW w:w="620" w:type="dxa"/>
                  <w:vAlign w:val="center"/>
                </w:tcPr>
                <w:p>
                  <w:pPr>
                    <w:jc w:val="center"/>
                    <w:rPr>
                      <w:szCs w:val="21"/>
                    </w:rPr>
                  </w:pPr>
                  <w:r>
                    <w:rPr>
                      <w:rFonts w:hint="eastAsia"/>
                      <w:szCs w:val="21"/>
                    </w:rPr>
                    <w:t>固态</w:t>
                  </w:r>
                </w:p>
              </w:tc>
              <w:tc>
                <w:tcPr>
                  <w:tcW w:w="932" w:type="dxa"/>
                  <w:vAlign w:val="center"/>
                </w:tcPr>
                <w:p>
                  <w:pPr>
                    <w:jc w:val="center"/>
                    <w:rPr>
                      <w:szCs w:val="21"/>
                    </w:rPr>
                  </w:pPr>
                  <w:r>
                    <w:rPr>
                      <w:rFonts w:hint="eastAsia"/>
                      <w:szCs w:val="21"/>
                    </w:rPr>
                    <w:t>废</w:t>
                  </w:r>
                  <w:r>
                    <w:rPr>
                      <w:rFonts w:hint="eastAsia"/>
                      <w:szCs w:val="21"/>
                      <w:lang w:eastAsia="zh-CN"/>
                    </w:rPr>
                    <w:t>含油抹布</w:t>
                  </w:r>
                </w:p>
              </w:tc>
              <w:tc>
                <w:tcPr>
                  <w:tcW w:w="892" w:type="dxa"/>
                  <w:vAlign w:val="center"/>
                </w:tcPr>
                <w:p>
                  <w:pPr>
                    <w:widowControl/>
                    <w:adjustRightInd w:val="0"/>
                    <w:snapToGrid w:val="0"/>
                    <w:ind w:left="-105" w:leftChars="-50" w:right="-105" w:rightChars="-50"/>
                    <w:jc w:val="center"/>
                    <w:rPr>
                      <w:szCs w:val="21"/>
                    </w:rPr>
                  </w:pPr>
                  <w:r>
                    <w:rPr>
                      <w:kern w:val="0"/>
                      <w:szCs w:val="21"/>
                    </w:rPr>
                    <w:t>T/In</w:t>
                  </w:r>
                </w:p>
              </w:tc>
              <w:tc>
                <w:tcPr>
                  <w:tcW w:w="835" w:type="dxa"/>
                  <w:vAlign w:val="center"/>
                </w:tcPr>
                <w:p>
                  <w:pPr>
                    <w:widowControl/>
                    <w:adjustRightInd w:val="0"/>
                    <w:snapToGrid w:val="0"/>
                    <w:ind w:left="-105" w:leftChars="-50" w:right="-105" w:rightChars="-50"/>
                    <w:jc w:val="center"/>
                    <w:rPr>
                      <w:szCs w:val="21"/>
                    </w:rPr>
                  </w:pPr>
                  <w:r>
                    <w:rPr>
                      <w:kern w:val="0"/>
                      <w:szCs w:val="21"/>
                    </w:rPr>
                    <w:t>HW49</w:t>
                  </w:r>
                </w:p>
              </w:tc>
              <w:tc>
                <w:tcPr>
                  <w:tcW w:w="1210" w:type="dxa"/>
                  <w:vAlign w:val="center"/>
                </w:tcPr>
                <w:p>
                  <w:pPr>
                    <w:widowControl/>
                    <w:adjustRightInd w:val="0"/>
                    <w:snapToGrid w:val="0"/>
                    <w:ind w:left="-105" w:leftChars="-50" w:right="-105" w:rightChars="-50"/>
                    <w:jc w:val="center"/>
                    <w:rPr>
                      <w:szCs w:val="21"/>
                    </w:rPr>
                  </w:pPr>
                  <w:r>
                    <w:rPr>
                      <w:kern w:val="0"/>
                      <w:szCs w:val="21"/>
                    </w:rPr>
                    <w:t>900-041-49</w:t>
                  </w:r>
                </w:p>
              </w:tc>
              <w:tc>
                <w:tcPr>
                  <w:tcW w:w="880" w:type="dxa"/>
                  <w:vAlign w:val="center"/>
                </w:tcPr>
                <w:p>
                  <w:pPr>
                    <w:jc w:val="center"/>
                    <w:rPr>
                      <w:szCs w:val="21"/>
                    </w:rPr>
                  </w:pPr>
                  <w:r>
                    <w:rPr>
                      <w:rFonts w:hint="eastAsia"/>
                      <w:szCs w:val="21"/>
                    </w:rPr>
                    <w:t>0.0</w:t>
                  </w:r>
                  <w:r>
                    <w:rPr>
                      <w:rFonts w:hint="eastAsia"/>
                      <w:szCs w:val="21"/>
                      <w:lang w:val="en-US" w:eastAsia="zh-CN"/>
                    </w:rPr>
                    <w:t>5</w:t>
                  </w:r>
                </w:p>
              </w:tc>
              <w:tc>
                <w:tcPr>
                  <w:tcW w:w="509" w:type="pct"/>
                  <w:vMerge w:val="continue"/>
                  <w:vAlign w:val="center"/>
                </w:tcPr>
                <w:p>
                  <w:pPr>
                    <w:pStyle w:val="123"/>
                    <w:rPr>
                      <w:b/>
                    </w:rPr>
                  </w:pPr>
                </w:p>
              </w:tc>
            </w:tr>
            <w:tr>
              <w:tblPrEx>
                <w:tblBorders>
                  <w:top w:val="single" w:color="auto" w:sz="12" w:space="0"/>
                  <w:left w:val="none" w:color="auto" w:sz="0" w:space="0"/>
                  <w:bottom w:val="single" w:color="auto" w:sz="12" w:space="0"/>
                  <w:right w:val="none" w:color="auto" w:sz="0" w:space="0"/>
                  <w:insideH w:val="single" w:color="auto" w:sz="2" w:space="0"/>
                  <w:insideV w:val="single" w:color="auto" w:sz="2" w:space="0"/>
                </w:tblBorders>
              </w:tblPrEx>
              <w:trPr>
                <w:trHeight w:val="340" w:hRule="atLeast"/>
                <w:jc w:val="center"/>
              </w:trPr>
              <w:tc>
                <w:tcPr>
                  <w:tcW w:w="257" w:type="pct"/>
                  <w:vAlign w:val="center"/>
                </w:tcPr>
                <w:p>
                  <w:pPr>
                    <w:pStyle w:val="123"/>
                    <w:rPr>
                      <w:rFonts w:hint="eastAsia" w:eastAsia="宋体"/>
                      <w:lang w:val="en-US" w:eastAsia="zh-CN"/>
                    </w:rPr>
                  </w:pPr>
                  <w:r>
                    <w:rPr>
                      <w:rFonts w:hint="eastAsia"/>
                      <w:lang w:val="en-US" w:eastAsia="zh-CN"/>
                    </w:rPr>
                    <w:t>9</w:t>
                  </w:r>
                </w:p>
              </w:tc>
              <w:tc>
                <w:tcPr>
                  <w:tcW w:w="948" w:type="dxa"/>
                  <w:vAlign w:val="center"/>
                </w:tcPr>
                <w:p>
                  <w:pPr>
                    <w:jc w:val="center"/>
                    <w:rPr>
                      <w:szCs w:val="21"/>
                    </w:rPr>
                  </w:pPr>
                  <w:r>
                    <w:rPr>
                      <w:rFonts w:hint="eastAsia"/>
                      <w:szCs w:val="21"/>
                    </w:rPr>
                    <w:t>生活垃圾</w:t>
                  </w:r>
                </w:p>
              </w:tc>
              <w:tc>
                <w:tcPr>
                  <w:tcW w:w="788" w:type="dxa"/>
                  <w:vAlign w:val="center"/>
                </w:tcPr>
                <w:p>
                  <w:pPr>
                    <w:jc w:val="center"/>
                    <w:rPr>
                      <w:szCs w:val="21"/>
                    </w:rPr>
                  </w:pPr>
                  <w:r>
                    <w:rPr>
                      <w:rFonts w:hint="eastAsia"/>
                      <w:szCs w:val="21"/>
                    </w:rPr>
                    <w:t>员工日常生活</w:t>
                  </w:r>
                </w:p>
              </w:tc>
              <w:tc>
                <w:tcPr>
                  <w:tcW w:w="620" w:type="dxa"/>
                  <w:vAlign w:val="center"/>
                </w:tcPr>
                <w:p>
                  <w:pPr>
                    <w:jc w:val="center"/>
                    <w:rPr>
                      <w:szCs w:val="21"/>
                    </w:rPr>
                  </w:pPr>
                  <w:r>
                    <w:rPr>
                      <w:rFonts w:hint="eastAsia"/>
                      <w:szCs w:val="21"/>
                    </w:rPr>
                    <w:t>固态</w:t>
                  </w:r>
                </w:p>
              </w:tc>
              <w:tc>
                <w:tcPr>
                  <w:tcW w:w="932" w:type="dxa"/>
                  <w:vAlign w:val="center"/>
                </w:tcPr>
                <w:p>
                  <w:pPr>
                    <w:jc w:val="center"/>
                    <w:rPr>
                      <w:szCs w:val="21"/>
                    </w:rPr>
                  </w:pPr>
                  <w:r>
                    <w:rPr>
                      <w:rFonts w:hint="eastAsia"/>
                      <w:szCs w:val="21"/>
                    </w:rPr>
                    <w:t>果皮、纸屑等</w:t>
                  </w:r>
                </w:p>
              </w:tc>
              <w:tc>
                <w:tcPr>
                  <w:tcW w:w="531" w:type="pct"/>
                  <w:vAlign w:val="center"/>
                </w:tcPr>
                <w:p>
                  <w:pPr>
                    <w:jc w:val="center"/>
                    <w:rPr>
                      <w:szCs w:val="21"/>
                    </w:rPr>
                  </w:pPr>
                  <w:r>
                    <w:rPr>
                      <w:rFonts w:hint="eastAsia"/>
                      <w:szCs w:val="21"/>
                    </w:rPr>
                    <w:t>—</w:t>
                  </w:r>
                </w:p>
              </w:tc>
              <w:tc>
                <w:tcPr>
                  <w:tcW w:w="497" w:type="pct"/>
                  <w:vAlign w:val="center"/>
                </w:tcPr>
                <w:p>
                  <w:pPr>
                    <w:jc w:val="center"/>
                    <w:rPr>
                      <w:szCs w:val="21"/>
                    </w:rPr>
                  </w:pPr>
                  <w:r>
                    <w:rPr>
                      <w:rFonts w:hint="eastAsia"/>
                      <w:szCs w:val="21"/>
                    </w:rPr>
                    <w:t>—</w:t>
                  </w:r>
                </w:p>
              </w:tc>
              <w:tc>
                <w:tcPr>
                  <w:tcW w:w="720" w:type="pct"/>
                  <w:vAlign w:val="center"/>
                </w:tcPr>
                <w:p>
                  <w:pPr>
                    <w:jc w:val="center"/>
                    <w:rPr>
                      <w:szCs w:val="21"/>
                    </w:rPr>
                  </w:pPr>
                  <w:r>
                    <w:rPr>
                      <w:rFonts w:hint="eastAsia"/>
                      <w:szCs w:val="21"/>
                    </w:rPr>
                    <w:t>—</w:t>
                  </w:r>
                </w:p>
              </w:tc>
              <w:tc>
                <w:tcPr>
                  <w:tcW w:w="880" w:type="dxa"/>
                  <w:vAlign w:val="center"/>
                </w:tcPr>
                <w:p>
                  <w:pPr>
                    <w:jc w:val="center"/>
                    <w:rPr>
                      <w:szCs w:val="21"/>
                    </w:rPr>
                  </w:pPr>
                  <w:r>
                    <w:rPr>
                      <w:rFonts w:hint="eastAsia"/>
                      <w:szCs w:val="21"/>
                      <w:lang w:val="en-US" w:eastAsia="zh-CN"/>
                    </w:rPr>
                    <w:t>4.5</w:t>
                  </w:r>
                </w:p>
              </w:tc>
              <w:tc>
                <w:tcPr>
                  <w:tcW w:w="509" w:type="pct"/>
                  <w:vMerge w:val="continue"/>
                  <w:vAlign w:val="center"/>
                </w:tcPr>
                <w:p>
                  <w:pPr>
                    <w:pStyle w:val="123"/>
                    <w:rPr>
                      <w:b/>
                    </w:rPr>
                  </w:pPr>
                </w:p>
              </w:tc>
            </w:tr>
          </w:tbl>
          <w:p>
            <w:pPr>
              <w:jc w:val="center"/>
              <w:rPr>
                <w:b/>
                <w:szCs w:val="21"/>
              </w:rPr>
            </w:pPr>
            <w:r>
              <w:rPr>
                <w:b/>
                <w:szCs w:val="21"/>
              </w:rPr>
              <w:t>表</w:t>
            </w:r>
            <w:r>
              <w:rPr>
                <w:rFonts w:hint="eastAsia"/>
                <w:b/>
                <w:szCs w:val="21"/>
              </w:rPr>
              <w:t>5-9</w:t>
            </w:r>
            <w:r>
              <w:rPr>
                <w:b/>
                <w:szCs w:val="21"/>
              </w:rPr>
              <w:t xml:space="preserve">  本项目固体废物利用处置方式评价表</w:t>
            </w:r>
          </w:p>
          <w:tbl>
            <w:tblPr>
              <w:tblStyle w:val="56"/>
              <w:tblW w:w="4998" w:type="pct"/>
              <w:jc w:val="center"/>
              <w:tblBorders>
                <w:top w:val="single" w:color="auto" w:sz="12" w:space="0"/>
                <w:left w:val="none" w:color="auto" w:sz="0" w:space="0"/>
                <w:bottom w:val="single" w:color="auto" w:sz="12"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
            <w:tblGrid>
              <w:gridCol w:w="640"/>
              <w:gridCol w:w="1526"/>
              <w:gridCol w:w="1295"/>
              <w:gridCol w:w="848"/>
              <w:gridCol w:w="1196"/>
              <w:gridCol w:w="870"/>
              <w:gridCol w:w="1009"/>
              <w:gridCol w:w="925"/>
            </w:tblGrid>
            <w:tr>
              <w:tblPrEx>
                <w:tblBorders>
                  <w:top w:val="single" w:color="auto" w:sz="12" w:space="0"/>
                  <w:left w:val="none" w:color="auto" w:sz="0" w:space="0"/>
                  <w:bottom w:val="single" w:color="auto" w:sz="12"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90" w:hRule="atLeast"/>
                <w:jc w:val="center"/>
              </w:trPr>
              <w:tc>
                <w:tcPr>
                  <w:tcW w:w="385" w:type="pct"/>
                  <w:vAlign w:val="center"/>
                </w:tcPr>
                <w:p>
                  <w:pPr>
                    <w:pStyle w:val="123"/>
                    <w:rPr>
                      <w:b/>
                    </w:rPr>
                  </w:pPr>
                  <w:r>
                    <w:rPr>
                      <w:b/>
                    </w:rPr>
                    <w:t>序号</w:t>
                  </w:r>
                </w:p>
              </w:tc>
              <w:tc>
                <w:tcPr>
                  <w:tcW w:w="918" w:type="pct"/>
                  <w:vAlign w:val="center"/>
                </w:tcPr>
                <w:p>
                  <w:pPr>
                    <w:pStyle w:val="123"/>
                    <w:rPr>
                      <w:b/>
                    </w:rPr>
                  </w:pPr>
                  <w:r>
                    <w:rPr>
                      <w:b/>
                    </w:rPr>
                    <w:t>固体废物名称</w:t>
                  </w:r>
                </w:p>
              </w:tc>
              <w:tc>
                <w:tcPr>
                  <w:tcW w:w="779" w:type="pct"/>
                  <w:vAlign w:val="center"/>
                </w:tcPr>
                <w:p>
                  <w:pPr>
                    <w:pStyle w:val="123"/>
                    <w:rPr>
                      <w:b/>
                    </w:rPr>
                  </w:pPr>
                  <w:r>
                    <w:rPr>
                      <w:b/>
                    </w:rPr>
                    <w:t>产生工序</w:t>
                  </w:r>
                </w:p>
              </w:tc>
              <w:tc>
                <w:tcPr>
                  <w:tcW w:w="510" w:type="pct"/>
                  <w:vAlign w:val="center"/>
                </w:tcPr>
                <w:p>
                  <w:pPr>
                    <w:pStyle w:val="123"/>
                    <w:rPr>
                      <w:b/>
                    </w:rPr>
                  </w:pPr>
                  <w:r>
                    <w:rPr>
                      <w:rFonts w:hint="eastAsia"/>
                      <w:b/>
                    </w:rPr>
                    <w:t>属性</w:t>
                  </w:r>
                </w:p>
              </w:tc>
              <w:tc>
                <w:tcPr>
                  <w:tcW w:w="719" w:type="pct"/>
                  <w:vAlign w:val="center"/>
                </w:tcPr>
                <w:p>
                  <w:pPr>
                    <w:pStyle w:val="123"/>
                    <w:rPr>
                      <w:b/>
                    </w:rPr>
                  </w:pPr>
                  <w:r>
                    <w:rPr>
                      <w:b/>
                    </w:rPr>
                    <w:t>废物代码</w:t>
                  </w:r>
                </w:p>
              </w:tc>
              <w:tc>
                <w:tcPr>
                  <w:tcW w:w="523" w:type="pct"/>
                  <w:vAlign w:val="center"/>
                </w:tcPr>
                <w:p>
                  <w:pPr>
                    <w:pStyle w:val="123"/>
                    <w:rPr>
                      <w:b/>
                    </w:rPr>
                  </w:pPr>
                  <w:r>
                    <w:rPr>
                      <w:b/>
                    </w:rPr>
                    <w:t>产生量（t/a）</w:t>
                  </w:r>
                </w:p>
              </w:tc>
              <w:tc>
                <w:tcPr>
                  <w:tcW w:w="607" w:type="pct"/>
                  <w:vAlign w:val="center"/>
                </w:tcPr>
                <w:p>
                  <w:pPr>
                    <w:pStyle w:val="123"/>
                    <w:rPr>
                      <w:b/>
                    </w:rPr>
                  </w:pPr>
                  <w:r>
                    <w:rPr>
                      <w:b/>
                    </w:rPr>
                    <w:t>处理处置方式</w:t>
                  </w:r>
                </w:p>
              </w:tc>
              <w:tc>
                <w:tcPr>
                  <w:tcW w:w="556" w:type="pct"/>
                  <w:vAlign w:val="center"/>
                </w:tcPr>
                <w:p>
                  <w:pPr>
                    <w:pStyle w:val="123"/>
                    <w:rPr>
                      <w:b/>
                    </w:rPr>
                  </w:pPr>
                  <w:r>
                    <w:rPr>
                      <w:b/>
                    </w:rPr>
                    <w:t>利用处置单位</w:t>
                  </w:r>
                </w:p>
              </w:tc>
            </w:tr>
            <w:tr>
              <w:tblPrEx>
                <w:tblBorders>
                  <w:top w:val="single" w:color="auto" w:sz="12" w:space="0"/>
                  <w:left w:val="none" w:color="auto" w:sz="0" w:space="0"/>
                  <w:bottom w:val="single" w:color="auto" w:sz="12"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90" w:hRule="atLeast"/>
                <w:jc w:val="center"/>
              </w:trPr>
              <w:tc>
                <w:tcPr>
                  <w:tcW w:w="385" w:type="pct"/>
                  <w:vAlign w:val="center"/>
                </w:tcPr>
                <w:p>
                  <w:pPr>
                    <w:pStyle w:val="123"/>
                  </w:pPr>
                  <w:r>
                    <w:t>1</w:t>
                  </w:r>
                </w:p>
              </w:tc>
              <w:tc>
                <w:tcPr>
                  <w:tcW w:w="918" w:type="pct"/>
                  <w:vAlign w:val="center"/>
                </w:tcPr>
                <w:p>
                  <w:pPr>
                    <w:jc w:val="center"/>
                    <w:rPr>
                      <w:szCs w:val="21"/>
                    </w:rPr>
                  </w:pPr>
                  <w:r>
                    <w:rPr>
                      <w:rFonts w:hint="eastAsia"/>
                      <w:szCs w:val="21"/>
                    </w:rPr>
                    <w:t>废包装材料</w:t>
                  </w:r>
                </w:p>
              </w:tc>
              <w:tc>
                <w:tcPr>
                  <w:tcW w:w="779" w:type="pct"/>
                  <w:vAlign w:val="center"/>
                </w:tcPr>
                <w:p>
                  <w:pPr>
                    <w:jc w:val="center"/>
                    <w:rPr>
                      <w:szCs w:val="21"/>
                    </w:rPr>
                  </w:pPr>
                  <w:r>
                    <w:rPr>
                      <w:rFonts w:hint="eastAsia"/>
                      <w:szCs w:val="21"/>
                    </w:rPr>
                    <w:t>原料拆封</w:t>
                  </w:r>
                </w:p>
              </w:tc>
              <w:tc>
                <w:tcPr>
                  <w:tcW w:w="510" w:type="pct"/>
                  <w:vMerge w:val="restart"/>
                  <w:vAlign w:val="center"/>
                </w:tcPr>
                <w:p>
                  <w:pPr>
                    <w:pStyle w:val="123"/>
                    <w:rPr>
                      <w:rFonts w:hint="eastAsia" w:eastAsia="宋体"/>
                      <w:bCs/>
                      <w:lang w:eastAsia="zh-CN"/>
                    </w:rPr>
                  </w:pPr>
                  <w:r>
                    <w:rPr>
                      <w:rFonts w:hint="eastAsia"/>
                      <w:bCs/>
                      <w:lang w:eastAsia="zh-CN"/>
                    </w:rPr>
                    <w:t>一般工业固废</w:t>
                  </w:r>
                </w:p>
              </w:tc>
              <w:tc>
                <w:tcPr>
                  <w:tcW w:w="719" w:type="pct"/>
                  <w:vAlign w:val="center"/>
                </w:tcPr>
                <w:p>
                  <w:pPr>
                    <w:jc w:val="center"/>
                    <w:rPr>
                      <w:szCs w:val="21"/>
                    </w:rPr>
                  </w:pPr>
                  <w:r>
                    <w:rPr>
                      <w:rFonts w:hint="eastAsia"/>
                      <w:szCs w:val="21"/>
                    </w:rPr>
                    <w:t>—</w:t>
                  </w:r>
                </w:p>
              </w:tc>
              <w:tc>
                <w:tcPr>
                  <w:tcW w:w="523" w:type="pct"/>
                  <w:vAlign w:val="center"/>
                </w:tcPr>
                <w:p>
                  <w:pPr>
                    <w:jc w:val="center"/>
                    <w:rPr>
                      <w:szCs w:val="21"/>
                    </w:rPr>
                  </w:pPr>
                  <w:r>
                    <w:rPr>
                      <w:rFonts w:hint="eastAsia"/>
                      <w:szCs w:val="21"/>
                    </w:rPr>
                    <w:t>0.</w:t>
                  </w:r>
                  <w:r>
                    <w:rPr>
                      <w:rFonts w:hint="eastAsia"/>
                      <w:szCs w:val="21"/>
                      <w:lang w:val="en-US" w:eastAsia="zh-CN"/>
                    </w:rPr>
                    <w:t>0</w:t>
                  </w:r>
                  <w:r>
                    <w:rPr>
                      <w:rFonts w:hint="eastAsia"/>
                      <w:szCs w:val="21"/>
                    </w:rPr>
                    <w:t>1</w:t>
                  </w:r>
                </w:p>
              </w:tc>
              <w:tc>
                <w:tcPr>
                  <w:tcW w:w="607" w:type="pct"/>
                  <w:vMerge w:val="restart"/>
                  <w:vAlign w:val="center"/>
                </w:tcPr>
                <w:p>
                  <w:pPr>
                    <w:pStyle w:val="123"/>
                    <w:rPr>
                      <w:bCs/>
                    </w:rPr>
                  </w:pPr>
                  <w:r>
                    <w:rPr>
                      <w:rFonts w:hint="eastAsia"/>
                      <w:bCs/>
                    </w:rPr>
                    <w:t>经分类收集后售卖</w:t>
                  </w:r>
                </w:p>
              </w:tc>
              <w:tc>
                <w:tcPr>
                  <w:tcW w:w="556" w:type="pct"/>
                  <w:vMerge w:val="restart"/>
                  <w:vAlign w:val="center"/>
                </w:tcPr>
                <w:p>
                  <w:pPr>
                    <w:pStyle w:val="123"/>
                    <w:rPr>
                      <w:bCs/>
                    </w:rPr>
                  </w:pPr>
                  <w:r>
                    <w:rPr>
                      <w:rFonts w:hint="eastAsia"/>
                      <w:bCs/>
                    </w:rPr>
                    <w:t>物资回收公司</w:t>
                  </w:r>
                </w:p>
              </w:tc>
            </w:tr>
            <w:tr>
              <w:tblPrEx>
                <w:tblBorders>
                  <w:top w:val="single" w:color="auto" w:sz="12" w:space="0"/>
                  <w:left w:val="none" w:color="auto" w:sz="0" w:space="0"/>
                  <w:bottom w:val="single" w:color="auto" w:sz="12" w:space="0"/>
                  <w:right w:val="none" w:color="auto" w:sz="0" w:space="0"/>
                  <w:insideH w:val="single" w:color="auto" w:sz="2" w:space="0"/>
                  <w:insideV w:val="single" w:color="auto" w:sz="2" w:space="0"/>
                </w:tblBorders>
              </w:tblPrEx>
              <w:trPr>
                <w:trHeight w:val="90" w:hRule="atLeast"/>
                <w:jc w:val="center"/>
              </w:trPr>
              <w:tc>
                <w:tcPr>
                  <w:tcW w:w="385" w:type="pct"/>
                  <w:vAlign w:val="center"/>
                </w:tcPr>
                <w:p>
                  <w:pPr>
                    <w:pStyle w:val="123"/>
                  </w:pPr>
                  <w:r>
                    <w:rPr>
                      <w:rFonts w:hint="eastAsia"/>
                    </w:rPr>
                    <w:t>2</w:t>
                  </w:r>
                </w:p>
              </w:tc>
              <w:tc>
                <w:tcPr>
                  <w:tcW w:w="918" w:type="pct"/>
                  <w:vAlign w:val="center"/>
                </w:tcPr>
                <w:p>
                  <w:pPr>
                    <w:jc w:val="center"/>
                    <w:rPr>
                      <w:szCs w:val="21"/>
                    </w:rPr>
                  </w:pPr>
                  <w:r>
                    <w:rPr>
                      <w:rFonts w:hint="eastAsia"/>
                      <w:szCs w:val="21"/>
                      <w:lang w:eastAsia="zh-CN"/>
                    </w:rPr>
                    <w:t>不合格品</w:t>
                  </w:r>
                </w:p>
              </w:tc>
              <w:tc>
                <w:tcPr>
                  <w:tcW w:w="779" w:type="pct"/>
                  <w:vAlign w:val="center"/>
                </w:tcPr>
                <w:p>
                  <w:pPr>
                    <w:jc w:val="center"/>
                    <w:rPr>
                      <w:szCs w:val="21"/>
                    </w:rPr>
                  </w:pPr>
                  <w:r>
                    <w:rPr>
                      <w:rFonts w:hint="eastAsia"/>
                      <w:szCs w:val="21"/>
                      <w:lang w:eastAsia="zh-CN"/>
                    </w:rPr>
                    <w:t>注塑成型</w:t>
                  </w:r>
                </w:p>
              </w:tc>
              <w:tc>
                <w:tcPr>
                  <w:tcW w:w="510" w:type="pct"/>
                  <w:vMerge w:val="continue"/>
                  <w:vAlign w:val="center"/>
                </w:tcPr>
                <w:p>
                  <w:pPr>
                    <w:pStyle w:val="123"/>
                    <w:rPr>
                      <w:bCs/>
                    </w:rPr>
                  </w:pPr>
                </w:p>
              </w:tc>
              <w:tc>
                <w:tcPr>
                  <w:tcW w:w="719" w:type="pct"/>
                  <w:vAlign w:val="center"/>
                </w:tcPr>
                <w:p>
                  <w:pPr>
                    <w:jc w:val="center"/>
                    <w:rPr>
                      <w:szCs w:val="21"/>
                    </w:rPr>
                  </w:pPr>
                  <w:r>
                    <w:rPr>
                      <w:rFonts w:hint="eastAsia"/>
                      <w:szCs w:val="21"/>
                    </w:rPr>
                    <w:t>—</w:t>
                  </w:r>
                </w:p>
              </w:tc>
              <w:tc>
                <w:tcPr>
                  <w:tcW w:w="523" w:type="pct"/>
                  <w:vAlign w:val="center"/>
                </w:tcPr>
                <w:p>
                  <w:pPr>
                    <w:jc w:val="center"/>
                    <w:rPr>
                      <w:szCs w:val="21"/>
                    </w:rPr>
                  </w:pPr>
                  <w:r>
                    <w:rPr>
                      <w:rFonts w:hint="eastAsia"/>
                      <w:szCs w:val="21"/>
                      <w:lang w:val="en-US" w:eastAsia="zh-CN"/>
                    </w:rPr>
                    <w:t>0.05</w:t>
                  </w:r>
                </w:p>
              </w:tc>
              <w:tc>
                <w:tcPr>
                  <w:tcW w:w="607" w:type="pct"/>
                  <w:vMerge w:val="continue"/>
                  <w:vAlign w:val="center"/>
                </w:tcPr>
                <w:p>
                  <w:pPr>
                    <w:pStyle w:val="123"/>
                    <w:rPr>
                      <w:bCs/>
                    </w:rPr>
                  </w:pPr>
                </w:p>
              </w:tc>
              <w:tc>
                <w:tcPr>
                  <w:tcW w:w="556" w:type="pct"/>
                  <w:vMerge w:val="continue"/>
                  <w:vAlign w:val="center"/>
                </w:tcPr>
                <w:p>
                  <w:pPr>
                    <w:pStyle w:val="123"/>
                    <w:rPr>
                      <w:bCs/>
                    </w:rPr>
                  </w:pPr>
                </w:p>
              </w:tc>
            </w:tr>
            <w:tr>
              <w:tblPrEx>
                <w:tblBorders>
                  <w:top w:val="single" w:color="auto" w:sz="12" w:space="0"/>
                  <w:left w:val="none" w:color="auto" w:sz="0" w:space="0"/>
                  <w:bottom w:val="single" w:color="auto" w:sz="12" w:space="0"/>
                  <w:right w:val="none" w:color="auto" w:sz="0" w:space="0"/>
                  <w:insideH w:val="single" w:color="auto" w:sz="2" w:space="0"/>
                  <w:insideV w:val="single" w:color="auto" w:sz="2" w:space="0"/>
                </w:tblBorders>
              </w:tblPrEx>
              <w:trPr>
                <w:trHeight w:val="90" w:hRule="atLeast"/>
                <w:jc w:val="center"/>
              </w:trPr>
              <w:tc>
                <w:tcPr>
                  <w:tcW w:w="385" w:type="pct"/>
                  <w:vAlign w:val="center"/>
                </w:tcPr>
                <w:p>
                  <w:pPr>
                    <w:pStyle w:val="123"/>
                    <w:rPr>
                      <w:rFonts w:hint="eastAsia" w:ascii="Times New Roman" w:hAnsi="Times New Roman" w:eastAsia="宋体" w:cs="Times New Roman"/>
                      <w:kern w:val="18"/>
                      <w:sz w:val="21"/>
                      <w:szCs w:val="21"/>
                      <w:lang w:val="en-US" w:eastAsia="zh-CN" w:bidi="ar-SA"/>
                    </w:rPr>
                  </w:pPr>
                  <w:r>
                    <w:rPr>
                      <w:rFonts w:hint="eastAsia"/>
                    </w:rPr>
                    <w:t>3</w:t>
                  </w:r>
                </w:p>
              </w:tc>
              <w:tc>
                <w:tcPr>
                  <w:tcW w:w="918" w:type="pct"/>
                  <w:vAlign w:val="center"/>
                </w:tcPr>
                <w:p>
                  <w:pPr>
                    <w:jc w:val="center"/>
                    <w:rPr>
                      <w:rFonts w:hint="eastAsia"/>
                      <w:szCs w:val="21"/>
                    </w:rPr>
                  </w:pPr>
                  <w:r>
                    <w:rPr>
                      <w:rFonts w:hint="eastAsia"/>
                      <w:szCs w:val="21"/>
                      <w:lang w:eastAsia="zh-CN"/>
                    </w:rPr>
                    <w:t>废金属碎屑</w:t>
                  </w:r>
                </w:p>
              </w:tc>
              <w:tc>
                <w:tcPr>
                  <w:tcW w:w="779" w:type="pct"/>
                  <w:vAlign w:val="center"/>
                </w:tcPr>
                <w:p>
                  <w:pPr>
                    <w:jc w:val="center"/>
                    <w:rPr>
                      <w:rFonts w:hint="eastAsia"/>
                      <w:szCs w:val="21"/>
                    </w:rPr>
                  </w:pPr>
                  <w:r>
                    <w:rPr>
                      <w:rFonts w:hint="eastAsia"/>
                      <w:szCs w:val="21"/>
                      <w:lang w:eastAsia="zh-CN"/>
                    </w:rPr>
                    <w:t>成型工序</w:t>
                  </w:r>
                </w:p>
              </w:tc>
              <w:tc>
                <w:tcPr>
                  <w:tcW w:w="510" w:type="pct"/>
                  <w:vMerge w:val="continue"/>
                  <w:vAlign w:val="center"/>
                </w:tcPr>
                <w:p>
                  <w:pPr>
                    <w:pStyle w:val="123"/>
                    <w:rPr>
                      <w:bCs/>
                    </w:rPr>
                  </w:pPr>
                </w:p>
              </w:tc>
              <w:tc>
                <w:tcPr>
                  <w:tcW w:w="719" w:type="pct"/>
                  <w:vAlign w:val="center"/>
                </w:tcPr>
                <w:p>
                  <w:pPr>
                    <w:jc w:val="center"/>
                    <w:rPr>
                      <w:rFonts w:hint="eastAsia"/>
                      <w:szCs w:val="21"/>
                    </w:rPr>
                  </w:pPr>
                  <w:r>
                    <w:rPr>
                      <w:rFonts w:hint="eastAsia"/>
                      <w:szCs w:val="21"/>
                    </w:rPr>
                    <w:t>—</w:t>
                  </w:r>
                </w:p>
              </w:tc>
              <w:tc>
                <w:tcPr>
                  <w:tcW w:w="523" w:type="pct"/>
                  <w:vAlign w:val="center"/>
                </w:tcPr>
                <w:p>
                  <w:pPr>
                    <w:jc w:val="center"/>
                    <w:rPr>
                      <w:rFonts w:hint="eastAsia"/>
                      <w:szCs w:val="21"/>
                    </w:rPr>
                  </w:pPr>
                  <w:r>
                    <w:rPr>
                      <w:rFonts w:hint="eastAsia"/>
                      <w:szCs w:val="21"/>
                      <w:lang w:val="en-US" w:eastAsia="zh-CN"/>
                    </w:rPr>
                    <w:t>0.05</w:t>
                  </w:r>
                </w:p>
              </w:tc>
              <w:tc>
                <w:tcPr>
                  <w:tcW w:w="607" w:type="pct"/>
                  <w:vMerge w:val="continue"/>
                  <w:vAlign w:val="center"/>
                </w:tcPr>
                <w:p>
                  <w:pPr>
                    <w:pStyle w:val="123"/>
                    <w:rPr>
                      <w:bCs/>
                    </w:rPr>
                  </w:pPr>
                </w:p>
              </w:tc>
              <w:tc>
                <w:tcPr>
                  <w:tcW w:w="556" w:type="pct"/>
                  <w:vMerge w:val="continue"/>
                  <w:vAlign w:val="center"/>
                </w:tcPr>
                <w:p>
                  <w:pPr>
                    <w:pStyle w:val="123"/>
                    <w:rPr>
                      <w:bCs/>
                    </w:rPr>
                  </w:pPr>
                </w:p>
              </w:tc>
            </w:tr>
            <w:tr>
              <w:tblPrEx>
                <w:tblBorders>
                  <w:top w:val="single" w:color="auto" w:sz="12" w:space="0"/>
                  <w:left w:val="none" w:color="auto" w:sz="0" w:space="0"/>
                  <w:bottom w:val="single" w:color="auto" w:sz="12" w:space="0"/>
                  <w:right w:val="none" w:color="auto" w:sz="0" w:space="0"/>
                  <w:insideH w:val="single" w:color="auto" w:sz="2" w:space="0"/>
                  <w:insideV w:val="single" w:color="auto" w:sz="2" w:space="0"/>
                </w:tblBorders>
              </w:tblPrEx>
              <w:trPr>
                <w:trHeight w:val="90" w:hRule="atLeast"/>
                <w:jc w:val="center"/>
              </w:trPr>
              <w:tc>
                <w:tcPr>
                  <w:tcW w:w="385" w:type="pct"/>
                  <w:vAlign w:val="center"/>
                </w:tcPr>
                <w:p>
                  <w:pPr>
                    <w:pStyle w:val="123"/>
                    <w:rPr>
                      <w:rFonts w:ascii="Times New Roman" w:hAnsi="Times New Roman" w:eastAsia="宋体" w:cs="Times New Roman"/>
                      <w:kern w:val="18"/>
                      <w:sz w:val="21"/>
                      <w:szCs w:val="21"/>
                      <w:lang w:val="en-US" w:eastAsia="zh-CN" w:bidi="ar-SA"/>
                    </w:rPr>
                  </w:pPr>
                  <w:r>
                    <w:rPr>
                      <w:rFonts w:hint="eastAsia"/>
                    </w:rPr>
                    <w:t>4</w:t>
                  </w:r>
                </w:p>
              </w:tc>
              <w:tc>
                <w:tcPr>
                  <w:tcW w:w="918" w:type="pct"/>
                  <w:vAlign w:val="center"/>
                </w:tcPr>
                <w:p>
                  <w:pPr>
                    <w:pStyle w:val="123"/>
                    <w:rPr>
                      <w:szCs w:val="21"/>
                    </w:rPr>
                  </w:pPr>
                  <w:r>
                    <w:rPr>
                      <w:rFonts w:hint="eastAsia"/>
                    </w:rPr>
                    <w:t>废切削液</w:t>
                  </w:r>
                </w:p>
              </w:tc>
              <w:tc>
                <w:tcPr>
                  <w:tcW w:w="779" w:type="pct"/>
                  <w:vAlign w:val="center"/>
                </w:tcPr>
                <w:p>
                  <w:pPr>
                    <w:pStyle w:val="123"/>
                    <w:rPr>
                      <w:szCs w:val="21"/>
                    </w:rPr>
                  </w:pPr>
                  <w:r>
                    <w:rPr>
                      <w:rFonts w:hint="eastAsia"/>
                      <w:szCs w:val="21"/>
                      <w:lang w:eastAsia="zh-CN"/>
                    </w:rPr>
                    <w:t>成型工序</w:t>
                  </w:r>
                </w:p>
              </w:tc>
              <w:tc>
                <w:tcPr>
                  <w:tcW w:w="510" w:type="pct"/>
                  <w:vMerge w:val="restart"/>
                  <w:vAlign w:val="center"/>
                </w:tcPr>
                <w:p>
                  <w:pPr>
                    <w:pStyle w:val="123"/>
                    <w:rPr>
                      <w:rFonts w:hint="eastAsia" w:eastAsia="宋体"/>
                      <w:bCs/>
                      <w:lang w:eastAsia="zh-CN"/>
                    </w:rPr>
                  </w:pPr>
                  <w:r>
                    <w:rPr>
                      <w:rFonts w:hint="eastAsia"/>
                      <w:bCs/>
                      <w:lang w:eastAsia="zh-CN"/>
                    </w:rPr>
                    <w:t>危险废物</w:t>
                  </w:r>
                </w:p>
              </w:tc>
              <w:tc>
                <w:tcPr>
                  <w:tcW w:w="719" w:type="pct"/>
                  <w:vAlign w:val="center"/>
                </w:tcPr>
                <w:p>
                  <w:pPr>
                    <w:widowControl/>
                    <w:adjustRightInd w:val="0"/>
                    <w:snapToGrid w:val="0"/>
                    <w:ind w:left="-105" w:leftChars="-50" w:right="-105" w:rightChars="-50"/>
                    <w:jc w:val="center"/>
                    <w:rPr>
                      <w:szCs w:val="21"/>
                    </w:rPr>
                  </w:pPr>
                  <w:r>
                    <w:rPr>
                      <w:kern w:val="18"/>
                      <w:szCs w:val="21"/>
                    </w:rPr>
                    <w:t>900-006-09</w:t>
                  </w:r>
                </w:p>
              </w:tc>
              <w:tc>
                <w:tcPr>
                  <w:tcW w:w="523" w:type="pct"/>
                  <w:vAlign w:val="center"/>
                </w:tcPr>
                <w:p>
                  <w:pPr>
                    <w:jc w:val="center"/>
                    <w:rPr>
                      <w:szCs w:val="21"/>
                    </w:rPr>
                  </w:pPr>
                  <w:r>
                    <w:rPr>
                      <w:rFonts w:hint="eastAsia"/>
                      <w:szCs w:val="21"/>
                      <w:lang w:val="en-US" w:eastAsia="zh-CN"/>
                    </w:rPr>
                    <w:t>1.68</w:t>
                  </w:r>
                </w:p>
              </w:tc>
              <w:tc>
                <w:tcPr>
                  <w:tcW w:w="607" w:type="pct"/>
                  <w:vMerge w:val="restart"/>
                  <w:vAlign w:val="center"/>
                </w:tcPr>
                <w:p>
                  <w:pPr>
                    <w:pStyle w:val="123"/>
                    <w:rPr>
                      <w:bCs/>
                    </w:rPr>
                  </w:pPr>
                  <w:r>
                    <w:rPr>
                      <w:rFonts w:hint="eastAsia"/>
                      <w:bCs/>
                    </w:rPr>
                    <w:t>委托有资质单位处置</w:t>
                  </w:r>
                </w:p>
              </w:tc>
              <w:tc>
                <w:tcPr>
                  <w:tcW w:w="556" w:type="pct"/>
                  <w:vMerge w:val="restart"/>
                  <w:vAlign w:val="center"/>
                </w:tcPr>
                <w:p>
                  <w:pPr>
                    <w:pStyle w:val="123"/>
                    <w:rPr>
                      <w:bCs/>
                    </w:rPr>
                  </w:pPr>
                  <w:r>
                    <w:rPr>
                      <w:rFonts w:hint="eastAsia"/>
                      <w:bCs/>
                    </w:rPr>
                    <w:t>有资质单位处置</w:t>
                  </w:r>
                </w:p>
              </w:tc>
            </w:tr>
            <w:tr>
              <w:tblPrEx>
                <w:tblBorders>
                  <w:top w:val="single" w:color="auto" w:sz="12" w:space="0"/>
                  <w:left w:val="none" w:color="auto" w:sz="0" w:space="0"/>
                  <w:bottom w:val="single" w:color="auto" w:sz="12" w:space="0"/>
                  <w:right w:val="none" w:color="auto" w:sz="0" w:space="0"/>
                  <w:insideH w:val="single" w:color="auto" w:sz="2" w:space="0"/>
                  <w:insideV w:val="single" w:color="auto" w:sz="2" w:space="0"/>
                </w:tblBorders>
              </w:tblPrEx>
              <w:trPr>
                <w:trHeight w:val="90" w:hRule="atLeast"/>
                <w:jc w:val="center"/>
              </w:trPr>
              <w:tc>
                <w:tcPr>
                  <w:tcW w:w="385" w:type="pct"/>
                  <w:vAlign w:val="center"/>
                </w:tcPr>
                <w:p>
                  <w:pPr>
                    <w:pStyle w:val="123"/>
                    <w:rPr>
                      <w:rFonts w:ascii="Times New Roman" w:hAnsi="Times New Roman" w:eastAsia="宋体" w:cs="Times New Roman"/>
                      <w:kern w:val="18"/>
                      <w:sz w:val="21"/>
                      <w:szCs w:val="21"/>
                      <w:lang w:val="en-US" w:eastAsia="zh-CN" w:bidi="ar-SA"/>
                    </w:rPr>
                  </w:pPr>
                  <w:r>
                    <w:rPr>
                      <w:rFonts w:hint="eastAsia"/>
                    </w:rPr>
                    <w:t>5</w:t>
                  </w:r>
                </w:p>
              </w:tc>
              <w:tc>
                <w:tcPr>
                  <w:tcW w:w="918" w:type="pct"/>
                  <w:vAlign w:val="center"/>
                </w:tcPr>
                <w:p>
                  <w:pPr>
                    <w:jc w:val="center"/>
                    <w:rPr>
                      <w:szCs w:val="21"/>
                    </w:rPr>
                  </w:pPr>
                  <w:r>
                    <w:rPr>
                      <w:rFonts w:hint="eastAsia"/>
                      <w:szCs w:val="21"/>
                    </w:rPr>
                    <w:t>废活性炭</w:t>
                  </w:r>
                </w:p>
              </w:tc>
              <w:tc>
                <w:tcPr>
                  <w:tcW w:w="779" w:type="pct"/>
                  <w:vAlign w:val="center"/>
                </w:tcPr>
                <w:p>
                  <w:pPr>
                    <w:jc w:val="center"/>
                    <w:rPr>
                      <w:szCs w:val="21"/>
                    </w:rPr>
                  </w:pPr>
                  <w:r>
                    <w:rPr>
                      <w:rFonts w:hint="eastAsia"/>
                      <w:szCs w:val="21"/>
                    </w:rPr>
                    <w:t>废气处理</w:t>
                  </w:r>
                </w:p>
              </w:tc>
              <w:tc>
                <w:tcPr>
                  <w:tcW w:w="510" w:type="pct"/>
                  <w:vMerge w:val="continue"/>
                  <w:vAlign w:val="center"/>
                </w:tcPr>
                <w:p>
                  <w:pPr>
                    <w:pStyle w:val="123"/>
                    <w:rPr>
                      <w:bCs/>
                    </w:rPr>
                  </w:pPr>
                </w:p>
              </w:tc>
              <w:tc>
                <w:tcPr>
                  <w:tcW w:w="719" w:type="pct"/>
                  <w:vAlign w:val="center"/>
                </w:tcPr>
                <w:p>
                  <w:pPr>
                    <w:jc w:val="center"/>
                    <w:rPr>
                      <w:szCs w:val="21"/>
                    </w:rPr>
                  </w:pPr>
                  <w:r>
                    <w:rPr>
                      <w:rFonts w:hint="eastAsia"/>
                      <w:color w:val="0000FF"/>
                      <w:szCs w:val="21"/>
                    </w:rPr>
                    <w:t>900-041-49</w:t>
                  </w:r>
                </w:p>
              </w:tc>
              <w:tc>
                <w:tcPr>
                  <w:tcW w:w="523" w:type="pct"/>
                  <w:vAlign w:val="center"/>
                </w:tcPr>
                <w:p>
                  <w:pPr>
                    <w:jc w:val="center"/>
                    <w:rPr>
                      <w:rFonts w:hint="default"/>
                      <w:szCs w:val="21"/>
                      <w:lang w:val="en-US"/>
                    </w:rPr>
                  </w:pPr>
                  <w:r>
                    <w:rPr>
                      <w:rFonts w:hint="eastAsia"/>
                      <w:color w:val="0000FF"/>
                      <w:szCs w:val="21"/>
                      <w:lang w:val="en-US" w:eastAsia="zh-CN"/>
                    </w:rPr>
                    <w:t>0.002</w:t>
                  </w:r>
                </w:p>
              </w:tc>
              <w:tc>
                <w:tcPr>
                  <w:tcW w:w="607" w:type="pct"/>
                  <w:vMerge w:val="continue"/>
                  <w:vAlign w:val="center"/>
                </w:tcPr>
                <w:p>
                  <w:pPr>
                    <w:pStyle w:val="123"/>
                    <w:rPr>
                      <w:bCs/>
                    </w:rPr>
                  </w:pPr>
                </w:p>
              </w:tc>
              <w:tc>
                <w:tcPr>
                  <w:tcW w:w="556" w:type="pct"/>
                  <w:vMerge w:val="continue"/>
                  <w:vAlign w:val="center"/>
                </w:tcPr>
                <w:p>
                  <w:pPr>
                    <w:pStyle w:val="123"/>
                    <w:rPr>
                      <w:bCs/>
                    </w:rPr>
                  </w:pPr>
                </w:p>
              </w:tc>
            </w:tr>
            <w:tr>
              <w:tblPrEx>
                <w:tblBorders>
                  <w:top w:val="single" w:color="auto" w:sz="12" w:space="0"/>
                  <w:left w:val="none" w:color="auto" w:sz="0" w:space="0"/>
                  <w:bottom w:val="single" w:color="auto" w:sz="12" w:space="0"/>
                  <w:right w:val="none" w:color="auto" w:sz="0" w:space="0"/>
                  <w:insideH w:val="single" w:color="auto" w:sz="2" w:space="0"/>
                  <w:insideV w:val="single" w:color="auto" w:sz="2" w:space="0"/>
                </w:tblBorders>
              </w:tblPrEx>
              <w:trPr>
                <w:trHeight w:val="90" w:hRule="atLeast"/>
                <w:jc w:val="center"/>
              </w:trPr>
              <w:tc>
                <w:tcPr>
                  <w:tcW w:w="385" w:type="pct"/>
                  <w:vAlign w:val="center"/>
                </w:tcPr>
                <w:p>
                  <w:pPr>
                    <w:pStyle w:val="123"/>
                    <w:rPr>
                      <w:rFonts w:ascii="Times New Roman" w:hAnsi="Times New Roman" w:eastAsia="宋体" w:cs="Times New Roman"/>
                      <w:kern w:val="18"/>
                      <w:sz w:val="21"/>
                      <w:szCs w:val="21"/>
                      <w:lang w:val="en-US" w:eastAsia="zh-CN" w:bidi="ar-SA"/>
                    </w:rPr>
                  </w:pPr>
                  <w:r>
                    <w:rPr>
                      <w:rFonts w:hint="eastAsia"/>
                    </w:rPr>
                    <w:t>6</w:t>
                  </w:r>
                </w:p>
              </w:tc>
              <w:tc>
                <w:tcPr>
                  <w:tcW w:w="918" w:type="pct"/>
                  <w:vAlign w:val="center"/>
                </w:tcPr>
                <w:p>
                  <w:pPr>
                    <w:jc w:val="center"/>
                    <w:rPr>
                      <w:szCs w:val="21"/>
                    </w:rPr>
                  </w:pPr>
                  <w:r>
                    <w:rPr>
                      <w:rFonts w:hint="eastAsia"/>
                      <w:szCs w:val="21"/>
                    </w:rPr>
                    <w:t>废润滑油</w:t>
                  </w:r>
                </w:p>
              </w:tc>
              <w:tc>
                <w:tcPr>
                  <w:tcW w:w="779" w:type="pct"/>
                  <w:vAlign w:val="center"/>
                </w:tcPr>
                <w:p>
                  <w:pPr>
                    <w:jc w:val="center"/>
                    <w:rPr>
                      <w:szCs w:val="21"/>
                    </w:rPr>
                  </w:pPr>
                  <w:r>
                    <w:rPr>
                      <w:rFonts w:hint="eastAsia"/>
                      <w:szCs w:val="21"/>
                    </w:rPr>
                    <w:t>设备维护</w:t>
                  </w:r>
                </w:p>
              </w:tc>
              <w:tc>
                <w:tcPr>
                  <w:tcW w:w="510" w:type="pct"/>
                  <w:vMerge w:val="continue"/>
                  <w:vAlign w:val="center"/>
                </w:tcPr>
                <w:p>
                  <w:pPr>
                    <w:pStyle w:val="123"/>
                    <w:rPr>
                      <w:bCs/>
                    </w:rPr>
                  </w:pPr>
                </w:p>
              </w:tc>
              <w:tc>
                <w:tcPr>
                  <w:tcW w:w="719" w:type="pct"/>
                  <w:vAlign w:val="center"/>
                </w:tcPr>
                <w:p>
                  <w:pPr>
                    <w:jc w:val="center"/>
                    <w:rPr>
                      <w:szCs w:val="21"/>
                    </w:rPr>
                  </w:pPr>
                  <w:r>
                    <w:rPr>
                      <w:rFonts w:hint="eastAsia"/>
                      <w:szCs w:val="21"/>
                    </w:rPr>
                    <w:t>900-217-08</w:t>
                  </w:r>
                </w:p>
              </w:tc>
              <w:tc>
                <w:tcPr>
                  <w:tcW w:w="523" w:type="pct"/>
                  <w:vAlign w:val="center"/>
                </w:tcPr>
                <w:p>
                  <w:pPr>
                    <w:jc w:val="center"/>
                    <w:rPr>
                      <w:szCs w:val="21"/>
                    </w:rPr>
                  </w:pPr>
                  <w:r>
                    <w:rPr>
                      <w:rFonts w:hint="eastAsia"/>
                      <w:szCs w:val="21"/>
                    </w:rPr>
                    <w:t>0.</w:t>
                  </w:r>
                  <w:r>
                    <w:rPr>
                      <w:rFonts w:hint="eastAsia"/>
                      <w:szCs w:val="21"/>
                      <w:lang w:val="en-US" w:eastAsia="zh-CN"/>
                    </w:rPr>
                    <w:t>3</w:t>
                  </w:r>
                </w:p>
              </w:tc>
              <w:tc>
                <w:tcPr>
                  <w:tcW w:w="607" w:type="pct"/>
                  <w:vMerge w:val="continue"/>
                  <w:vAlign w:val="center"/>
                </w:tcPr>
                <w:p>
                  <w:pPr>
                    <w:pStyle w:val="123"/>
                    <w:rPr>
                      <w:bCs/>
                    </w:rPr>
                  </w:pPr>
                </w:p>
              </w:tc>
              <w:tc>
                <w:tcPr>
                  <w:tcW w:w="556" w:type="pct"/>
                  <w:vMerge w:val="continue"/>
                  <w:vAlign w:val="center"/>
                </w:tcPr>
                <w:p>
                  <w:pPr>
                    <w:pStyle w:val="123"/>
                    <w:rPr>
                      <w:bCs/>
                    </w:rPr>
                  </w:pPr>
                </w:p>
              </w:tc>
            </w:tr>
            <w:tr>
              <w:tblPrEx>
                <w:tblBorders>
                  <w:top w:val="single" w:color="auto" w:sz="12" w:space="0"/>
                  <w:left w:val="none" w:color="auto" w:sz="0" w:space="0"/>
                  <w:bottom w:val="single" w:color="auto" w:sz="12" w:space="0"/>
                  <w:right w:val="none" w:color="auto" w:sz="0" w:space="0"/>
                  <w:insideH w:val="single" w:color="auto" w:sz="2" w:space="0"/>
                  <w:insideV w:val="single" w:color="auto" w:sz="2" w:space="0"/>
                </w:tblBorders>
              </w:tblPrEx>
              <w:trPr>
                <w:trHeight w:val="90" w:hRule="atLeast"/>
                <w:jc w:val="center"/>
              </w:trPr>
              <w:tc>
                <w:tcPr>
                  <w:tcW w:w="385" w:type="pct"/>
                  <w:vAlign w:val="center"/>
                </w:tcPr>
                <w:p>
                  <w:pPr>
                    <w:pStyle w:val="123"/>
                    <w:rPr>
                      <w:rFonts w:ascii="Times New Roman" w:hAnsi="Times New Roman" w:eastAsia="宋体" w:cs="Times New Roman"/>
                      <w:kern w:val="18"/>
                      <w:sz w:val="21"/>
                      <w:szCs w:val="21"/>
                      <w:lang w:val="en-US" w:eastAsia="zh-CN" w:bidi="ar-SA"/>
                    </w:rPr>
                  </w:pPr>
                  <w:r>
                    <w:rPr>
                      <w:rFonts w:hint="eastAsia"/>
                    </w:rPr>
                    <w:t>7</w:t>
                  </w:r>
                </w:p>
              </w:tc>
              <w:tc>
                <w:tcPr>
                  <w:tcW w:w="918" w:type="pct"/>
                  <w:vAlign w:val="center"/>
                </w:tcPr>
                <w:p>
                  <w:pPr>
                    <w:jc w:val="center"/>
                    <w:rPr>
                      <w:szCs w:val="21"/>
                    </w:rPr>
                  </w:pPr>
                  <w:r>
                    <w:rPr>
                      <w:rFonts w:hint="eastAsia"/>
                      <w:szCs w:val="21"/>
                    </w:rPr>
                    <w:t>废包装桶</w:t>
                  </w:r>
                </w:p>
              </w:tc>
              <w:tc>
                <w:tcPr>
                  <w:tcW w:w="779" w:type="pct"/>
                  <w:vAlign w:val="center"/>
                </w:tcPr>
                <w:p>
                  <w:pPr>
                    <w:jc w:val="center"/>
                    <w:rPr>
                      <w:szCs w:val="21"/>
                    </w:rPr>
                  </w:pPr>
                  <w:r>
                    <w:rPr>
                      <w:rFonts w:hint="eastAsia"/>
                      <w:szCs w:val="21"/>
                    </w:rPr>
                    <w:t>原料拆封</w:t>
                  </w:r>
                </w:p>
              </w:tc>
              <w:tc>
                <w:tcPr>
                  <w:tcW w:w="510" w:type="pct"/>
                  <w:vMerge w:val="continue"/>
                  <w:vAlign w:val="center"/>
                </w:tcPr>
                <w:p>
                  <w:pPr>
                    <w:pStyle w:val="123"/>
                    <w:rPr>
                      <w:bCs/>
                    </w:rPr>
                  </w:pPr>
                </w:p>
              </w:tc>
              <w:tc>
                <w:tcPr>
                  <w:tcW w:w="719" w:type="pct"/>
                  <w:vAlign w:val="center"/>
                </w:tcPr>
                <w:p>
                  <w:pPr>
                    <w:jc w:val="center"/>
                    <w:rPr>
                      <w:szCs w:val="21"/>
                    </w:rPr>
                  </w:pPr>
                  <w:r>
                    <w:rPr>
                      <w:rFonts w:hint="eastAsia"/>
                      <w:szCs w:val="21"/>
                    </w:rPr>
                    <w:t>900-041-49</w:t>
                  </w:r>
                </w:p>
              </w:tc>
              <w:tc>
                <w:tcPr>
                  <w:tcW w:w="523" w:type="pct"/>
                  <w:vAlign w:val="center"/>
                </w:tcPr>
                <w:p>
                  <w:pPr>
                    <w:jc w:val="center"/>
                    <w:rPr>
                      <w:szCs w:val="21"/>
                    </w:rPr>
                  </w:pPr>
                  <w:r>
                    <w:rPr>
                      <w:rFonts w:hint="eastAsia"/>
                      <w:szCs w:val="21"/>
                    </w:rPr>
                    <w:t>0.</w:t>
                  </w:r>
                  <w:r>
                    <w:rPr>
                      <w:rFonts w:hint="eastAsia"/>
                      <w:szCs w:val="21"/>
                      <w:lang w:val="en-US" w:eastAsia="zh-CN"/>
                    </w:rPr>
                    <w:t>07</w:t>
                  </w:r>
                </w:p>
              </w:tc>
              <w:tc>
                <w:tcPr>
                  <w:tcW w:w="607" w:type="pct"/>
                  <w:vMerge w:val="continue"/>
                  <w:vAlign w:val="center"/>
                </w:tcPr>
                <w:p>
                  <w:pPr>
                    <w:pStyle w:val="123"/>
                    <w:rPr>
                      <w:bCs/>
                    </w:rPr>
                  </w:pPr>
                </w:p>
              </w:tc>
              <w:tc>
                <w:tcPr>
                  <w:tcW w:w="556" w:type="pct"/>
                  <w:vMerge w:val="continue"/>
                  <w:vAlign w:val="center"/>
                </w:tcPr>
                <w:p>
                  <w:pPr>
                    <w:pStyle w:val="123"/>
                    <w:rPr>
                      <w:bCs/>
                    </w:rPr>
                  </w:pPr>
                </w:p>
              </w:tc>
            </w:tr>
            <w:tr>
              <w:tblPrEx>
                <w:tblBorders>
                  <w:top w:val="single" w:color="auto" w:sz="12" w:space="0"/>
                  <w:left w:val="none" w:color="auto" w:sz="0" w:space="0"/>
                  <w:bottom w:val="single" w:color="auto" w:sz="12" w:space="0"/>
                  <w:right w:val="none" w:color="auto" w:sz="0" w:space="0"/>
                  <w:insideH w:val="single" w:color="auto" w:sz="2" w:space="0"/>
                  <w:insideV w:val="single" w:color="auto" w:sz="2" w:space="0"/>
                </w:tblBorders>
              </w:tblPrEx>
              <w:trPr>
                <w:trHeight w:val="90" w:hRule="atLeast"/>
                <w:jc w:val="center"/>
              </w:trPr>
              <w:tc>
                <w:tcPr>
                  <w:tcW w:w="385" w:type="pct"/>
                  <w:vAlign w:val="center"/>
                </w:tcPr>
                <w:p>
                  <w:pPr>
                    <w:pStyle w:val="123"/>
                    <w:rPr>
                      <w:rFonts w:ascii="Times New Roman" w:hAnsi="Times New Roman" w:eastAsia="宋体" w:cs="Times New Roman"/>
                      <w:kern w:val="18"/>
                      <w:sz w:val="21"/>
                      <w:szCs w:val="21"/>
                      <w:lang w:val="en-US" w:eastAsia="zh-CN" w:bidi="ar-SA"/>
                    </w:rPr>
                  </w:pPr>
                  <w:r>
                    <w:rPr>
                      <w:rFonts w:hint="eastAsia"/>
                    </w:rPr>
                    <w:t>8</w:t>
                  </w:r>
                </w:p>
              </w:tc>
              <w:tc>
                <w:tcPr>
                  <w:tcW w:w="918" w:type="pct"/>
                  <w:vAlign w:val="center"/>
                </w:tcPr>
                <w:p>
                  <w:pPr>
                    <w:jc w:val="center"/>
                    <w:rPr>
                      <w:szCs w:val="21"/>
                    </w:rPr>
                  </w:pPr>
                  <w:r>
                    <w:rPr>
                      <w:rFonts w:hint="eastAsia"/>
                      <w:szCs w:val="21"/>
                    </w:rPr>
                    <w:t>废</w:t>
                  </w:r>
                  <w:r>
                    <w:rPr>
                      <w:rFonts w:hint="eastAsia"/>
                      <w:szCs w:val="21"/>
                      <w:lang w:eastAsia="zh-CN"/>
                    </w:rPr>
                    <w:t>含油抹布</w:t>
                  </w:r>
                </w:p>
              </w:tc>
              <w:tc>
                <w:tcPr>
                  <w:tcW w:w="779" w:type="pct"/>
                  <w:vAlign w:val="center"/>
                </w:tcPr>
                <w:p>
                  <w:pPr>
                    <w:jc w:val="center"/>
                    <w:rPr>
                      <w:szCs w:val="21"/>
                    </w:rPr>
                  </w:pPr>
                  <w:r>
                    <w:rPr>
                      <w:rFonts w:hint="eastAsia"/>
                      <w:szCs w:val="21"/>
                      <w:lang w:eastAsia="zh-CN"/>
                    </w:rPr>
                    <w:t>设备维护</w:t>
                  </w:r>
                </w:p>
              </w:tc>
              <w:tc>
                <w:tcPr>
                  <w:tcW w:w="510" w:type="pct"/>
                  <w:vMerge w:val="continue"/>
                  <w:vAlign w:val="center"/>
                </w:tcPr>
                <w:p>
                  <w:pPr>
                    <w:pStyle w:val="123"/>
                    <w:rPr>
                      <w:bCs/>
                    </w:rPr>
                  </w:pPr>
                </w:p>
              </w:tc>
              <w:tc>
                <w:tcPr>
                  <w:tcW w:w="719" w:type="pct"/>
                  <w:vAlign w:val="center"/>
                </w:tcPr>
                <w:p>
                  <w:pPr>
                    <w:widowControl/>
                    <w:adjustRightInd w:val="0"/>
                    <w:snapToGrid w:val="0"/>
                    <w:ind w:left="-105" w:leftChars="-50" w:right="-105" w:rightChars="-50"/>
                    <w:jc w:val="center"/>
                    <w:rPr>
                      <w:szCs w:val="21"/>
                    </w:rPr>
                  </w:pPr>
                  <w:r>
                    <w:rPr>
                      <w:kern w:val="0"/>
                      <w:szCs w:val="21"/>
                    </w:rPr>
                    <w:t>900-041-49</w:t>
                  </w:r>
                </w:p>
              </w:tc>
              <w:tc>
                <w:tcPr>
                  <w:tcW w:w="523" w:type="pct"/>
                  <w:vAlign w:val="center"/>
                </w:tcPr>
                <w:p>
                  <w:pPr>
                    <w:jc w:val="center"/>
                    <w:rPr>
                      <w:szCs w:val="21"/>
                    </w:rPr>
                  </w:pPr>
                  <w:r>
                    <w:rPr>
                      <w:rFonts w:hint="eastAsia"/>
                      <w:szCs w:val="21"/>
                    </w:rPr>
                    <w:t>0.0</w:t>
                  </w:r>
                  <w:r>
                    <w:rPr>
                      <w:rFonts w:hint="eastAsia"/>
                      <w:szCs w:val="21"/>
                      <w:lang w:val="en-US" w:eastAsia="zh-CN"/>
                    </w:rPr>
                    <w:t>5</w:t>
                  </w:r>
                </w:p>
              </w:tc>
              <w:tc>
                <w:tcPr>
                  <w:tcW w:w="607" w:type="pct"/>
                  <w:vAlign w:val="center"/>
                </w:tcPr>
                <w:p>
                  <w:pPr>
                    <w:pStyle w:val="123"/>
                    <w:rPr>
                      <w:bCs/>
                    </w:rPr>
                  </w:pPr>
                  <w:r>
                    <w:rPr>
                      <w:rFonts w:hint="eastAsia"/>
                      <w:bCs/>
                    </w:rPr>
                    <w:t>混入生活垃圾的委托环卫部门清运</w:t>
                  </w:r>
                </w:p>
              </w:tc>
              <w:tc>
                <w:tcPr>
                  <w:tcW w:w="556" w:type="pct"/>
                  <w:vMerge w:val="continue"/>
                  <w:vAlign w:val="center"/>
                </w:tcPr>
                <w:p>
                  <w:pPr>
                    <w:pStyle w:val="123"/>
                    <w:rPr>
                      <w:bCs/>
                    </w:rPr>
                  </w:pPr>
                </w:p>
              </w:tc>
            </w:tr>
            <w:tr>
              <w:tblPrEx>
                <w:tblBorders>
                  <w:top w:val="single" w:color="auto" w:sz="12" w:space="0"/>
                  <w:left w:val="none" w:color="auto" w:sz="0" w:space="0"/>
                  <w:bottom w:val="single" w:color="auto" w:sz="12" w:space="0"/>
                  <w:right w:val="none" w:color="auto" w:sz="0" w:space="0"/>
                  <w:insideH w:val="single" w:color="auto" w:sz="2" w:space="0"/>
                  <w:insideV w:val="single" w:color="auto" w:sz="2" w:space="0"/>
                </w:tblBorders>
              </w:tblPrEx>
              <w:trPr>
                <w:trHeight w:val="90" w:hRule="atLeast"/>
                <w:jc w:val="center"/>
              </w:trPr>
              <w:tc>
                <w:tcPr>
                  <w:tcW w:w="385" w:type="pct"/>
                  <w:vAlign w:val="center"/>
                </w:tcPr>
                <w:p>
                  <w:pPr>
                    <w:pStyle w:val="123"/>
                    <w:rPr>
                      <w:rFonts w:hint="eastAsia" w:eastAsia="宋体"/>
                      <w:lang w:val="en-US" w:eastAsia="zh-CN"/>
                    </w:rPr>
                  </w:pPr>
                  <w:r>
                    <w:rPr>
                      <w:rFonts w:hint="eastAsia"/>
                      <w:lang w:val="en-US" w:eastAsia="zh-CN"/>
                    </w:rPr>
                    <w:t>9</w:t>
                  </w:r>
                </w:p>
              </w:tc>
              <w:tc>
                <w:tcPr>
                  <w:tcW w:w="918" w:type="pct"/>
                  <w:vAlign w:val="center"/>
                </w:tcPr>
                <w:p>
                  <w:pPr>
                    <w:jc w:val="center"/>
                    <w:rPr>
                      <w:szCs w:val="21"/>
                    </w:rPr>
                  </w:pPr>
                  <w:r>
                    <w:rPr>
                      <w:rFonts w:hint="eastAsia"/>
                      <w:szCs w:val="21"/>
                    </w:rPr>
                    <w:t>生活垃圾</w:t>
                  </w:r>
                </w:p>
              </w:tc>
              <w:tc>
                <w:tcPr>
                  <w:tcW w:w="779" w:type="pct"/>
                  <w:vAlign w:val="center"/>
                </w:tcPr>
                <w:p>
                  <w:pPr>
                    <w:jc w:val="center"/>
                    <w:rPr>
                      <w:szCs w:val="21"/>
                    </w:rPr>
                  </w:pPr>
                  <w:r>
                    <w:rPr>
                      <w:rFonts w:hint="eastAsia"/>
                      <w:szCs w:val="21"/>
                    </w:rPr>
                    <w:t>员工日常生活</w:t>
                  </w:r>
                </w:p>
              </w:tc>
              <w:tc>
                <w:tcPr>
                  <w:tcW w:w="510" w:type="pct"/>
                  <w:vAlign w:val="center"/>
                </w:tcPr>
                <w:p>
                  <w:pPr>
                    <w:pStyle w:val="123"/>
                    <w:rPr>
                      <w:rFonts w:hint="eastAsia" w:eastAsia="宋体"/>
                      <w:bCs/>
                      <w:lang w:eastAsia="zh-CN"/>
                    </w:rPr>
                  </w:pPr>
                  <w:r>
                    <w:rPr>
                      <w:rFonts w:hint="eastAsia"/>
                      <w:bCs/>
                      <w:lang w:eastAsia="zh-CN"/>
                    </w:rPr>
                    <w:t>生活垃圾</w:t>
                  </w:r>
                </w:p>
              </w:tc>
              <w:tc>
                <w:tcPr>
                  <w:tcW w:w="719" w:type="pct"/>
                  <w:vAlign w:val="center"/>
                </w:tcPr>
                <w:p>
                  <w:pPr>
                    <w:jc w:val="center"/>
                    <w:rPr>
                      <w:szCs w:val="21"/>
                    </w:rPr>
                  </w:pPr>
                  <w:r>
                    <w:rPr>
                      <w:rFonts w:hint="eastAsia"/>
                      <w:szCs w:val="21"/>
                    </w:rPr>
                    <w:t>—</w:t>
                  </w:r>
                </w:p>
              </w:tc>
              <w:tc>
                <w:tcPr>
                  <w:tcW w:w="523" w:type="pct"/>
                  <w:vAlign w:val="center"/>
                </w:tcPr>
                <w:p>
                  <w:pPr>
                    <w:jc w:val="center"/>
                    <w:rPr>
                      <w:szCs w:val="21"/>
                    </w:rPr>
                  </w:pPr>
                  <w:r>
                    <w:rPr>
                      <w:rFonts w:hint="eastAsia"/>
                      <w:szCs w:val="21"/>
                      <w:lang w:val="en-US" w:eastAsia="zh-CN"/>
                    </w:rPr>
                    <w:t>4.5</w:t>
                  </w:r>
                </w:p>
              </w:tc>
              <w:tc>
                <w:tcPr>
                  <w:tcW w:w="607" w:type="pct"/>
                  <w:vAlign w:val="center"/>
                </w:tcPr>
                <w:p>
                  <w:pPr>
                    <w:pStyle w:val="123"/>
                    <w:rPr>
                      <w:bCs/>
                    </w:rPr>
                  </w:pPr>
                  <w:r>
                    <w:rPr>
                      <w:rFonts w:hint="eastAsia"/>
                      <w:bCs/>
                    </w:rPr>
                    <w:t>委托环卫部门清运</w:t>
                  </w:r>
                </w:p>
              </w:tc>
              <w:tc>
                <w:tcPr>
                  <w:tcW w:w="556" w:type="pct"/>
                  <w:vAlign w:val="center"/>
                </w:tcPr>
                <w:p>
                  <w:pPr>
                    <w:pStyle w:val="123"/>
                    <w:rPr>
                      <w:bCs/>
                    </w:rPr>
                  </w:pPr>
                  <w:r>
                    <w:rPr>
                      <w:rFonts w:hint="eastAsia"/>
                      <w:bCs/>
                    </w:rPr>
                    <w:t>环卫部门</w:t>
                  </w:r>
                </w:p>
              </w:tc>
            </w:tr>
          </w:tbl>
          <w:p>
            <w:pPr>
              <w:spacing w:line="360" w:lineRule="auto"/>
              <w:ind w:firstLine="480" w:firstLineChars="200"/>
              <w:rPr>
                <w:b/>
                <w:sz w:val="24"/>
                <w:szCs w:val="24"/>
              </w:rPr>
            </w:pPr>
            <w:r>
              <w:rPr>
                <w:b/>
                <w:sz w:val="24"/>
                <w:szCs w:val="24"/>
              </w:rPr>
              <w:t>四、污染防治措施：</w:t>
            </w:r>
          </w:p>
          <w:p>
            <w:pPr>
              <w:adjustRightInd w:val="0"/>
              <w:snapToGrid w:val="0"/>
              <w:spacing w:line="360" w:lineRule="auto"/>
              <w:ind w:firstLine="480" w:firstLineChars="200"/>
              <w:rPr>
                <w:b/>
                <w:sz w:val="24"/>
                <w:szCs w:val="24"/>
              </w:rPr>
            </w:pPr>
            <w:r>
              <w:rPr>
                <w:b/>
                <w:sz w:val="24"/>
                <w:szCs w:val="24"/>
              </w:rPr>
              <w:t>1、废水防治措施</w:t>
            </w:r>
          </w:p>
          <w:p>
            <w:pPr>
              <w:adjustRightInd w:val="0"/>
              <w:snapToGrid w:val="0"/>
              <w:spacing w:line="360" w:lineRule="auto"/>
              <w:ind w:firstLine="480" w:firstLineChars="200"/>
              <w:rPr>
                <w:b/>
                <w:sz w:val="24"/>
                <w:szCs w:val="24"/>
              </w:rPr>
            </w:pPr>
            <w:r>
              <w:rPr>
                <w:b/>
                <w:sz w:val="24"/>
                <w:szCs w:val="24"/>
              </w:rPr>
              <w:t>（1）厂区排水体制</w:t>
            </w:r>
          </w:p>
          <w:p>
            <w:pPr>
              <w:autoSpaceDE w:val="0"/>
              <w:autoSpaceDN w:val="0"/>
              <w:adjustRightInd w:val="0"/>
              <w:spacing w:line="360" w:lineRule="auto"/>
              <w:ind w:firstLine="480" w:firstLineChars="200"/>
              <w:rPr>
                <w:sz w:val="24"/>
                <w:szCs w:val="24"/>
              </w:rPr>
            </w:pPr>
            <w:r>
              <w:rPr>
                <w:sz w:val="24"/>
                <w:szCs w:val="24"/>
              </w:rPr>
              <w:t>本项目排水实施</w:t>
            </w:r>
            <w:r>
              <w:rPr>
                <w:rFonts w:hint="eastAsia"/>
                <w:sz w:val="24"/>
                <w:szCs w:val="24"/>
              </w:rPr>
              <w:t>“</w:t>
            </w:r>
            <w:r>
              <w:rPr>
                <w:sz w:val="24"/>
                <w:szCs w:val="24"/>
              </w:rPr>
              <w:t>雨污分流</w:t>
            </w:r>
            <w:r>
              <w:rPr>
                <w:rFonts w:hint="eastAsia"/>
                <w:sz w:val="24"/>
                <w:szCs w:val="24"/>
              </w:rPr>
              <w:t>”</w:t>
            </w:r>
            <w:r>
              <w:rPr>
                <w:sz w:val="24"/>
                <w:szCs w:val="24"/>
              </w:rPr>
              <w:t>，</w:t>
            </w:r>
            <w:r>
              <w:rPr>
                <w:rFonts w:hint="eastAsia"/>
                <w:sz w:val="24"/>
                <w:szCs w:val="24"/>
              </w:rPr>
              <w:t>依托</w:t>
            </w:r>
            <w:r>
              <w:rPr>
                <w:rFonts w:hint="eastAsia"/>
                <w:sz w:val="24"/>
                <w:szCs w:val="24"/>
                <w:lang w:eastAsia="zh-CN"/>
              </w:rPr>
              <w:t>智谷科技园</w:t>
            </w:r>
            <w:r>
              <w:rPr>
                <w:sz w:val="24"/>
                <w:szCs w:val="24"/>
              </w:rPr>
              <w:t>现有雨污管网，雨水经雨水管网收集后，排入当地市政雨水管网，最终汇入附近河流；生活污水经</w:t>
            </w:r>
            <w:r>
              <w:rPr>
                <w:bCs/>
                <w:sz w:val="24"/>
                <w:szCs w:val="24"/>
              </w:rPr>
              <w:t>化粪池处理后</w:t>
            </w:r>
            <w:r>
              <w:rPr>
                <w:rFonts w:hint="eastAsia"/>
                <w:bCs/>
                <w:sz w:val="24"/>
                <w:szCs w:val="24"/>
              </w:rPr>
              <w:t>，</w:t>
            </w:r>
            <w:r>
              <w:rPr>
                <w:bCs/>
                <w:sz w:val="24"/>
                <w:szCs w:val="24"/>
              </w:rPr>
              <w:t>通过</w:t>
            </w:r>
            <w:r>
              <w:rPr>
                <w:rFonts w:hint="eastAsia"/>
                <w:sz w:val="24"/>
                <w:szCs w:val="24"/>
                <w:lang w:eastAsia="zh-CN"/>
              </w:rPr>
              <w:t>智谷科技园</w:t>
            </w:r>
            <w:r>
              <w:rPr>
                <w:sz w:val="24"/>
                <w:szCs w:val="24"/>
              </w:rPr>
              <w:t>污水</w:t>
            </w:r>
            <w:r>
              <w:rPr>
                <w:rFonts w:hint="eastAsia"/>
                <w:bCs/>
                <w:sz w:val="24"/>
                <w:szCs w:val="24"/>
              </w:rPr>
              <w:t>排放口</w:t>
            </w:r>
            <w:r>
              <w:rPr>
                <w:bCs/>
                <w:sz w:val="24"/>
                <w:szCs w:val="24"/>
              </w:rPr>
              <w:t>接管至金坛区第二污水处理厂处理，尾水排入</w:t>
            </w:r>
            <w:r>
              <w:rPr>
                <w:spacing w:val="-6"/>
                <w:sz w:val="24"/>
              </w:rPr>
              <w:t>尧塘河</w:t>
            </w:r>
            <w:r>
              <w:rPr>
                <w:bCs/>
                <w:sz w:val="24"/>
                <w:szCs w:val="24"/>
              </w:rPr>
              <w:t>。</w:t>
            </w:r>
          </w:p>
          <w:p>
            <w:pPr>
              <w:autoSpaceDE w:val="0"/>
              <w:autoSpaceDN w:val="0"/>
              <w:adjustRightInd w:val="0"/>
              <w:spacing w:line="360" w:lineRule="auto"/>
              <w:ind w:firstLine="480" w:firstLineChars="200"/>
              <w:rPr>
                <w:b/>
                <w:sz w:val="24"/>
                <w:szCs w:val="24"/>
              </w:rPr>
            </w:pPr>
            <w:r>
              <w:rPr>
                <w:b/>
                <w:sz w:val="24"/>
                <w:szCs w:val="24"/>
              </w:rPr>
              <w:t>（2）废水</w:t>
            </w:r>
            <w:r>
              <w:rPr>
                <w:rFonts w:hint="eastAsia"/>
                <w:b/>
                <w:sz w:val="24"/>
                <w:szCs w:val="24"/>
              </w:rPr>
              <w:t>处理及</w:t>
            </w:r>
            <w:r>
              <w:rPr>
                <w:b/>
                <w:sz w:val="24"/>
                <w:szCs w:val="24"/>
              </w:rPr>
              <w:t>接管可行性分析</w:t>
            </w:r>
          </w:p>
          <w:p>
            <w:pPr>
              <w:autoSpaceDE w:val="0"/>
              <w:autoSpaceDN w:val="0"/>
              <w:adjustRightInd w:val="0"/>
              <w:spacing w:line="360" w:lineRule="auto"/>
              <w:ind w:firstLine="480" w:firstLineChars="200"/>
              <w:rPr>
                <w:b/>
                <w:sz w:val="24"/>
                <w:szCs w:val="24"/>
              </w:rPr>
            </w:pPr>
            <w:r>
              <w:rPr>
                <w:b/>
                <w:sz w:val="24"/>
                <w:szCs w:val="24"/>
              </w:rPr>
              <w:t>生活污水接管可行性分析</w:t>
            </w:r>
          </w:p>
          <w:p>
            <w:pPr>
              <w:autoSpaceDE w:val="0"/>
              <w:autoSpaceDN w:val="0"/>
              <w:adjustRightInd w:val="0"/>
              <w:spacing w:line="360" w:lineRule="auto"/>
              <w:ind w:firstLine="480" w:firstLineChars="200"/>
              <w:rPr>
                <w:sz w:val="24"/>
                <w:szCs w:val="24"/>
              </w:rPr>
            </w:pPr>
            <w:r>
              <w:rPr>
                <w:rFonts w:hint="eastAsia"/>
                <w:sz w:val="24"/>
                <w:szCs w:val="24"/>
              </w:rPr>
              <w:t>水质：</w:t>
            </w:r>
            <w:r>
              <w:rPr>
                <w:sz w:val="24"/>
                <w:szCs w:val="24"/>
              </w:rPr>
              <w:t>生活污水经化粪池收集预处理后</w:t>
            </w:r>
            <w:r>
              <w:rPr>
                <w:rFonts w:hint="eastAsia"/>
                <w:sz w:val="24"/>
                <w:szCs w:val="24"/>
              </w:rPr>
              <w:t>，</w:t>
            </w:r>
            <w:r>
              <w:rPr>
                <w:sz w:val="24"/>
                <w:szCs w:val="24"/>
              </w:rPr>
              <w:t>接管至金坛区第二污水处理厂</w:t>
            </w:r>
            <w:r>
              <w:rPr>
                <w:rFonts w:hint="eastAsia"/>
                <w:sz w:val="24"/>
                <w:szCs w:val="24"/>
              </w:rPr>
              <w:t>深度处理</w:t>
            </w:r>
            <w:r>
              <w:rPr>
                <w:sz w:val="24"/>
                <w:szCs w:val="24"/>
              </w:rPr>
              <w:t>；接管排放的污水量共计</w:t>
            </w:r>
            <w:r>
              <w:rPr>
                <w:rFonts w:hint="eastAsia"/>
                <w:sz w:val="24"/>
                <w:szCs w:val="24"/>
              </w:rPr>
              <w:t>30</w:t>
            </w:r>
            <w:r>
              <w:rPr>
                <w:rFonts w:hint="eastAsia"/>
                <w:sz w:val="24"/>
                <w:szCs w:val="24"/>
                <w:lang w:val="en-US" w:eastAsia="zh-CN"/>
              </w:rPr>
              <w:t>360</w:t>
            </w:r>
            <w:r>
              <w:rPr>
                <w:sz w:val="24"/>
                <w:szCs w:val="24"/>
              </w:rPr>
              <w:t>t/a，接管水质为COD：</w:t>
            </w:r>
            <w:r>
              <w:rPr>
                <w:rFonts w:hint="eastAsia"/>
                <w:sz w:val="24"/>
                <w:szCs w:val="24"/>
              </w:rPr>
              <w:t>340</w:t>
            </w:r>
            <w:r>
              <w:rPr>
                <w:sz w:val="24"/>
                <w:szCs w:val="24"/>
              </w:rPr>
              <w:t>mg/L、SS：</w:t>
            </w:r>
            <w:r>
              <w:rPr>
                <w:rFonts w:hint="eastAsia"/>
                <w:sz w:val="24"/>
                <w:szCs w:val="24"/>
              </w:rPr>
              <w:t>160</w:t>
            </w:r>
            <w:r>
              <w:rPr>
                <w:sz w:val="24"/>
                <w:szCs w:val="24"/>
              </w:rPr>
              <w:t>mg/L、氨氮：</w:t>
            </w:r>
            <w:r>
              <w:rPr>
                <w:rFonts w:hint="eastAsia"/>
                <w:sz w:val="24"/>
                <w:szCs w:val="24"/>
              </w:rPr>
              <w:t>35</w:t>
            </w:r>
            <w:r>
              <w:rPr>
                <w:sz w:val="24"/>
                <w:szCs w:val="24"/>
              </w:rPr>
              <w:t>mg/L、总磷：</w:t>
            </w:r>
            <w:r>
              <w:rPr>
                <w:rFonts w:hint="eastAsia"/>
                <w:sz w:val="24"/>
                <w:szCs w:val="24"/>
              </w:rPr>
              <w:t>3</w:t>
            </w:r>
            <w:r>
              <w:rPr>
                <w:sz w:val="24"/>
                <w:szCs w:val="24"/>
              </w:rPr>
              <w:t>mg/L、总氮：</w:t>
            </w:r>
            <w:r>
              <w:rPr>
                <w:rFonts w:hint="eastAsia"/>
                <w:sz w:val="24"/>
                <w:szCs w:val="24"/>
              </w:rPr>
              <w:t>50</w:t>
            </w:r>
            <w:r>
              <w:rPr>
                <w:sz w:val="24"/>
                <w:szCs w:val="24"/>
              </w:rPr>
              <w:t>mg/L，可达到金坛区</w:t>
            </w:r>
            <w:r>
              <w:rPr>
                <w:rFonts w:hint="eastAsia"/>
                <w:sz w:val="24"/>
                <w:szCs w:val="24"/>
              </w:rPr>
              <w:t>第二</w:t>
            </w:r>
            <w:r>
              <w:rPr>
                <w:sz w:val="24"/>
                <w:szCs w:val="24"/>
              </w:rPr>
              <w:t>污水处理厂接管要求。即：COD≤500mg/L、SS≤250mg/L、氨氮≤35 mg/L、TP≤3mg/L、T</w:t>
            </w:r>
            <w:r>
              <w:rPr>
                <w:rFonts w:hint="eastAsia"/>
                <w:sz w:val="24"/>
                <w:szCs w:val="24"/>
              </w:rPr>
              <w:t>N</w:t>
            </w:r>
            <w:r>
              <w:rPr>
                <w:sz w:val="24"/>
                <w:szCs w:val="24"/>
              </w:rPr>
              <w:t>≤</w:t>
            </w:r>
            <w:r>
              <w:rPr>
                <w:rFonts w:hint="eastAsia"/>
                <w:sz w:val="24"/>
                <w:szCs w:val="24"/>
              </w:rPr>
              <w:t>50</w:t>
            </w:r>
            <w:r>
              <w:rPr>
                <w:sz w:val="24"/>
                <w:szCs w:val="24"/>
              </w:rPr>
              <w:t>mg/L。</w:t>
            </w:r>
          </w:p>
          <w:p>
            <w:pPr>
              <w:spacing w:line="360" w:lineRule="auto"/>
              <w:ind w:firstLine="540" w:firstLineChars="200"/>
              <w:rPr>
                <w:spacing w:val="15"/>
                <w:sz w:val="24"/>
              </w:rPr>
            </w:pPr>
            <w:r>
              <w:rPr>
                <w:rFonts w:hint="eastAsia"/>
                <w:b w:val="0"/>
                <w:bCs w:val="0"/>
                <w:spacing w:val="15"/>
                <w:sz w:val="24"/>
              </w:rPr>
              <w:t>管网配套情况</w:t>
            </w:r>
            <w:r>
              <w:rPr>
                <w:rFonts w:hint="eastAsia"/>
                <w:b w:val="0"/>
                <w:bCs w:val="0"/>
                <w:spacing w:val="15"/>
                <w:sz w:val="24"/>
                <w:lang w:eastAsia="zh-CN"/>
              </w:rPr>
              <w:t>：</w:t>
            </w:r>
            <w:r>
              <w:rPr>
                <w:rFonts w:hint="eastAsia"/>
                <w:spacing w:val="15"/>
                <w:sz w:val="24"/>
              </w:rPr>
              <w:t>常州金坛区第二污水处理有限公司服务范围主要为金坛经济开发区范围内的生产和生活污水，纳尧塘镇工业园区企业、开发区河头部分企业工业废水及尧塘、汤庄、水北集镇镇区居民生活污水。本项目位于常州金坛区第二污水处理有限公司的服务范围内，目前项目所在地的污水管网已经铺设到位</w:t>
            </w:r>
            <w:r>
              <w:rPr>
                <w:spacing w:val="15"/>
                <w:sz w:val="24"/>
              </w:rPr>
              <w:t>，从工程角度上，项目污水具备接管可行性。</w:t>
            </w:r>
          </w:p>
          <w:p>
            <w:pPr>
              <w:adjustRightInd w:val="0"/>
              <w:snapToGrid w:val="0"/>
              <w:spacing w:line="360" w:lineRule="auto"/>
              <w:ind w:firstLine="480" w:firstLineChars="200"/>
              <w:rPr>
                <w:sz w:val="24"/>
                <w:szCs w:val="22"/>
              </w:rPr>
            </w:pPr>
            <w:r>
              <w:rPr>
                <w:b/>
                <w:bCs/>
                <w:sz w:val="24"/>
                <w:szCs w:val="22"/>
              </w:rPr>
              <w:t>污水处理厂处理负荷可行性分析：</w:t>
            </w:r>
          </w:p>
          <w:p>
            <w:pPr>
              <w:adjustRightInd w:val="0"/>
              <w:snapToGrid w:val="0"/>
              <w:spacing w:line="360" w:lineRule="auto"/>
              <w:ind w:firstLine="480" w:firstLineChars="200"/>
              <w:rPr>
                <w:sz w:val="24"/>
                <w:szCs w:val="22"/>
              </w:rPr>
            </w:pPr>
            <w:r>
              <w:rPr>
                <w:sz w:val="24"/>
                <w:szCs w:val="22"/>
              </w:rPr>
              <w:t>金坛区第二污水处理厂一期建设规模2万m</w:t>
            </w:r>
            <w:r>
              <w:rPr>
                <w:sz w:val="24"/>
                <w:szCs w:val="22"/>
                <w:vertAlign w:val="superscript"/>
              </w:rPr>
              <w:t>3</w:t>
            </w:r>
            <w:r>
              <w:rPr>
                <w:sz w:val="24"/>
                <w:szCs w:val="22"/>
              </w:rPr>
              <w:t>/d，于2005年底建成运营；二期2万m</w:t>
            </w:r>
            <w:r>
              <w:rPr>
                <w:sz w:val="24"/>
                <w:szCs w:val="22"/>
                <w:vertAlign w:val="superscript"/>
              </w:rPr>
              <w:t>3</w:t>
            </w:r>
            <w:r>
              <w:rPr>
                <w:sz w:val="24"/>
                <w:szCs w:val="22"/>
              </w:rPr>
              <w:t>/d，已于2009年底正式投入运营；三期2万m</w:t>
            </w:r>
            <w:r>
              <w:rPr>
                <w:sz w:val="24"/>
                <w:szCs w:val="22"/>
                <w:vertAlign w:val="superscript"/>
              </w:rPr>
              <w:t>3</w:t>
            </w:r>
            <w:r>
              <w:rPr>
                <w:sz w:val="24"/>
                <w:szCs w:val="22"/>
              </w:rPr>
              <w:t>/d，已于2014年4月8日取得</w:t>
            </w:r>
            <w:r>
              <w:rPr>
                <w:rFonts w:hint="eastAsia"/>
                <w:sz w:val="24"/>
                <w:szCs w:val="22"/>
              </w:rPr>
              <w:t>原</w:t>
            </w:r>
            <w:r>
              <w:rPr>
                <w:sz w:val="24"/>
                <w:szCs w:val="22"/>
              </w:rPr>
              <w:t>金坛市环保局的环评批复。目前金坛区第二污水处理厂处理能力已达6万m</w:t>
            </w:r>
            <w:r>
              <w:rPr>
                <w:sz w:val="24"/>
                <w:szCs w:val="22"/>
                <w:vertAlign w:val="superscript"/>
              </w:rPr>
              <w:t>3</w:t>
            </w:r>
            <w:r>
              <w:rPr>
                <w:sz w:val="24"/>
                <w:szCs w:val="22"/>
              </w:rPr>
              <w:t>/d，</w:t>
            </w:r>
            <w:r>
              <w:rPr>
                <w:rFonts w:hint="eastAsia"/>
                <w:sz w:val="24"/>
                <w:szCs w:val="22"/>
              </w:rPr>
              <w:t>现有企业</w:t>
            </w:r>
            <w:r>
              <w:rPr>
                <w:sz w:val="24"/>
                <w:szCs w:val="22"/>
              </w:rPr>
              <w:t>实际污水处理量为</w:t>
            </w:r>
            <w:r>
              <w:rPr>
                <w:rFonts w:hint="eastAsia"/>
                <w:sz w:val="24"/>
                <w:szCs w:val="22"/>
              </w:rPr>
              <w:t>5.5</w:t>
            </w:r>
            <w:r>
              <w:rPr>
                <w:sz w:val="24"/>
                <w:szCs w:val="22"/>
              </w:rPr>
              <w:t>万m</w:t>
            </w:r>
            <w:r>
              <w:rPr>
                <w:sz w:val="24"/>
                <w:szCs w:val="22"/>
                <w:vertAlign w:val="superscript"/>
              </w:rPr>
              <w:t>3</w:t>
            </w:r>
            <w:r>
              <w:rPr>
                <w:sz w:val="24"/>
                <w:szCs w:val="22"/>
              </w:rPr>
              <w:t>/d，尚有</w:t>
            </w:r>
            <w:r>
              <w:rPr>
                <w:rFonts w:hint="eastAsia"/>
                <w:sz w:val="24"/>
                <w:szCs w:val="22"/>
              </w:rPr>
              <w:t>0.5</w:t>
            </w:r>
            <w:r>
              <w:rPr>
                <w:sz w:val="24"/>
                <w:szCs w:val="22"/>
              </w:rPr>
              <w:t>万m</w:t>
            </w:r>
            <w:r>
              <w:rPr>
                <w:sz w:val="24"/>
                <w:szCs w:val="22"/>
                <w:vertAlign w:val="superscript"/>
              </w:rPr>
              <w:t>3</w:t>
            </w:r>
            <w:r>
              <w:rPr>
                <w:sz w:val="24"/>
                <w:szCs w:val="22"/>
              </w:rPr>
              <w:t>/d的余量，且规划建设规模为16万m</w:t>
            </w:r>
            <w:r>
              <w:rPr>
                <w:sz w:val="24"/>
                <w:szCs w:val="22"/>
                <w:vertAlign w:val="superscript"/>
              </w:rPr>
              <w:t>3</w:t>
            </w:r>
            <w:r>
              <w:rPr>
                <w:sz w:val="24"/>
                <w:szCs w:val="22"/>
              </w:rPr>
              <w:t>/d。</w:t>
            </w:r>
          </w:p>
          <w:p>
            <w:pPr>
              <w:spacing w:line="360" w:lineRule="auto"/>
              <w:ind w:firstLine="480" w:firstLineChars="200"/>
              <w:rPr>
                <w:sz w:val="24"/>
                <w:szCs w:val="22"/>
              </w:rPr>
            </w:pPr>
            <w:r>
              <w:rPr>
                <w:sz w:val="24"/>
                <w:szCs w:val="22"/>
              </w:rPr>
              <w:t>本项目建成后污水排放量</w:t>
            </w:r>
            <w:r>
              <w:rPr>
                <w:rFonts w:hint="eastAsia"/>
                <w:sz w:val="24"/>
                <w:szCs w:val="22"/>
              </w:rPr>
              <w:t>约</w:t>
            </w:r>
            <w:r>
              <w:rPr>
                <w:sz w:val="24"/>
                <w:szCs w:val="22"/>
              </w:rPr>
              <w:t>为</w:t>
            </w:r>
            <w:r>
              <w:rPr>
                <w:rFonts w:hint="eastAsia"/>
                <w:sz w:val="24"/>
                <w:szCs w:val="22"/>
              </w:rPr>
              <w:t>1</w:t>
            </w:r>
            <w:r>
              <w:rPr>
                <w:rFonts w:hint="eastAsia"/>
                <w:sz w:val="24"/>
                <w:szCs w:val="22"/>
                <w:lang w:val="en-US" w:eastAsia="zh-CN"/>
              </w:rPr>
              <w:t>.2</w:t>
            </w:r>
            <w:r>
              <w:rPr>
                <w:sz w:val="24"/>
                <w:szCs w:val="22"/>
              </w:rPr>
              <w:t>m</w:t>
            </w:r>
            <w:r>
              <w:rPr>
                <w:sz w:val="24"/>
                <w:szCs w:val="22"/>
                <w:vertAlign w:val="superscript"/>
              </w:rPr>
              <w:t>3</w:t>
            </w:r>
            <w:r>
              <w:rPr>
                <w:sz w:val="24"/>
                <w:szCs w:val="22"/>
              </w:rPr>
              <w:t>/d，占金坛区第二污水处理厂处理余量的比例较小，仅为</w:t>
            </w:r>
            <w:r>
              <w:rPr>
                <w:rFonts w:hint="eastAsia"/>
                <w:sz w:val="24"/>
                <w:szCs w:val="22"/>
              </w:rPr>
              <w:t>0.02</w:t>
            </w:r>
            <w:r>
              <w:rPr>
                <w:rFonts w:hint="eastAsia"/>
                <w:sz w:val="24"/>
                <w:szCs w:val="22"/>
                <w:lang w:val="en-US" w:eastAsia="zh-CN"/>
              </w:rPr>
              <w:t>4</w:t>
            </w:r>
            <w:r>
              <w:rPr>
                <w:sz w:val="24"/>
                <w:szCs w:val="22"/>
              </w:rPr>
              <w:t>%。因此，从水量分析，金坛区第二污水处理厂接纳本项目废水是可行的。</w:t>
            </w:r>
          </w:p>
          <w:p>
            <w:pPr>
              <w:adjustRightInd w:val="0"/>
              <w:snapToGrid w:val="0"/>
              <w:spacing w:line="360" w:lineRule="auto"/>
              <w:ind w:firstLine="480" w:firstLineChars="200"/>
              <w:rPr>
                <w:b/>
                <w:bCs/>
                <w:sz w:val="24"/>
                <w:szCs w:val="22"/>
              </w:rPr>
            </w:pPr>
            <w:r>
              <w:rPr>
                <w:b/>
                <w:bCs/>
                <w:sz w:val="24"/>
                <w:szCs w:val="22"/>
              </w:rPr>
              <w:t>污水处理厂处理工艺可行性分析：</w:t>
            </w:r>
          </w:p>
          <w:p>
            <w:pPr>
              <w:adjustRightInd w:val="0"/>
              <w:snapToGrid w:val="0"/>
              <w:spacing w:line="360" w:lineRule="auto"/>
              <w:ind w:firstLine="480" w:firstLineChars="200"/>
              <w:rPr>
                <w:sz w:val="24"/>
                <w:szCs w:val="22"/>
              </w:rPr>
            </w:pPr>
            <w:r>
              <w:rPr>
                <w:sz w:val="24"/>
                <w:szCs w:val="22"/>
              </w:rPr>
              <w:t>金坛区第二污水处理厂采用A</w:t>
            </w:r>
            <w:r>
              <w:rPr>
                <w:sz w:val="24"/>
                <w:szCs w:val="22"/>
                <w:vertAlign w:val="superscript"/>
              </w:rPr>
              <w:t>2</w:t>
            </w:r>
            <w:r>
              <w:rPr>
                <w:sz w:val="24"/>
                <w:szCs w:val="22"/>
              </w:rPr>
              <w:t>/O工艺，把除磷、脱氮和降解有机物三个生化过程结合起来，在厌氧段和缺氧段为除磷和脱氮提供各自不同的反应条件。污水处理厂尾水执行《城镇污水处理厂污染物排放标准》（GB18918-2002）一级A标准排入尧塘河。具体工艺流程见下图。</w:t>
            </w:r>
          </w:p>
          <w:p>
            <w:pPr>
              <w:jc w:val="center"/>
              <w:rPr>
                <w:b/>
                <w:szCs w:val="21"/>
              </w:rPr>
            </w:pPr>
            <w:r>
              <w:rPr>
                <w:szCs w:val="22"/>
              </w:rPr>
              <w:object>
                <v:shape id="_x0000_i1025" o:spt="75" type="#_x0000_t75" style="height:136.9pt;width:419.45pt;" o:ole="t" filled="f" o:preferrelative="t" stroked="f" coordsize="21600,21600">
                  <v:path/>
                  <v:fill on="f" focussize="0,0"/>
                  <v:stroke on="f" joinstyle="miter"/>
                  <v:imagedata r:id="rId15" o:title="209314951556505032470"/>
                  <o:lock v:ext="edit" aspectratio="t"/>
                  <w10:wrap type="none"/>
                  <w10:anchorlock/>
                </v:shape>
                <o:OLEObject Type="Embed" ProgID="Visio.Drawing.11" ShapeID="_x0000_i1025" DrawAspect="Content" ObjectID="_1468075725" r:id="rId14">
                  <o:LockedField>false</o:LockedField>
                </o:OLEObject>
              </w:object>
            </w:r>
            <w:r>
              <w:rPr>
                <w:b/>
                <w:szCs w:val="21"/>
              </w:rPr>
              <w:t>图5-</w:t>
            </w:r>
            <w:r>
              <w:rPr>
                <w:rFonts w:hint="eastAsia"/>
                <w:b/>
                <w:szCs w:val="21"/>
              </w:rPr>
              <w:t>6</w:t>
            </w:r>
            <w:r>
              <w:rPr>
                <w:b/>
                <w:szCs w:val="21"/>
              </w:rPr>
              <w:t xml:space="preserve">  金坛区第二污水处理厂处理工艺流程图</w:t>
            </w:r>
          </w:p>
          <w:p>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color w:val="auto"/>
                <w:sz w:val="24"/>
                <w:szCs w:val="22"/>
              </w:rPr>
            </w:pPr>
            <w:r>
              <w:rPr>
                <w:sz w:val="24"/>
                <w:szCs w:val="22"/>
              </w:rPr>
              <w:t>污水处理工艺简述：废水经过粗格栅隔去除尺寸较大的杂质由进水泵房的污水泵将污水经细格栅打入旋流沉砂池。污水经过沉砂后进入A</w:t>
            </w:r>
            <w:r>
              <w:rPr>
                <w:sz w:val="24"/>
                <w:szCs w:val="22"/>
                <w:vertAlign w:val="superscript"/>
              </w:rPr>
              <w:t>2</w:t>
            </w:r>
            <w:r>
              <w:rPr>
                <w:sz w:val="24"/>
                <w:szCs w:val="22"/>
              </w:rPr>
              <w:t>/O反应池进行生化处理，通过厌氧、缺氧和好氧交替变化的环境完成除磷脱氮，处理后废水经加氯接触</w:t>
            </w:r>
            <w:r>
              <w:rPr>
                <w:color w:val="auto"/>
                <w:sz w:val="24"/>
                <w:szCs w:val="22"/>
              </w:rPr>
              <w:t>消毒后排放。A</w:t>
            </w:r>
            <w:r>
              <w:rPr>
                <w:color w:val="auto"/>
                <w:sz w:val="24"/>
                <w:szCs w:val="22"/>
                <w:vertAlign w:val="superscript"/>
              </w:rPr>
              <w:t>2</w:t>
            </w:r>
            <w:r>
              <w:rPr>
                <w:color w:val="auto"/>
                <w:sz w:val="24"/>
                <w:szCs w:val="22"/>
              </w:rPr>
              <w:t>/O反应池剩余污泥从沉淀区排出，进入污泥均质池</w:t>
            </w:r>
            <w:r>
              <w:rPr>
                <w:rFonts w:hint="eastAsia"/>
                <w:color w:val="auto"/>
                <w:sz w:val="24"/>
                <w:szCs w:val="22"/>
              </w:rPr>
              <w:t xml:space="preserve"> </w:t>
            </w:r>
            <w:r>
              <w:rPr>
                <w:color w:val="auto"/>
                <w:sz w:val="24"/>
                <w:szCs w:val="22"/>
              </w:rPr>
              <w:t xml:space="preserve"> （回流污泥泵房），然后进入污泥浓缩脱水车间采用板框压滤机压成泥饼外运。污泥处理产生的废水返回到废水处理工艺流程，尾水处理达标后排入尧塘河。</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color w:val="auto"/>
                <w:spacing w:val="15"/>
                <w:sz w:val="24"/>
              </w:rPr>
            </w:pPr>
            <w:r>
              <w:rPr>
                <w:color w:val="auto"/>
                <w:sz w:val="24"/>
                <w:szCs w:val="22"/>
              </w:rPr>
              <w:t>本项目</w:t>
            </w:r>
            <w:r>
              <w:rPr>
                <w:rFonts w:hint="eastAsia"/>
                <w:color w:val="auto"/>
                <w:sz w:val="24"/>
                <w:szCs w:val="22"/>
              </w:rPr>
              <w:t>生活污水</w:t>
            </w:r>
            <w:r>
              <w:rPr>
                <w:rFonts w:hint="eastAsia"/>
                <w:color w:val="auto"/>
                <w:sz w:val="24"/>
                <w:szCs w:val="22"/>
                <w:lang w:eastAsia="zh-CN"/>
              </w:rPr>
              <w:t>量</w:t>
            </w:r>
            <w:r>
              <w:rPr>
                <w:rFonts w:hint="eastAsia"/>
                <w:color w:val="auto"/>
                <w:sz w:val="24"/>
                <w:szCs w:val="22"/>
                <w:lang w:val="en-US" w:eastAsia="zh-CN"/>
              </w:rPr>
              <w:t>360t/a，</w:t>
            </w:r>
            <w:r>
              <w:rPr>
                <w:color w:val="auto"/>
                <w:sz w:val="24"/>
                <w:szCs w:val="22"/>
              </w:rPr>
              <w:t>主要污染物为COD、SS、NH</w:t>
            </w:r>
            <w:r>
              <w:rPr>
                <w:color w:val="auto"/>
                <w:sz w:val="24"/>
                <w:szCs w:val="22"/>
                <w:vertAlign w:val="subscript"/>
              </w:rPr>
              <w:t>3</w:t>
            </w:r>
            <w:r>
              <w:rPr>
                <w:color w:val="auto"/>
                <w:sz w:val="24"/>
                <w:szCs w:val="22"/>
              </w:rPr>
              <w:t>-N、TP和TN，</w:t>
            </w:r>
            <w:r>
              <w:rPr>
                <w:rFonts w:hint="eastAsia"/>
                <w:color w:val="auto"/>
                <w:sz w:val="24"/>
                <w:szCs w:val="22"/>
                <w:lang w:eastAsia="zh-CN"/>
              </w:rPr>
              <w:t>废水量较小，</w:t>
            </w:r>
            <w:r>
              <w:rPr>
                <w:color w:val="auto"/>
                <w:sz w:val="24"/>
                <w:szCs w:val="22"/>
              </w:rPr>
              <w:t>水质简单，可生化性好，从废水排放达标分析结果可知，废水水质满足金坛区第二污水处理厂接管水质要求。即从处理工艺上接管可行。此外，本项目</w:t>
            </w:r>
            <w:r>
              <w:rPr>
                <w:rFonts w:hint="eastAsia"/>
                <w:color w:val="auto"/>
                <w:sz w:val="24"/>
                <w:szCs w:val="22"/>
              </w:rPr>
              <w:t>无生产废水产生</w:t>
            </w:r>
            <w:r>
              <w:rPr>
                <w:color w:val="auto"/>
                <w:sz w:val="24"/>
                <w:szCs w:val="22"/>
              </w:rPr>
              <w:t>，满足《江苏省太湖水污染防治条例》的有关规定。</w:t>
            </w:r>
          </w:p>
          <w:p>
            <w:pPr>
              <w:spacing w:line="360" w:lineRule="auto"/>
              <w:ind w:firstLine="540" w:firstLineChars="200"/>
              <w:rPr>
                <w:spacing w:val="15"/>
                <w:sz w:val="24"/>
              </w:rPr>
            </w:pPr>
            <w:r>
              <w:rPr>
                <w:color w:val="auto"/>
                <w:spacing w:val="15"/>
                <w:sz w:val="24"/>
              </w:rPr>
              <w:t>本项目</w:t>
            </w:r>
            <w:r>
              <w:rPr>
                <w:rFonts w:hint="eastAsia"/>
                <w:color w:val="auto"/>
                <w:spacing w:val="15"/>
                <w:sz w:val="24"/>
              </w:rPr>
              <w:t>生活污水</w:t>
            </w:r>
            <w:r>
              <w:rPr>
                <w:color w:val="auto"/>
                <w:spacing w:val="15"/>
                <w:sz w:val="24"/>
              </w:rPr>
              <w:t>经</w:t>
            </w:r>
            <w:r>
              <w:rPr>
                <w:rFonts w:hint="eastAsia"/>
                <w:color w:val="auto"/>
                <w:spacing w:val="15"/>
                <w:sz w:val="24"/>
              </w:rPr>
              <w:t>金坛区</w:t>
            </w:r>
            <w:r>
              <w:rPr>
                <w:color w:val="auto"/>
                <w:spacing w:val="15"/>
                <w:sz w:val="24"/>
              </w:rPr>
              <w:t>第二污水处理厂处理后排放至尧塘</w:t>
            </w:r>
            <w:r>
              <w:rPr>
                <w:spacing w:val="15"/>
                <w:sz w:val="24"/>
              </w:rPr>
              <w:t>河。引用金坛区第二污水处理厂的环评结论，废水经金坛区第二污水处理厂处理后对尧塘河的影响较小。</w:t>
            </w:r>
          </w:p>
          <w:p>
            <w:pPr>
              <w:autoSpaceDE w:val="0"/>
              <w:autoSpaceDN w:val="0"/>
              <w:adjustRightInd w:val="0"/>
              <w:spacing w:line="360" w:lineRule="auto"/>
              <w:ind w:firstLine="480" w:firstLineChars="200"/>
              <w:rPr>
                <w:b/>
                <w:bCs/>
                <w:sz w:val="24"/>
                <w:szCs w:val="24"/>
              </w:rPr>
            </w:pPr>
            <w:r>
              <w:rPr>
                <w:b/>
                <w:bCs/>
                <w:sz w:val="24"/>
                <w:szCs w:val="24"/>
              </w:rPr>
              <w:t>（3）排污口规范化设置</w:t>
            </w:r>
          </w:p>
          <w:p>
            <w:pPr>
              <w:autoSpaceDE w:val="0"/>
              <w:autoSpaceDN w:val="0"/>
              <w:adjustRightInd w:val="0"/>
              <w:spacing w:line="360" w:lineRule="auto"/>
              <w:ind w:firstLine="480" w:firstLineChars="200"/>
              <w:rPr>
                <w:sz w:val="24"/>
                <w:szCs w:val="24"/>
              </w:rPr>
            </w:pPr>
            <w:r>
              <w:rPr>
                <w:rFonts w:hint="eastAsia"/>
                <w:sz w:val="24"/>
                <w:szCs w:val="24"/>
              </w:rPr>
              <w:t>本项目污水排放口应设置规范的环保标识。</w:t>
            </w:r>
          </w:p>
          <w:p>
            <w:pPr>
              <w:adjustRightInd w:val="0"/>
              <w:snapToGrid w:val="0"/>
              <w:spacing w:line="360" w:lineRule="auto"/>
              <w:ind w:firstLine="480" w:firstLineChars="200"/>
              <w:rPr>
                <w:b/>
                <w:sz w:val="24"/>
                <w:szCs w:val="24"/>
              </w:rPr>
            </w:pPr>
            <w:r>
              <w:rPr>
                <w:b/>
                <w:sz w:val="24"/>
                <w:szCs w:val="24"/>
              </w:rPr>
              <w:t>2、废气治理措施</w:t>
            </w:r>
          </w:p>
          <w:p>
            <w:pPr>
              <w:autoSpaceDE w:val="0"/>
              <w:autoSpaceDN w:val="0"/>
              <w:adjustRightInd w:val="0"/>
              <w:spacing w:line="360" w:lineRule="auto"/>
              <w:ind w:firstLine="480" w:firstLineChars="200"/>
              <w:rPr>
                <w:b/>
                <w:sz w:val="24"/>
                <w:szCs w:val="21"/>
              </w:rPr>
            </w:pPr>
            <w:r>
              <w:rPr>
                <w:rFonts w:hint="eastAsia"/>
                <w:b/>
                <w:sz w:val="24"/>
                <w:szCs w:val="21"/>
              </w:rPr>
              <w:t>（1）有组织废气</w:t>
            </w:r>
          </w:p>
          <w:p>
            <w:pPr>
              <w:autoSpaceDE w:val="0"/>
              <w:autoSpaceDN w:val="0"/>
              <w:adjustRightInd w:val="0"/>
              <w:spacing w:line="360" w:lineRule="auto"/>
              <w:ind w:firstLine="480" w:firstLineChars="200"/>
              <w:rPr>
                <w:b/>
                <w:sz w:val="24"/>
                <w:szCs w:val="21"/>
              </w:rPr>
            </w:pPr>
            <w:r>
              <w:rPr>
                <w:rFonts w:hint="eastAsia"/>
                <w:b/>
                <w:sz w:val="24"/>
                <w:szCs w:val="21"/>
              </w:rPr>
              <w:t>①废气处理措施合理性分析</w:t>
            </w:r>
          </w:p>
          <w:p>
            <w:pPr>
              <w:autoSpaceDE w:val="0"/>
              <w:autoSpaceDN w:val="0"/>
              <w:adjustRightInd w:val="0"/>
              <w:spacing w:line="360" w:lineRule="auto"/>
              <w:ind w:firstLine="480" w:firstLineChars="200"/>
              <w:rPr>
                <w:bCs/>
                <w:color w:val="auto"/>
                <w:sz w:val="24"/>
                <w:szCs w:val="21"/>
              </w:rPr>
            </w:pPr>
            <w:r>
              <w:rPr>
                <w:rFonts w:hint="eastAsia"/>
                <w:bCs/>
                <w:sz w:val="24"/>
                <w:szCs w:val="21"/>
              </w:rPr>
              <w:t>根据</w:t>
            </w:r>
            <w:r>
              <w:rPr>
                <w:rFonts w:hint="eastAsia"/>
                <w:bCs/>
                <w:color w:val="auto"/>
                <w:sz w:val="24"/>
                <w:szCs w:val="21"/>
              </w:rPr>
              <w:t>工程分析可知，本项目</w:t>
            </w:r>
            <w:r>
              <w:rPr>
                <w:rFonts w:hint="eastAsia"/>
                <w:bCs/>
                <w:color w:val="auto"/>
                <w:sz w:val="24"/>
                <w:szCs w:val="21"/>
                <w:lang w:eastAsia="zh-CN"/>
              </w:rPr>
              <w:t>生产工序产生的</w:t>
            </w:r>
            <w:r>
              <w:rPr>
                <w:rFonts w:hint="eastAsia"/>
                <w:bCs/>
                <w:color w:val="auto"/>
                <w:sz w:val="24"/>
                <w:szCs w:val="21"/>
              </w:rPr>
              <w:t>废气为</w:t>
            </w:r>
            <w:r>
              <w:rPr>
                <w:rFonts w:hint="eastAsia"/>
                <w:bCs/>
                <w:color w:val="auto"/>
                <w:sz w:val="24"/>
                <w:szCs w:val="21"/>
                <w:lang w:eastAsia="zh-CN"/>
              </w:rPr>
              <w:t>投料混合产生的少量粉尘、注塑成型工序产生的注塑废气，即非甲烷总烃和极少量氯化氢。粉尘经经半密闭的集气罩收集至1套布袋除尘器处理后经15m排气筒DA001高空排放；注塑废气</w:t>
            </w:r>
            <w:r>
              <w:rPr>
                <w:rFonts w:hint="eastAsia"/>
                <w:bCs/>
                <w:color w:val="auto"/>
                <w:sz w:val="24"/>
                <w:szCs w:val="21"/>
              </w:rPr>
              <w:t>经半密闭的集气罩收集至“二级活性炭吸附装置”处理后通过</w:t>
            </w:r>
            <w:r>
              <w:rPr>
                <w:rFonts w:hint="eastAsia"/>
                <w:bCs/>
                <w:color w:val="auto"/>
                <w:sz w:val="24"/>
                <w:szCs w:val="21"/>
                <w:lang w:val="en-US" w:eastAsia="zh-CN"/>
              </w:rPr>
              <w:t>15</w:t>
            </w:r>
            <w:r>
              <w:rPr>
                <w:rFonts w:hint="eastAsia"/>
                <w:bCs/>
                <w:color w:val="auto"/>
                <w:sz w:val="24"/>
                <w:szCs w:val="21"/>
              </w:rPr>
              <w:t>m排气筒DA001排放。项目</w:t>
            </w:r>
            <w:r>
              <w:rPr>
                <w:rFonts w:hint="eastAsia"/>
                <w:bCs/>
                <w:color w:val="auto"/>
                <w:sz w:val="24"/>
                <w:szCs w:val="21"/>
                <w:lang w:eastAsia="zh-CN"/>
              </w:rPr>
              <w:t>生产线</w:t>
            </w:r>
            <w:r>
              <w:rPr>
                <w:rFonts w:hint="eastAsia"/>
                <w:bCs/>
                <w:color w:val="auto"/>
                <w:sz w:val="24"/>
                <w:szCs w:val="21"/>
              </w:rPr>
              <w:t>均布置在生产厂房的</w:t>
            </w:r>
            <w:r>
              <w:rPr>
                <w:rFonts w:hint="eastAsia"/>
                <w:bCs/>
                <w:color w:val="auto"/>
                <w:sz w:val="24"/>
                <w:szCs w:val="21"/>
                <w:lang w:eastAsia="zh-CN"/>
              </w:rPr>
              <w:t>一</w:t>
            </w:r>
            <w:r>
              <w:rPr>
                <w:rFonts w:hint="eastAsia"/>
                <w:bCs/>
                <w:color w:val="auto"/>
                <w:sz w:val="24"/>
                <w:szCs w:val="21"/>
              </w:rPr>
              <w:t>层。</w:t>
            </w:r>
          </w:p>
          <w:p>
            <w:pPr>
              <w:autoSpaceDE w:val="0"/>
              <w:autoSpaceDN w:val="0"/>
              <w:adjustRightInd w:val="0"/>
              <w:spacing w:line="360" w:lineRule="auto"/>
              <w:ind w:firstLine="480" w:firstLineChars="200"/>
              <w:rPr>
                <w:b/>
                <w:color w:val="000000" w:themeColor="text1"/>
                <w:sz w:val="24"/>
                <w:szCs w:val="21"/>
                <w14:textFill>
                  <w14:solidFill>
                    <w14:schemeClr w14:val="tx1"/>
                  </w14:solidFill>
                </w14:textFill>
              </w:rPr>
            </w:pPr>
            <w:r>
              <w:rPr>
                <w:rFonts w:hint="eastAsia"/>
                <w:b/>
                <w:color w:val="000000" w:themeColor="text1"/>
                <w:sz w:val="24"/>
                <w:szCs w:val="21"/>
                <w14:textFill>
                  <w14:solidFill>
                    <w14:schemeClr w14:val="tx1"/>
                  </w14:solidFill>
                </w14:textFill>
              </w:rPr>
              <w:t>布袋除尘器</w:t>
            </w:r>
          </w:p>
          <w:p>
            <w:pPr>
              <w:autoSpaceDE w:val="0"/>
              <w:autoSpaceDN w:val="0"/>
              <w:adjustRightInd w:val="0"/>
              <w:spacing w:line="360" w:lineRule="auto"/>
              <w:ind w:firstLine="480" w:firstLineChars="200"/>
              <w:rPr>
                <w:color w:val="000000" w:themeColor="text1"/>
                <w14:textFill>
                  <w14:solidFill>
                    <w14:schemeClr w14:val="tx1"/>
                  </w14:solidFill>
                </w14:textFill>
              </w:rPr>
            </w:pPr>
            <w:r>
              <w:rPr>
                <w:rFonts w:hint="eastAsia"/>
                <w:color w:val="000000" w:themeColor="text1"/>
                <w:sz w:val="24"/>
                <w:lang w:val="zh-CN"/>
                <w14:textFill>
                  <w14:solidFill>
                    <w14:schemeClr w14:val="tx1"/>
                  </w14:solidFill>
                </w14:textFill>
              </w:rPr>
              <w:t>布袋除尘器是一种干式滤尘装置。它适用于捕集细小、干燥、非纤维性粉尘。滤袋采用纺织的滤布或非纺织的毡制成，利用纤维织物的过滤作用对含尘气体进行过滤，当含尘气体进入袋式除尘器后，颗粒大、比重大的粉尘，由于重力的作用沉降下来，落入灰斗，含有较细小粉尘的气体在通过滤料时，粉尘被阻留，使气体得到净化。因此本项目采用布袋除尘处理粉尘是可行的。</w:t>
            </w:r>
          </w:p>
          <w:p>
            <w:pPr>
              <w:autoSpaceDE w:val="0"/>
              <w:autoSpaceDN w:val="0"/>
              <w:adjustRightInd w:val="0"/>
              <w:spacing w:line="360" w:lineRule="auto"/>
              <w:ind w:firstLine="480" w:firstLineChars="200"/>
              <w:rPr>
                <w:rFonts w:hint="eastAsia" w:eastAsia="宋体"/>
                <w:b w:val="0"/>
                <w:bCs/>
                <w:color w:val="auto"/>
                <w:sz w:val="24"/>
                <w:szCs w:val="21"/>
                <w:lang w:eastAsia="zh-CN"/>
              </w:rPr>
            </w:pPr>
            <w:r>
              <w:rPr>
                <w:rFonts w:hint="eastAsia"/>
                <w:b w:val="0"/>
                <w:bCs/>
                <w:color w:val="auto"/>
                <w:sz w:val="24"/>
                <w:szCs w:val="21"/>
                <w:lang w:eastAsia="zh-CN"/>
              </w:rPr>
              <w:t>危废仓库存在挥发性废气的危险废物，因此本次要求建设单位对危废仓库的废气进行收集，引至“二级活性炭吸附装置”处理后有组织排放。</w:t>
            </w:r>
          </w:p>
          <w:p>
            <w:pPr>
              <w:autoSpaceDE w:val="0"/>
              <w:autoSpaceDN w:val="0"/>
              <w:adjustRightInd w:val="0"/>
              <w:spacing w:line="360" w:lineRule="auto"/>
              <w:ind w:firstLine="480" w:firstLineChars="200"/>
              <w:rPr>
                <w:sz w:val="24"/>
                <w:lang w:val="zh-CN"/>
              </w:rPr>
            </w:pPr>
            <w:r>
              <w:rPr>
                <w:b/>
                <w:sz w:val="24"/>
                <w:szCs w:val="21"/>
              </w:rPr>
              <w:t>活性炭吸附装置：</w:t>
            </w:r>
            <w:r>
              <w:rPr>
                <w:sz w:val="24"/>
                <w:lang w:val="zh-CN"/>
              </w:rPr>
              <w:t>活性炭吸附主要依靠其自身的多孔结构，多孔结构可以大大提高其比表面积，增加与吸附底物的接触面积，从而达到吸附分离的目的，这种吸附为物理吸附，主要依靠范德华力、诱导力等结合。</w:t>
            </w:r>
          </w:p>
          <w:p>
            <w:pPr>
              <w:autoSpaceDE w:val="0"/>
              <w:autoSpaceDN w:val="0"/>
              <w:adjustRightInd w:val="0"/>
              <w:spacing w:line="360" w:lineRule="auto"/>
              <w:ind w:firstLine="480" w:firstLineChars="200"/>
              <w:rPr>
                <w:sz w:val="24"/>
                <w:szCs w:val="22"/>
                <w:lang w:val="zh-CN"/>
              </w:rPr>
            </w:pPr>
            <w:r>
              <w:rPr>
                <w:sz w:val="24"/>
                <w:lang w:val="zh-CN"/>
              </w:rPr>
              <w:t>物理吸附过程可分为以下几个步骤：（a）污染气体通过吸附边界层，污染气体的分子可能被吸附，也可能被从活性炭表面带走，这取决于该成分在载气和边界层中气体里的浓度差值，该值决定着吸附的强弱。当污染空气通过活性炭时，一些有害气体的浓度差值很大，所以被吸附下来，而空气中的固有成分由于浓度差</w:t>
            </w:r>
            <w:r>
              <w:rPr>
                <w:sz w:val="24"/>
                <w:szCs w:val="22"/>
                <w:lang w:val="zh-CN"/>
              </w:rPr>
              <w:t>基本为零，所以正常通过，而一些颗粒（如烟尘）由于过大，直接被留在大孔和中孔中。当有害气体的浓度差为零时，活性炭失效，需重新活化。（b）被吸附的分子向微孔扩散。（c）该分子被牢牢的绑扎在吸附剂表面。</w:t>
            </w:r>
          </w:p>
          <w:p>
            <w:pPr>
              <w:autoSpaceDE w:val="0"/>
              <w:autoSpaceDN w:val="0"/>
              <w:adjustRightInd w:val="0"/>
              <w:spacing w:line="360" w:lineRule="auto"/>
              <w:ind w:firstLine="480" w:firstLineChars="200"/>
              <w:rPr>
                <w:color w:val="auto"/>
                <w:sz w:val="24"/>
                <w:szCs w:val="22"/>
                <w:lang w:val="zh-CN"/>
              </w:rPr>
            </w:pPr>
            <w:r>
              <w:rPr>
                <w:rFonts w:hint="eastAsia"/>
                <w:color w:val="auto"/>
                <w:sz w:val="24"/>
                <w:szCs w:val="22"/>
                <w:lang w:val="zh-CN"/>
              </w:rPr>
              <w:t>本项目废气利用活性炭吸附装置处理，收集装置为半密闭的集气罩（集气罩</w:t>
            </w:r>
            <w:r>
              <w:rPr>
                <w:rFonts w:hint="eastAsia"/>
                <w:color w:val="auto"/>
                <w:sz w:val="24"/>
                <w:szCs w:val="22"/>
                <w:lang w:val="en-US" w:eastAsia="zh-CN"/>
              </w:rPr>
              <w:t>+软帘</w:t>
            </w:r>
            <w:r>
              <w:rPr>
                <w:rFonts w:hint="eastAsia"/>
                <w:color w:val="auto"/>
                <w:sz w:val="24"/>
                <w:szCs w:val="22"/>
                <w:lang w:val="zh-CN"/>
              </w:rPr>
              <w:t>），其总净化效果可达到</w:t>
            </w:r>
            <w:r>
              <w:rPr>
                <w:rFonts w:hint="eastAsia"/>
                <w:color w:val="auto"/>
                <w:sz w:val="24"/>
                <w:szCs w:val="22"/>
                <w:lang w:val="en-US" w:eastAsia="zh-CN"/>
              </w:rPr>
              <w:t>8</w:t>
            </w:r>
            <w:r>
              <w:rPr>
                <w:rFonts w:hint="eastAsia"/>
                <w:color w:val="auto"/>
                <w:sz w:val="24"/>
                <w:szCs w:val="22"/>
                <w:lang w:val="zh-CN"/>
              </w:rPr>
              <w:t>0%以上。同时，该装置具有运行成本低、占地面积小、适应性强等特点。适用范围涉及各种工业废气治理工程，故本项目废气治理措施技术稳定可靠可行。</w:t>
            </w:r>
          </w:p>
          <w:p>
            <w:pPr>
              <w:pStyle w:val="21"/>
              <w:spacing w:after="0" w:line="360" w:lineRule="auto"/>
              <w:rPr>
                <w:b/>
                <w:bCs/>
                <w:sz w:val="24"/>
                <w:lang w:val="zh-CN"/>
              </w:rPr>
            </w:pPr>
            <w:r>
              <w:drawing>
                <wp:inline distT="0" distB="0" distL="114300" distR="114300">
                  <wp:extent cx="5497830" cy="2844165"/>
                  <wp:effectExtent l="0" t="0" r="7620" b="13335"/>
                  <wp:docPr id="2"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8"/>
                          <pic:cNvPicPr>
                            <a:picLocks noChangeAspect="1"/>
                          </pic:cNvPicPr>
                        </pic:nvPicPr>
                        <pic:blipFill>
                          <a:blip r:embed="rId16"/>
                          <a:stretch>
                            <a:fillRect/>
                          </a:stretch>
                        </pic:blipFill>
                        <pic:spPr>
                          <a:xfrm>
                            <a:off x="0" y="0"/>
                            <a:ext cx="5497830" cy="2844165"/>
                          </a:xfrm>
                          <a:prstGeom prst="rect">
                            <a:avLst/>
                          </a:prstGeom>
                          <a:noFill/>
                          <a:ln>
                            <a:noFill/>
                          </a:ln>
                        </pic:spPr>
                      </pic:pic>
                    </a:graphicData>
                  </a:graphic>
                </wp:inline>
              </w:drawing>
            </w:r>
          </w:p>
          <w:p>
            <w:pPr>
              <w:pStyle w:val="21"/>
              <w:spacing w:after="0"/>
              <w:ind w:firstLine="420" w:firstLineChars="200"/>
              <w:jc w:val="center"/>
              <w:rPr>
                <w:b/>
                <w:bCs/>
                <w:sz w:val="24"/>
                <w:lang w:val="zh-CN"/>
              </w:rPr>
            </w:pPr>
            <w:r>
              <w:rPr>
                <w:b/>
                <w:szCs w:val="21"/>
              </w:rPr>
              <w:t>图5-</w:t>
            </w:r>
            <w:r>
              <w:rPr>
                <w:rFonts w:hint="eastAsia"/>
                <w:b/>
                <w:szCs w:val="21"/>
              </w:rPr>
              <w:t>7</w:t>
            </w:r>
            <w:r>
              <w:rPr>
                <w:b/>
                <w:szCs w:val="21"/>
              </w:rPr>
              <w:t xml:space="preserve"> </w:t>
            </w:r>
            <w:r>
              <w:rPr>
                <w:rFonts w:hint="eastAsia"/>
                <w:b/>
                <w:szCs w:val="21"/>
              </w:rPr>
              <w:t>本项目废气收集净化示意图</w:t>
            </w:r>
          </w:p>
          <w:p>
            <w:pPr>
              <w:autoSpaceDE w:val="0"/>
              <w:autoSpaceDN w:val="0"/>
              <w:adjustRightInd w:val="0"/>
              <w:spacing w:line="360" w:lineRule="auto"/>
              <w:ind w:firstLine="480" w:firstLineChars="200"/>
              <w:rPr>
                <w:color w:val="auto"/>
                <w:sz w:val="24"/>
                <w:lang w:val="zh-CN"/>
              </w:rPr>
            </w:pPr>
            <w:r>
              <w:rPr>
                <w:rFonts w:hint="eastAsia"/>
                <w:sz w:val="24"/>
                <w:lang w:val="zh-CN"/>
              </w:rPr>
              <w:t>根据《挥发性有机物（VOCs）污染防治技术政策》（生态环境部公告2013年第31号2013-05-24实施），“对于含低浓度VOCs的废气，不宜回收时，可采用吸附浓缩燃烧技术、生物技术、吸收技术、等离子体技术或紫外光高级氧化技术等净化后达标排放。”因此本项目采用的“活性炭吸附装置”满足《挥发性有机物（VOCs）污染防治技术政策》</w:t>
            </w:r>
            <w:r>
              <w:rPr>
                <w:rFonts w:hint="eastAsia"/>
                <w:color w:val="auto"/>
                <w:sz w:val="24"/>
                <w:lang w:val="zh-CN"/>
              </w:rPr>
              <w:t>中相关要求</w:t>
            </w:r>
            <w:r>
              <w:rPr>
                <w:color w:val="auto"/>
                <w:sz w:val="24"/>
                <w:lang w:val="zh-CN"/>
              </w:rPr>
              <w:t>。</w:t>
            </w:r>
          </w:p>
          <w:p>
            <w:pPr>
              <w:spacing w:line="360" w:lineRule="auto"/>
              <w:ind w:firstLine="480" w:firstLineChars="200"/>
              <w:rPr>
                <w:color w:val="auto"/>
                <w:sz w:val="24"/>
                <w:lang w:val="zh-CN"/>
              </w:rPr>
            </w:pPr>
            <w:r>
              <w:rPr>
                <w:rFonts w:hint="eastAsia"/>
                <w:color w:val="auto"/>
                <w:sz w:val="24"/>
                <w:lang w:val="zh-CN"/>
              </w:rPr>
              <w:t>活性炭单级吸附效率约70%，“二级活性炭吸附装置”理论吸附效率理论可达9</w:t>
            </w:r>
            <w:r>
              <w:rPr>
                <w:rFonts w:hint="eastAsia"/>
                <w:color w:val="auto"/>
                <w:sz w:val="24"/>
              </w:rPr>
              <w:t>1</w:t>
            </w:r>
            <w:r>
              <w:rPr>
                <w:rFonts w:hint="eastAsia"/>
                <w:color w:val="auto"/>
                <w:sz w:val="24"/>
                <w:lang w:val="zh-CN"/>
              </w:rPr>
              <w:t>%，本次以</w:t>
            </w:r>
            <w:r>
              <w:rPr>
                <w:rFonts w:hint="eastAsia"/>
                <w:color w:val="auto"/>
                <w:sz w:val="24"/>
                <w:lang w:val="en-US" w:eastAsia="zh-CN"/>
              </w:rPr>
              <w:t>80</w:t>
            </w:r>
            <w:r>
              <w:rPr>
                <w:rFonts w:hint="eastAsia"/>
                <w:color w:val="auto"/>
                <w:sz w:val="24"/>
                <w:lang w:val="zh-CN"/>
              </w:rPr>
              <w:t>%计。通过加大集气罩的收集面积，对集气罩加软帘，并尽量减小其与废气产生部位的距离，</w:t>
            </w:r>
            <w:r>
              <w:rPr>
                <w:rFonts w:hint="eastAsia"/>
                <w:color w:val="auto"/>
                <w:sz w:val="24"/>
                <w:lang w:val="en-US" w:eastAsia="zh-CN"/>
              </w:rPr>
              <w:t>制造相对半密闭的收集条件，</w:t>
            </w:r>
            <w:r>
              <w:rPr>
                <w:rFonts w:hint="eastAsia"/>
                <w:color w:val="auto"/>
                <w:sz w:val="24"/>
                <w:lang w:val="zh-CN"/>
              </w:rPr>
              <w:t>保持集气口微负压，确保废气收集装置的收集效率在80%以上。</w:t>
            </w:r>
            <w:r>
              <w:rPr>
                <w:rFonts w:hint="eastAsia"/>
                <w:color w:val="auto"/>
                <w:sz w:val="24"/>
                <w:lang w:val="en-US" w:eastAsia="zh-CN"/>
              </w:rPr>
              <w:t>废气经收集至1套</w:t>
            </w:r>
            <w:r>
              <w:rPr>
                <w:rFonts w:hint="eastAsia"/>
                <w:color w:val="auto"/>
                <w:sz w:val="24"/>
                <w:lang w:val="zh-CN"/>
              </w:rPr>
              <w:t>“二级活性炭吸附装置”统一处理，可满足《江苏省重点行业挥发性有机物污染控制指南》处理要求。</w:t>
            </w:r>
          </w:p>
          <w:p>
            <w:pPr>
              <w:spacing w:line="360" w:lineRule="auto"/>
              <w:ind w:firstLine="480" w:firstLineChars="200"/>
              <w:rPr>
                <w:rFonts w:hint="eastAsia"/>
                <w:color w:val="auto"/>
                <w:sz w:val="24"/>
                <w:lang w:val="zh-CN"/>
              </w:rPr>
            </w:pPr>
            <w:r>
              <w:rPr>
                <w:rFonts w:hint="eastAsia"/>
                <w:b/>
                <w:bCs/>
                <w:color w:val="auto"/>
                <w:sz w:val="24"/>
                <w:lang w:val="zh-CN"/>
              </w:rPr>
              <w:t>工程实例：</w:t>
            </w:r>
            <w:r>
              <w:rPr>
                <w:rFonts w:hint="eastAsia"/>
                <w:color w:val="auto"/>
                <w:sz w:val="24"/>
                <w:lang w:val="zh-CN"/>
              </w:rPr>
              <w:t>根据《明锋包装材料（太仓）有限公司新建塑料制品项目三同时竣工验收报告》可知，明锋包装材料（太仓）有限公司非甲烷总烃采用单级活性炭吸附装置处理，单级活性炭吸附效率可达79.2%。</w:t>
            </w:r>
          </w:p>
          <w:p>
            <w:pPr>
              <w:spacing w:line="360" w:lineRule="auto"/>
              <w:ind w:firstLine="480" w:firstLineChars="200"/>
              <w:rPr>
                <w:color w:val="auto"/>
                <w:sz w:val="24"/>
                <w:lang w:val="zh-CN"/>
              </w:rPr>
            </w:pPr>
            <w:r>
              <w:rPr>
                <w:rFonts w:hint="eastAsia"/>
                <w:color w:val="auto"/>
                <w:sz w:val="24"/>
                <w:lang w:val="zh-CN"/>
              </w:rPr>
              <w:t>本项目废气采用</w:t>
            </w:r>
            <w:r>
              <w:rPr>
                <w:rFonts w:hint="eastAsia"/>
                <w:color w:val="auto"/>
                <w:sz w:val="24"/>
                <w:lang w:val="en-US" w:eastAsia="zh-CN"/>
              </w:rPr>
              <w:t>1套</w:t>
            </w:r>
            <w:r>
              <w:rPr>
                <w:rFonts w:hint="eastAsia"/>
                <w:color w:val="auto"/>
                <w:sz w:val="24"/>
                <w:lang w:val="zh-CN"/>
              </w:rPr>
              <w:t>“二级活性炭吸附装置”处理，“二级活性炭吸装置”中活性炭装填量为</w:t>
            </w:r>
            <w:r>
              <w:rPr>
                <w:rFonts w:hint="eastAsia"/>
                <w:color w:val="auto"/>
                <w:sz w:val="24"/>
                <w:lang w:val="en-US" w:eastAsia="zh-CN"/>
              </w:rPr>
              <w:t>2</w:t>
            </w:r>
            <w:r>
              <w:rPr>
                <w:rFonts w:hint="eastAsia"/>
                <w:color w:val="auto"/>
                <w:sz w:val="24"/>
                <w:lang w:val="zh-CN"/>
              </w:rPr>
              <w:t>kg/次（</w:t>
            </w:r>
            <w:r>
              <w:rPr>
                <w:rFonts w:hint="eastAsia"/>
                <w:color w:val="auto"/>
                <w:sz w:val="24"/>
                <w:lang w:val="en-US" w:eastAsia="zh-CN"/>
              </w:rPr>
              <w:t>1</w:t>
            </w:r>
            <w:r>
              <w:rPr>
                <w:rFonts w:hint="eastAsia"/>
                <w:color w:val="auto"/>
                <w:sz w:val="24"/>
                <w:lang w:val="zh-CN"/>
              </w:rPr>
              <w:t>kg/箱，共2箱），配套</w:t>
            </w:r>
            <w:r>
              <w:rPr>
                <w:rFonts w:hint="eastAsia"/>
                <w:color w:val="auto"/>
                <w:sz w:val="24"/>
                <w:lang w:val="en-US" w:eastAsia="zh-CN"/>
              </w:rPr>
              <w:t>1000m</w:t>
            </w:r>
            <w:r>
              <w:rPr>
                <w:rFonts w:hint="eastAsia"/>
                <w:color w:val="auto"/>
                <w:sz w:val="24"/>
                <w:vertAlign w:val="superscript"/>
                <w:lang w:val="en-US" w:eastAsia="zh-CN"/>
              </w:rPr>
              <w:t>3</w:t>
            </w:r>
            <w:r>
              <w:rPr>
                <w:rFonts w:hint="eastAsia"/>
                <w:color w:val="auto"/>
                <w:sz w:val="24"/>
                <w:lang w:val="en-US" w:eastAsia="zh-CN"/>
              </w:rPr>
              <w:t>/h的风机，</w:t>
            </w:r>
            <w:r>
              <w:rPr>
                <w:rFonts w:hint="eastAsia"/>
                <w:color w:val="auto"/>
                <w:sz w:val="24"/>
                <w:lang w:val="zh-CN"/>
              </w:rPr>
              <w:t>处理效率预计可以达到</w:t>
            </w:r>
            <w:r>
              <w:rPr>
                <w:rFonts w:hint="eastAsia"/>
                <w:color w:val="auto"/>
                <w:sz w:val="24"/>
                <w:lang w:val="en-US" w:eastAsia="zh-CN"/>
              </w:rPr>
              <w:t>80</w:t>
            </w:r>
            <w:r>
              <w:rPr>
                <w:rFonts w:hint="eastAsia"/>
                <w:color w:val="auto"/>
                <w:sz w:val="24"/>
              </w:rPr>
              <w:t>%</w:t>
            </w:r>
            <w:r>
              <w:rPr>
                <w:rFonts w:hint="eastAsia"/>
                <w:color w:val="auto"/>
                <w:sz w:val="24"/>
                <w:lang w:eastAsia="zh-CN"/>
              </w:rPr>
              <w:t>及以上</w:t>
            </w:r>
            <w:r>
              <w:rPr>
                <w:rFonts w:hint="eastAsia"/>
                <w:color w:val="auto"/>
                <w:sz w:val="24"/>
                <w:lang w:val="zh-CN"/>
              </w:rPr>
              <w:t>。</w:t>
            </w:r>
          </w:p>
          <w:p>
            <w:pPr>
              <w:spacing w:line="360" w:lineRule="auto"/>
              <w:ind w:firstLine="480" w:firstLineChars="200"/>
              <w:rPr>
                <w:b/>
                <w:bCs/>
                <w:color w:val="auto"/>
                <w:sz w:val="24"/>
                <w:szCs w:val="24"/>
              </w:rPr>
            </w:pPr>
            <w:r>
              <w:rPr>
                <w:rFonts w:hint="eastAsia"/>
                <w:b/>
                <w:bCs/>
                <w:color w:val="auto"/>
                <w:sz w:val="24"/>
                <w:szCs w:val="24"/>
              </w:rPr>
              <w:t>废活性炭更换周期：</w:t>
            </w:r>
          </w:p>
          <w:p>
            <w:pPr>
              <w:spacing w:line="360" w:lineRule="auto"/>
              <w:ind w:firstLine="480" w:firstLineChars="200"/>
              <w:rPr>
                <w:color w:val="auto"/>
                <w:sz w:val="24"/>
                <w:szCs w:val="24"/>
              </w:rPr>
            </w:pPr>
            <w:r>
              <w:rPr>
                <w:rFonts w:hint="eastAsia"/>
                <w:color w:val="auto"/>
                <w:sz w:val="24"/>
                <w:szCs w:val="24"/>
              </w:rPr>
              <w:t>根据工程分析，本项目废活性炭产生量约为</w:t>
            </w:r>
            <w:r>
              <w:rPr>
                <w:rFonts w:hint="eastAsia"/>
                <w:color w:val="auto"/>
                <w:sz w:val="24"/>
                <w:szCs w:val="24"/>
                <w:lang w:val="en-US" w:eastAsia="zh-CN"/>
              </w:rPr>
              <w:t>0.002</w:t>
            </w:r>
            <w:r>
              <w:rPr>
                <w:rFonts w:hint="eastAsia"/>
                <w:color w:val="auto"/>
                <w:sz w:val="24"/>
                <w:szCs w:val="24"/>
              </w:rPr>
              <w:t>t/a</w:t>
            </w:r>
            <w:r>
              <w:rPr>
                <w:rFonts w:hint="eastAsia"/>
                <w:color w:val="auto"/>
                <w:sz w:val="24"/>
                <w:szCs w:val="24"/>
                <w:lang w:eastAsia="zh-CN"/>
              </w:rPr>
              <w:t>。</w:t>
            </w:r>
            <w:r>
              <w:rPr>
                <w:rFonts w:hint="eastAsia"/>
                <w:color w:val="auto"/>
                <w:sz w:val="24"/>
                <w:szCs w:val="24"/>
              </w:rPr>
              <w:t>本项目活性炭装置一次填充量约为</w:t>
            </w:r>
            <w:r>
              <w:rPr>
                <w:rFonts w:hint="eastAsia"/>
                <w:color w:val="auto"/>
                <w:sz w:val="24"/>
                <w:szCs w:val="24"/>
                <w:lang w:val="en-US" w:eastAsia="zh-CN"/>
              </w:rPr>
              <w:t>2</w:t>
            </w:r>
            <w:r>
              <w:rPr>
                <w:rFonts w:hint="eastAsia"/>
                <w:color w:val="auto"/>
                <w:sz w:val="24"/>
                <w:szCs w:val="24"/>
              </w:rPr>
              <w:t>kg，建设单位</w:t>
            </w:r>
            <w:r>
              <w:rPr>
                <w:rFonts w:hint="eastAsia"/>
                <w:color w:val="auto"/>
                <w:sz w:val="24"/>
                <w:szCs w:val="24"/>
                <w:lang w:eastAsia="zh-CN"/>
              </w:rPr>
              <w:t>每年</w:t>
            </w:r>
            <w:r>
              <w:rPr>
                <w:rFonts w:hint="eastAsia"/>
                <w:color w:val="auto"/>
                <w:sz w:val="24"/>
                <w:szCs w:val="24"/>
              </w:rPr>
              <w:t>更换一次活性炭，则产生的废活性炭量为</w:t>
            </w:r>
            <w:r>
              <w:rPr>
                <w:rFonts w:hint="eastAsia"/>
                <w:color w:val="auto"/>
                <w:sz w:val="24"/>
                <w:szCs w:val="24"/>
                <w:lang w:val="en-US" w:eastAsia="zh-CN"/>
              </w:rPr>
              <w:t>0.002</w:t>
            </w:r>
            <w:r>
              <w:rPr>
                <w:rFonts w:hint="eastAsia"/>
                <w:color w:val="auto"/>
                <w:sz w:val="24"/>
                <w:szCs w:val="24"/>
              </w:rPr>
              <w:t>t/a，委托相关环保厂家进行更换。建设单位实际生产过程中应根据原料实际消耗量以及活性炭装置的一次填充量做好废活性炭更换台账。</w:t>
            </w:r>
          </w:p>
          <w:p>
            <w:pPr>
              <w:spacing w:line="360" w:lineRule="auto"/>
              <w:ind w:firstLine="480" w:firstLineChars="200"/>
              <w:rPr>
                <w:b/>
                <w:bCs/>
                <w:color w:val="auto"/>
                <w:sz w:val="24"/>
                <w:szCs w:val="24"/>
              </w:rPr>
            </w:pPr>
            <w:r>
              <w:rPr>
                <w:rFonts w:hint="eastAsia"/>
                <w:b/>
                <w:bCs/>
                <w:color w:val="auto"/>
                <w:sz w:val="24"/>
                <w:szCs w:val="24"/>
              </w:rPr>
              <w:t>②</w:t>
            </w:r>
            <w:r>
              <w:rPr>
                <w:b/>
                <w:bCs/>
                <w:color w:val="auto"/>
                <w:sz w:val="24"/>
                <w:szCs w:val="24"/>
              </w:rPr>
              <w:t>排气筒设置合理性</w:t>
            </w:r>
            <w:r>
              <w:rPr>
                <w:rFonts w:hint="eastAsia"/>
                <w:b/>
                <w:bCs/>
                <w:color w:val="auto"/>
                <w:sz w:val="24"/>
                <w:szCs w:val="24"/>
              </w:rPr>
              <w:t>分析</w:t>
            </w:r>
            <w:r>
              <w:rPr>
                <w:b/>
                <w:bCs/>
                <w:color w:val="auto"/>
                <w:sz w:val="24"/>
                <w:szCs w:val="24"/>
              </w:rPr>
              <w:t>：</w:t>
            </w:r>
          </w:p>
          <w:p>
            <w:pPr>
              <w:spacing w:line="360" w:lineRule="auto"/>
              <w:ind w:firstLine="480" w:firstLineChars="200"/>
              <w:rPr>
                <w:sz w:val="24"/>
                <w:szCs w:val="24"/>
              </w:rPr>
            </w:pPr>
            <w:r>
              <w:rPr>
                <w:sz w:val="24"/>
                <w:szCs w:val="24"/>
              </w:rPr>
              <w:t>本项目</w:t>
            </w:r>
            <w:r>
              <w:rPr>
                <w:rFonts w:hint="eastAsia"/>
                <w:sz w:val="24"/>
                <w:szCs w:val="24"/>
              </w:rPr>
              <w:t>设有1</w:t>
            </w:r>
            <w:r>
              <w:rPr>
                <w:sz w:val="24"/>
                <w:szCs w:val="24"/>
              </w:rPr>
              <w:t>个工业废气排气筒。其合理性分析如下：</w:t>
            </w:r>
          </w:p>
          <w:p>
            <w:pPr>
              <w:spacing w:line="360" w:lineRule="auto"/>
              <w:ind w:firstLine="480" w:firstLineChars="200"/>
              <w:rPr>
                <w:sz w:val="24"/>
                <w:szCs w:val="24"/>
              </w:rPr>
            </w:pPr>
            <w:r>
              <w:rPr>
                <w:b/>
                <w:bCs/>
                <w:sz w:val="24"/>
                <w:szCs w:val="24"/>
              </w:rPr>
              <w:t>高度可行性分析</w:t>
            </w:r>
            <w:r>
              <w:rPr>
                <w:rFonts w:hint="eastAsia"/>
                <w:b/>
                <w:bCs/>
                <w:sz w:val="24"/>
                <w:szCs w:val="24"/>
              </w:rPr>
              <w:t>：</w:t>
            </w:r>
            <w:r>
              <w:rPr>
                <w:sz w:val="24"/>
                <w:szCs w:val="24"/>
              </w:rPr>
              <w:t>本项目根据废气处理装置运行情况和污染物性质：</w:t>
            </w:r>
            <w:r>
              <w:rPr>
                <w:rFonts w:hint="eastAsia"/>
                <w:sz w:val="24"/>
                <w:szCs w:val="24"/>
                <w:lang w:eastAsia="zh-CN"/>
              </w:rPr>
              <w:t>本项目收集处理的废气为注塑废气</w:t>
            </w:r>
            <w:r>
              <w:rPr>
                <w:rFonts w:hint="eastAsia"/>
                <w:sz w:val="24"/>
                <w:szCs w:val="24"/>
              </w:rPr>
              <w:t>，设置1根</w:t>
            </w:r>
            <w:r>
              <w:rPr>
                <w:rFonts w:hint="eastAsia"/>
                <w:sz w:val="24"/>
                <w:szCs w:val="24"/>
                <w:lang w:val="en-US" w:eastAsia="zh-CN"/>
              </w:rPr>
              <w:t>15</w:t>
            </w:r>
            <w:r>
              <w:rPr>
                <w:rFonts w:hint="eastAsia"/>
                <w:sz w:val="24"/>
                <w:szCs w:val="24"/>
              </w:rPr>
              <w:t>m高排气筒</w:t>
            </w:r>
            <w:r>
              <w:rPr>
                <w:sz w:val="24"/>
                <w:szCs w:val="24"/>
              </w:rPr>
              <w:t>。根据第7章大气影响预测分析，污染因子在相应的预测模式下，厂界均能达标，对周围大气环境质量影响不大。</w:t>
            </w:r>
          </w:p>
          <w:p>
            <w:pPr>
              <w:spacing w:line="360" w:lineRule="auto"/>
              <w:ind w:firstLine="480" w:firstLineChars="200"/>
              <w:rPr>
                <w:sz w:val="24"/>
                <w:szCs w:val="24"/>
              </w:rPr>
            </w:pPr>
            <w:r>
              <w:rPr>
                <w:sz w:val="24"/>
                <w:szCs w:val="24"/>
              </w:rPr>
              <w:t>根据《大气污染物综合排放标准》</w:t>
            </w:r>
            <w:r>
              <w:rPr>
                <w:rFonts w:hint="eastAsia"/>
                <w:sz w:val="24"/>
                <w:szCs w:val="24"/>
              </w:rPr>
              <w:t>（</w:t>
            </w:r>
            <w:r>
              <w:rPr>
                <w:sz w:val="24"/>
                <w:szCs w:val="24"/>
              </w:rPr>
              <w:t>GB16297-1996</w:t>
            </w:r>
            <w:r>
              <w:rPr>
                <w:rFonts w:hint="eastAsia"/>
                <w:sz w:val="24"/>
                <w:szCs w:val="24"/>
              </w:rPr>
              <w:t>）</w:t>
            </w:r>
            <w:r>
              <w:rPr>
                <w:sz w:val="24"/>
                <w:szCs w:val="24"/>
              </w:rPr>
              <w:t>要求，排气筒的高度应遵守排放速率标准值，建设项目设置排气筒高度均能满足排放速率标准要求；新建污染物的排气筒一般不能低于</w:t>
            </w:r>
            <w:r>
              <w:rPr>
                <w:rFonts w:hint="eastAsia"/>
                <w:sz w:val="24"/>
                <w:szCs w:val="24"/>
              </w:rPr>
              <w:t>15m</w:t>
            </w:r>
            <w:r>
              <w:rPr>
                <w:sz w:val="24"/>
                <w:szCs w:val="24"/>
              </w:rPr>
              <w:t>，建设项目</w:t>
            </w:r>
            <w:r>
              <w:rPr>
                <w:rFonts w:hint="eastAsia"/>
                <w:sz w:val="24"/>
                <w:szCs w:val="24"/>
                <w:lang w:eastAsia="zh-CN"/>
              </w:rPr>
              <w:t>二</w:t>
            </w:r>
            <w:r>
              <w:rPr>
                <w:rFonts w:hint="eastAsia"/>
                <w:sz w:val="24"/>
                <w:szCs w:val="24"/>
              </w:rPr>
              <w:t>层厂房高</w:t>
            </w:r>
            <w:r>
              <w:rPr>
                <w:rFonts w:hint="eastAsia"/>
                <w:sz w:val="24"/>
                <w:szCs w:val="24"/>
                <w:lang w:val="en-US" w:eastAsia="zh-CN"/>
              </w:rPr>
              <w:t>5</w:t>
            </w:r>
            <w:r>
              <w:rPr>
                <w:rFonts w:hint="eastAsia"/>
                <w:sz w:val="24"/>
                <w:szCs w:val="24"/>
              </w:rPr>
              <w:t>m，因此本次</w:t>
            </w:r>
            <w:r>
              <w:rPr>
                <w:sz w:val="24"/>
                <w:szCs w:val="24"/>
              </w:rPr>
              <w:t>设置</w:t>
            </w:r>
            <w:r>
              <w:rPr>
                <w:rFonts w:hint="eastAsia"/>
                <w:sz w:val="24"/>
                <w:szCs w:val="24"/>
              </w:rPr>
              <w:t>的</w:t>
            </w:r>
            <w:r>
              <w:rPr>
                <w:sz w:val="24"/>
                <w:szCs w:val="24"/>
              </w:rPr>
              <w:t>排气筒高度为</w:t>
            </w:r>
            <w:r>
              <w:rPr>
                <w:rFonts w:hint="eastAsia"/>
                <w:sz w:val="24"/>
                <w:szCs w:val="24"/>
                <w:lang w:val="en-US" w:eastAsia="zh-CN"/>
              </w:rPr>
              <w:t>15</w:t>
            </w:r>
            <w:r>
              <w:rPr>
                <w:sz w:val="24"/>
                <w:szCs w:val="24"/>
              </w:rPr>
              <w:t>m</w:t>
            </w:r>
            <w:r>
              <w:rPr>
                <w:rFonts w:hint="eastAsia"/>
                <w:sz w:val="24"/>
                <w:szCs w:val="24"/>
              </w:rPr>
              <w:t>，</w:t>
            </w:r>
            <w:r>
              <w:rPr>
                <w:sz w:val="24"/>
                <w:szCs w:val="24"/>
              </w:rPr>
              <w:t>并设置了采样平台及采样孔。</w:t>
            </w:r>
          </w:p>
          <w:p>
            <w:pPr>
              <w:spacing w:line="360" w:lineRule="auto"/>
              <w:ind w:firstLine="480" w:firstLineChars="200"/>
              <w:rPr>
                <w:sz w:val="24"/>
                <w:szCs w:val="24"/>
              </w:rPr>
            </w:pPr>
            <w:r>
              <w:rPr>
                <w:b/>
                <w:bCs/>
                <w:sz w:val="24"/>
                <w:szCs w:val="24"/>
              </w:rPr>
              <w:t>数量可行性分析</w:t>
            </w:r>
            <w:r>
              <w:rPr>
                <w:rFonts w:hint="eastAsia"/>
                <w:b/>
                <w:bCs/>
                <w:sz w:val="24"/>
                <w:szCs w:val="24"/>
              </w:rPr>
              <w:t>：</w:t>
            </w:r>
            <w:r>
              <w:rPr>
                <w:sz w:val="24"/>
                <w:szCs w:val="24"/>
              </w:rPr>
              <w:t>本项目排气筒的设置数量严格按照车间分布来布置，</w:t>
            </w:r>
            <w:r>
              <w:rPr>
                <w:rFonts w:hint="eastAsia"/>
                <w:sz w:val="24"/>
                <w:szCs w:val="24"/>
                <w:lang w:eastAsia="zh-CN"/>
              </w:rPr>
              <w:t>本项目收集处理的废气为投料粉尘、注塑废气，分别在注塑机的投料口和排气筒产生</w:t>
            </w:r>
            <w:r>
              <w:rPr>
                <w:rFonts w:hint="eastAsia"/>
                <w:sz w:val="24"/>
                <w:szCs w:val="24"/>
              </w:rPr>
              <w:t>，</w:t>
            </w:r>
            <w:r>
              <w:rPr>
                <w:rFonts w:hint="eastAsia"/>
                <w:sz w:val="24"/>
                <w:szCs w:val="24"/>
                <w:lang w:eastAsia="zh-CN"/>
              </w:rPr>
              <w:t>因此设置</w:t>
            </w:r>
            <w:r>
              <w:rPr>
                <w:rFonts w:hint="eastAsia"/>
                <w:sz w:val="24"/>
                <w:szCs w:val="24"/>
                <w:lang w:val="en-US" w:eastAsia="zh-CN"/>
              </w:rPr>
              <w:t>1根排气筒是合理的</w:t>
            </w:r>
            <w:r>
              <w:rPr>
                <w:sz w:val="24"/>
                <w:szCs w:val="24"/>
              </w:rPr>
              <w:t>。排气布置时综合考虑了废气合并处理的适宜性、风量大小、排气筒检修对生产装置带来的影响大小等因素。</w:t>
            </w:r>
          </w:p>
          <w:p>
            <w:pPr>
              <w:spacing w:line="360" w:lineRule="auto"/>
              <w:ind w:firstLine="480" w:firstLineChars="200"/>
              <w:rPr>
                <w:sz w:val="24"/>
                <w:szCs w:val="24"/>
              </w:rPr>
            </w:pPr>
            <w:r>
              <w:rPr>
                <w:b/>
                <w:bCs/>
                <w:sz w:val="24"/>
                <w:szCs w:val="24"/>
              </w:rPr>
              <w:t>风量合理性分析</w:t>
            </w:r>
            <w:r>
              <w:rPr>
                <w:rFonts w:hint="eastAsia"/>
                <w:b/>
                <w:bCs/>
                <w:sz w:val="24"/>
                <w:szCs w:val="24"/>
              </w:rPr>
              <w:t>：</w:t>
            </w:r>
            <w:r>
              <w:rPr>
                <w:sz w:val="24"/>
                <w:szCs w:val="24"/>
              </w:rPr>
              <w:t>经计算，本项目排气筒排放速度为</w:t>
            </w:r>
            <w:r>
              <w:rPr>
                <w:rFonts w:hint="eastAsia"/>
                <w:sz w:val="24"/>
                <w:szCs w:val="24"/>
              </w:rPr>
              <w:t>1</w:t>
            </w:r>
            <w:r>
              <w:rPr>
                <w:rFonts w:hint="eastAsia"/>
                <w:sz w:val="24"/>
                <w:szCs w:val="24"/>
                <w:lang w:val="en-US" w:eastAsia="zh-CN"/>
              </w:rPr>
              <w:t>4.44</w:t>
            </w:r>
            <w:r>
              <w:rPr>
                <w:sz w:val="24"/>
                <w:szCs w:val="24"/>
              </w:rPr>
              <w:t>m/s，在15m/s左右，满足《大气污染治理工程技术导则》（HJ2000-2010）第5.3.5节</w:t>
            </w:r>
            <w:r>
              <w:rPr>
                <w:rFonts w:hint="eastAsia"/>
                <w:sz w:val="24"/>
                <w:szCs w:val="24"/>
              </w:rPr>
              <w:t>“</w:t>
            </w:r>
            <w:r>
              <w:rPr>
                <w:sz w:val="24"/>
                <w:szCs w:val="24"/>
              </w:rPr>
              <w:t>排气筒的出口直径应根据出口流速确定，流速宜取15m/s左右</w:t>
            </w:r>
            <w:r>
              <w:rPr>
                <w:rFonts w:hint="eastAsia"/>
                <w:sz w:val="24"/>
                <w:szCs w:val="24"/>
              </w:rPr>
              <w:t>”</w:t>
            </w:r>
            <w:r>
              <w:rPr>
                <w:sz w:val="24"/>
                <w:szCs w:val="24"/>
              </w:rPr>
              <w:t>的通用技术要求。</w:t>
            </w:r>
          </w:p>
          <w:p>
            <w:pPr>
              <w:spacing w:line="360" w:lineRule="auto"/>
              <w:ind w:firstLine="480" w:firstLineChars="200"/>
              <w:rPr>
                <w:sz w:val="24"/>
                <w:szCs w:val="24"/>
              </w:rPr>
            </w:pPr>
            <w:r>
              <w:rPr>
                <w:b/>
                <w:bCs/>
                <w:sz w:val="24"/>
                <w:szCs w:val="24"/>
              </w:rPr>
              <w:t>位置合理性分析</w:t>
            </w:r>
            <w:r>
              <w:rPr>
                <w:rFonts w:hint="eastAsia"/>
                <w:sz w:val="24"/>
                <w:szCs w:val="24"/>
              </w:rPr>
              <w:t>：</w:t>
            </w:r>
            <w:r>
              <w:rPr>
                <w:sz w:val="24"/>
                <w:szCs w:val="24"/>
              </w:rPr>
              <w:t>建设项目排气筒位于紧邻生产车间的外围或者废气产生装置的周边，有效减少了管道长度。</w:t>
            </w:r>
          </w:p>
          <w:p>
            <w:pPr>
              <w:spacing w:line="360" w:lineRule="auto"/>
              <w:ind w:firstLine="480" w:firstLineChars="200"/>
            </w:pPr>
            <w:r>
              <w:rPr>
                <w:sz w:val="24"/>
                <w:szCs w:val="24"/>
              </w:rPr>
              <w:t>综上所述，建设项目排气筒位置设置是合理的。</w:t>
            </w:r>
          </w:p>
          <w:p>
            <w:pPr>
              <w:autoSpaceDE w:val="0"/>
              <w:autoSpaceDN w:val="0"/>
              <w:adjustRightInd w:val="0"/>
              <w:spacing w:line="360" w:lineRule="auto"/>
              <w:ind w:firstLine="480" w:firstLineChars="200"/>
              <w:rPr>
                <w:b/>
                <w:color w:val="auto"/>
                <w:sz w:val="24"/>
                <w:szCs w:val="21"/>
              </w:rPr>
            </w:pPr>
            <w:r>
              <w:rPr>
                <w:rFonts w:hint="eastAsia"/>
                <w:b/>
                <w:color w:val="auto"/>
                <w:sz w:val="24"/>
                <w:szCs w:val="21"/>
              </w:rPr>
              <w:t>（2）无组织废气</w:t>
            </w:r>
          </w:p>
          <w:p>
            <w:pPr>
              <w:autoSpaceDE w:val="0"/>
              <w:autoSpaceDN w:val="0"/>
              <w:adjustRightInd w:val="0"/>
              <w:spacing w:line="360" w:lineRule="auto"/>
              <w:ind w:firstLine="480" w:firstLineChars="200"/>
              <w:rPr>
                <w:bCs/>
                <w:color w:val="auto"/>
                <w:sz w:val="24"/>
                <w:szCs w:val="24"/>
              </w:rPr>
            </w:pPr>
            <w:r>
              <w:rPr>
                <w:rFonts w:hint="eastAsia"/>
                <w:bCs/>
                <w:color w:val="auto"/>
                <w:sz w:val="24"/>
                <w:szCs w:val="24"/>
              </w:rPr>
              <w:t>本项目无组织废气</w:t>
            </w:r>
            <w:r>
              <w:rPr>
                <w:rFonts w:hint="eastAsia"/>
                <w:bCs/>
                <w:color w:val="auto"/>
                <w:sz w:val="24"/>
                <w:szCs w:val="24"/>
                <w:lang w:eastAsia="zh-CN"/>
              </w:rPr>
              <w:t>为粉尘和未捕集的注塑废气</w:t>
            </w:r>
            <w:r>
              <w:rPr>
                <w:rFonts w:hint="eastAsia"/>
                <w:bCs/>
                <w:color w:val="auto"/>
                <w:sz w:val="24"/>
                <w:szCs w:val="24"/>
              </w:rPr>
              <w:t>，无组织控制措施为：①规范合理设计集气罩及风管，提高各集气罩、风管对废气的捕集效率；②加强生产管理，规范操作，使设备设施处于正常工作状态，减少生产、控制、输送等过程中的废气散发；③</w:t>
            </w:r>
            <w:r>
              <w:rPr>
                <w:rFonts w:hint="eastAsia"/>
                <w:bCs/>
                <w:color w:val="auto"/>
                <w:sz w:val="24"/>
                <w:szCs w:val="24"/>
                <w:lang w:eastAsia="zh-CN"/>
              </w:rPr>
              <w:t>增加车间通风频次，</w:t>
            </w:r>
            <w:r>
              <w:rPr>
                <w:rFonts w:hint="eastAsia"/>
                <w:bCs/>
                <w:color w:val="auto"/>
                <w:sz w:val="24"/>
                <w:szCs w:val="24"/>
              </w:rPr>
              <w:t>确保未捕集的少量废气厂界无组织达标排放。</w:t>
            </w:r>
          </w:p>
          <w:p>
            <w:pPr>
              <w:autoSpaceDE w:val="0"/>
              <w:autoSpaceDN w:val="0"/>
              <w:adjustRightInd w:val="0"/>
              <w:spacing w:line="360" w:lineRule="auto"/>
              <w:ind w:firstLine="480" w:firstLineChars="200"/>
              <w:rPr>
                <w:b/>
                <w:sz w:val="24"/>
                <w:szCs w:val="24"/>
              </w:rPr>
            </w:pPr>
            <w:r>
              <w:rPr>
                <w:b/>
                <w:sz w:val="24"/>
                <w:szCs w:val="24"/>
              </w:rPr>
              <w:t>3、固废防治措施</w:t>
            </w:r>
          </w:p>
          <w:p>
            <w:pPr>
              <w:autoSpaceDE w:val="0"/>
              <w:autoSpaceDN w:val="0"/>
              <w:adjustRightInd w:val="0"/>
              <w:spacing w:line="360" w:lineRule="auto"/>
              <w:ind w:firstLine="480" w:firstLineChars="200"/>
              <w:rPr>
                <w:sz w:val="24"/>
                <w:szCs w:val="24"/>
              </w:rPr>
            </w:pPr>
            <w:r>
              <w:rPr>
                <w:sz w:val="24"/>
                <w:szCs w:val="24"/>
              </w:rPr>
              <w:t>（1）危险固体废物</w:t>
            </w:r>
          </w:p>
          <w:p>
            <w:pPr>
              <w:autoSpaceDE w:val="0"/>
              <w:autoSpaceDN w:val="0"/>
              <w:adjustRightInd w:val="0"/>
              <w:spacing w:line="360" w:lineRule="auto"/>
              <w:ind w:firstLine="480" w:firstLineChars="200"/>
              <w:rPr>
                <w:color w:val="auto"/>
                <w:sz w:val="24"/>
                <w:szCs w:val="24"/>
              </w:rPr>
            </w:pPr>
            <w:r>
              <w:rPr>
                <w:color w:val="auto"/>
                <w:sz w:val="24"/>
                <w:szCs w:val="24"/>
              </w:rPr>
              <w:t>1）危险废物处置方式</w:t>
            </w:r>
          </w:p>
          <w:p>
            <w:pPr>
              <w:autoSpaceDE w:val="0"/>
              <w:autoSpaceDN w:val="0"/>
              <w:adjustRightInd w:val="0"/>
              <w:spacing w:line="360" w:lineRule="auto"/>
              <w:ind w:firstLine="480" w:firstLineChars="200"/>
              <w:rPr>
                <w:color w:val="auto"/>
                <w:sz w:val="24"/>
                <w:szCs w:val="24"/>
              </w:rPr>
            </w:pPr>
            <w:r>
              <w:rPr>
                <w:rFonts w:hint="eastAsia"/>
                <w:color w:val="auto"/>
                <w:sz w:val="24"/>
                <w:szCs w:val="24"/>
              </w:rPr>
              <w:t>本项目产生的危险固废</w:t>
            </w:r>
            <w:r>
              <w:rPr>
                <w:rFonts w:hint="eastAsia"/>
                <w:color w:val="auto"/>
                <w:sz w:val="24"/>
                <w:szCs w:val="24"/>
                <w:lang w:eastAsia="zh-CN"/>
              </w:rPr>
              <w:t>主要</w:t>
            </w:r>
            <w:r>
              <w:rPr>
                <w:rFonts w:hint="eastAsia"/>
                <w:color w:val="auto"/>
                <w:sz w:val="24"/>
                <w:szCs w:val="24"/>
              </w:rPr>
              <w:t>为废</w:t>
            </w:r>
            <w:r>
              <w:rPr>
                <w:rFonts w:hint="eastAsia"/>
                <w:color w:val="auto"/>
                <w:sz w:val="24"/>
                <w:szCs w:val="24"/>
                <w:lang w:eastAsia="zh-CN"/>
              </w:rPr>
              <w:t>切削液</w:t>
            </w:r>
            <w:r>
              <w:rPr>
                <w:rFonts w:hint="eastAsia"/>
                <w:color w:val="auto"/>
                <w:sz w:val="24"/>
                <w:szCs w:val="24"/>
              </w:rPr>
              <w:t>、</w:t>
            </w:r>
            <w:r>
              <w:rPr>
                <w:rFonts w:hint="eastAsia"/>
                <w:color w:val="auto"/>
                <w:sz w:val="24"/>
                <w:szCs w:val="24"/>
                <w:lang w:eastAsia="zh-CN"/>
              </w:rPr>
              <w:t>废</w:t>
            </w:r>
            <w:r>
              <w:rPr>
                <w:rFonts w:hint="eastAsia"/>
                <w:color w:val="auto"/>
                <w:sz w:val="24"/>
                <w:szCs w:val="24"/>
              </w:rPr>
              <w:t>活性炭、</w:t>
            </w:r>
            <w:r>
              <w:rPr>
                <w:rFonts w:hint="eastAsia"/>
                <w:color w:val="auto"/>
                <w:sz w:val="24"/>
                <w:szCs w:val="24"/>
                <w:lang w:eastAsia="zh-CN"/>
              </w:rPr>
              <w:t>废润滑油和</w:t>
            </w:r>
            <w:r>
              <w:rPr>
                <w:rFonts w:hint="eastAsia"/>
                <w:color w:val="auto"/>
                <w:sz w:val="24"/>
                <w:szCs w:val="24"/>
              </w:rPr>
              <w:t>废包装桶</w:t>
            </w:r>
            <w:r>
              <w:rPr>
                <w:rFonts w:hint="eastAsia"/>
                <w:color w:val="auto"/>
                <w:sz w:val="24"/>
                <w:szCs w:val="24"/>
                <w:lang w:eastAsia="zh-CN"/>
              </w:rPr>
              <w:t>、废含油抹布</w:t>
            </w:r>
            <w:r>
              <w:rPr>
                <w:rFonts w:hint="eastAsia"/>
                <w:color w:val="auto"/>
                <w:sz w:val="24"/>
                <w:szCs w:val="24"/>
              </w:rPr>
              <w:t>，</w:t>
            </w:r>
            <w:r>
              <w:rPr>
                <w:rFonts w:hint="eastAsia"/>
                <w:color w:val="auto"/>
                <w:sz w:val="24"/>
                <w:szCs w:val="24"/>
                <w:lang w:eastAsia="zh-CN"/>
              </w:rPr>
              <w:t>其中废含油抹布全程豁免管理，</w:t>
            </w:r>
            <w:r>
              <w:rPr>
                <w:rFonts w:hint="eastAsia"/>
                <w:color w:val="auto"/>
                <w:sz w:val="24"/>
                <w:szCs w:val="24"/>
              </w:rPr>
              <w:t>废</w:t>
            </w:r>
            <w:r>
              <w:rPr>
                <w:rFonts w:hint="eastAsia"/>
                <w:color w:val="auto"/>
                <w:sz w:val="24"/>
                <w:szCs w:val="24"/>
                <w:lang w:eastAsia="zh-CN"/>
              </w:rPr>
              <w:t>切削液</w:t>
            </w:r>
            <w:r>
              <w:rPr>
                <w:rFonts w:hint="eastAsia"/>
                <w:color w:val="auto"/>
                <w:sz w:val="24"/>
                <w:szCs w:val="24"/>
              </w:rPr>
              <w:t>、</w:t>
            </w:r>
            <w:r>
              <w:rPr>
                <w:rFonts w:hint="eastAsia"/>
                <w:color w:val="auto"/>
                <w:sz w:val="24"/>
                <w:szCs w:val="24"/>
                <w:lang w:eastAsia="zh-CN"/>
              </w:rPr>
              <w:t>废</w:t>
            </w:r>
            <w:r>
              <w:rPr>
                <w:rFonts w:hint="eastAsia"/>
                <w:color w:val="auto"/>
                <w:sz w:val="24"/>
                <w:szCs w:val="24"/>
              </w:rPr>
              <w:t>活性炭、</w:t>
            </w:r>
            <w:r>
              <w:rPr>
                <w:rFonts w:hint="eastAsia"/>
                <w:color w:val="auto"/>
                <w:sz w:val="24"/>
                <w:szCs w:val="24"/>
                <w:lang w:eastAsia="zh-CN"/>
              </w:rPr>
              <w:t>废润滑油和</w:t>
            </w:r>
            <w:r>
              <w:rPr>
                <w:rFonts w:hint="eastAsia"/>
                <w:color w:val="auto"/>
                <w:sz w:val="24"/>
                <w:szCs w:val="24"/>
              </w:rPr>
              <w:t>废包装桶经分类收集后委托有资质单位处置。</w:t>
            </w:r>
          </w:p>
          <w:p>
            <w:pPr>
              <w:autoSpaceDE w:val="0"/>
              <w:autoSpaceDN w:val="0"/>
              <w:adjustRightInd w:val="0"/>
              <w:spacing w:line="360" w:lineRule="auto"/>
              <w:ind w:firstLine="480" w:firstLineChars="200"/>
              <w:rPr>
                <w:sz w:val="24"/>
                <w:szCs w:val="24"/>
              </w:rPr>
            </w:pPr>
            <w:r>
              <w:rPr>
                <w:rFonts w:hint="eastAsia"/>
                <w:sz w:val="24"/>
                <w:szCs w:val="24"/>
              </w:rPr>
              <w:t>2</w:t>
            </w:r>
            <w:r>
              <w:rPr>
                <w:sz w:val="24"/>
                <w:szCs w:val="24"/>
              </w:rPr>
              <w:t>）贮存场所（设施）污染防治措施</w:t>
            </w:r>
          </w:p>
          <w:p>
            <w:pPr>
              <w:autoSpaceDE w:val="0"/>
              <w:autoSpaceDN w:val="0"/>
              <w:adjustRightInd w:val="0"/>
              <w:spacing w:line="360" w:lineRule="auto"/>
              <w:ind w:firstLine="480" w:firstLineChars="200"/>
              <w:rPr>
                <w:sz w:val="24"/>
              </w:rPr>
            </w:pPr>
            <w:r>
              <w:rPr>
                <w:sz w:val="24"/>
                <w:szCs w:val="24"/>
              </w:rPr>
              <w:t>厂区应设置1个</w:t>
            </w:r>
            <w:r>
              <w:rPr>
                <w:rFonts w:hint="eastAsia"/>
                <w:sz w:val="24"/>
                <w:szCs w:val="24"/>
              </w:rPr>
              <w:t>危废仓库</w:t>
            </w:r>
            <w:r>
              <w:rPr>
                <w:sz w:val="24"/>
                <w:szCs w:val="24"/>
              </w:rPr>
              <w:t>对危险固废进行安全暂存，</w:t>
            </w:r>
            <w:r>
              <w:rPr>
                <w:sz w:val="24"/>
              </w:rPr>
              <w:t>建筑面积约为</w:t>
            </w:r>
            <w:r>
              <w:rPr>
                <w:rFonts w:hint="eastAsia"/>
                <w:sz w:val="24"/>
                <w:lang w:val="en-US" w:eastAsia="zh-CN"/>
              </w:rPr>
              <w:t>54</w:t>
            </w:r>
            <w:r>
              <w:rPr>
                <w:sz w:val="24"/>
              </w:rPr>
              <w:t>m</w:t>
            </w:r>
            <w:r>
              <w:rPr>
                <w:sz w:val="24"/>
                <w:vertAlign w:val="superscript"/>
              </w:rPr>
              <w:t>2</w:t>
            </w:r>
            <w:r>
              <w:rPr>
                <w:sz w:val="24"/>
              </w:rPr>
              <w:t>。危险废物贮存场所基本情况详见下表。</w:t>
            </w:r>
          </w:p>
          <w:p>
            <w:pPr>
              <w:ind w:firstLine="482"/>
              <w:jc w:val="center"/>
              <w:rPr>
                <w:b/>
                <w:szCs w:val="21"/>
              </w:rPr>
            </w:pPr>
            <w:r>
              <w:rPr>
                <w:b/>
                <w:szCs w:val="21"/>
              </w:rPr>
              <w:t>表5-</w:t>
            </w:r>
            <w:r>
              <w:rPr>
                <w:rFonts w:hint="eastAsia"/>
                <w:b/>
                <w:szCs w:val="21"/>
              </w:rPr>
              <w:t>10</w:t>
            </w:r>
            <w:r>
              <w:rPr>
                <w:b/>
                <w:szCs w:val="21"/>
              </w:rPr>
              <w:t xml:space="preserve"> 危险废物贮存场所基本情况表</w:t>
            </w:r>
          </w:p>
          <w:tbl>
            <w:tblPr>
              <w:tblStyle w:val="56"/>
              <w:tblW w:w="0" w:type="auto"/>
              <w:jc w:val="center"/>
              <w:tblBorders>
                <w:top w:val="single" w:color="auto" w:sz="12" w:space="0"/>
                <w:left w:val="none" w:color="auto" w:sz="0" w:space="0"/>
                <w:bottom w:val="single" w:color="auto" w:sz="12"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
            <w:tblGrid>
              <w:gridCol w:w="427"/>
              <w:gridCol w:w="1166"/>
              <w:gridCol w:w="675"/>
              <w:gridCol w:w="862"/>
              <w:gridCol w:w="1275"/>
              <w:gridCol w:w="968"/>
              <w:gridCol w:w="689"/>
              <w:gridCol w:w="793"/>
              <w:gridCol w:w="709"/>
              <w:gridCol w:w="748"/>
            </w:tblGrid>
            <w:tr>
              <w:tblPrEx>
                <w:tblBorders>
                  <w:top w:val="single" w:color="auto" w:sz="12" w:space="0"/>
                  <w:left w:val="none" w:color="auto" w:sz="0" w:space="0"/>
                  <w:bottom w:val="single" w:color="auto" w:sz="12"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90" w:hRule="atLeast"/>
                <w:jc w:val="center"/>
              </w:trPr>
              <w:tc>
                <w:tcPr>
                  <w:tcW w:w="427" w:type="dxa"/>
                  <w:vAlign w:val="center"/>
                </w:tcPr>
                <w:p>
                  <w:pPr>
                    <w:pStyle w:val="123"/>
                    <w:rPr>
                      <w:b/>
                    </w:rPr>
                  </w:pPr>
                  <w:r>
                    <w:rPr>
                      <w:b/>
                    </w:rPr>
                    <w:t>序号</w:t>
                  </w:r>
                </w:p>
              </w:tc>
              <w:tc>
                <w:tcPr>
                  <w:tcW w:w="1166" w:type="dxa"/>
                  <w:vAlign w:val="center"/>
                </w:tcPr>
                <w:p>
                  <w:pPr>
                    <w:pStyle w:val="123"/>
                    <w:rPr>
                      <w:b/>
                    </w:rPr>
                  </w:pPr>
                  <w:r>
                    <w:rPr>
                      <w:b/>
                    </w:rPr>
                    <w:t>固体废物名称</w:t>
                  </w:r>
                </w:p>
              </w:tc>
              <w:tc>
                <w:tcPr>
                  <w:tcW w:w="675" w:type="dxa"/>
                  <w:vAlign w:val="center"/>
                </w:tcPr>
                <w:p>
                  <w:pPr>
                    <w:pStyle w:val="123"/>
                    <w:rPr>
                      <w:b/>
                    </w:rPr>
                  </w:pPr>
                  <w:r>
                    <w:rPr>
                      <w:b/>
                    </w:rPr>
                    <w:t>贮存场所</w:t>
                  </w:r>
                </w:p>
              </w:tc>
              <w:tc>
                <w:tcPr>
                  <w:tcW w:w="862" w:type="dxa"/>
                  <w:vAlign w:val="center"/>
                </w:tcPr>
                <w:p>
                  <w:pPr>
                    <w:pStyle w:val="123"/>
                    <w:rPr>
                      <w:b/>
                    </w:rPr>
                  </w:pPr>
                  <w:r>
                    <w:rPr>
                      <w:b/>
                    </w:rPr>
                    <w:t>危废类别</w:t>
                  </w:r>
                </w:p>
              </w:tc>
              <w:tc>
                <w:tcPr>
                  <w:tcW w:w="1275" w:type="dxa"/>
                  <w:vAlign w:val="center"/>
                </w:tcPr>
                <w:p>
                  <w:pPr>
                    <w:pStyle w:val="123"/>
                    <w:rPr>
                      <w:b/>
                    </w:rPr>
                  </w:pPr>
                  <w:r>
                    <w:rPr>
                      <w:b/>
                    </w:rPr>
                    <w:t>废物代码</w:t>
                  </w:r>
                </w:p>
              </w:tc>
              <w:tc>
                <w:tcPr>
                  <w:tcW w:w="968" w:type="dxa"/>
                  <w:vAlign w:val="center"/>
                </w:tcPr>
                <w:p>
                  <w:pPr>
                    <w:pStyle w:val="123"/>
                    <w:rPr>
                      <w:b/>
                    </w:rPr>
                  </w:pPr>
                  <w:r>
                    <w:rPr>
                      <w:b/>
                    </w:rPr>
                    <w:t>产生量（t/a）</w:t>
                  </w:r>
                </w:p>
              </w:tc>
              <w:tc>
                <w:tcPr>
                  <w:tcW w:w="689" w:type="dxa"/>
                  <w:vAlign w:val="center"/>
                </w:tcPr>
                <w:p>
                  <w:pPr>
                    <w:pStyle w:val="123"/>
                    <w:rPr>
                      <w:b/>
                    </w:rPr>
                  </w:pPr>
                  <w:r>
                    <w:rPr>
                      <w:b/>
                    </w:rPr>
                    <w:t>占地面积</w:t>
                  </w:r>
                  <w:r>
                    <w:rPr>
                      <w:rFonts w:hint="eastAsia"/>
                      <w:b/>
                    </w:rPr>
                    <w:t>m</w:t>
                  </w:r>
                  <w:r>
                    <w:rPr>
                      <w:rFonts w:hint="eastAsia"/>
                      <w:b/>
                      <w:vertAlign w:val="superscript"/>
                    </w:rPr>
                    <w:t>2</w:t>
                  </w:r>
                </w:p>
              </w:tc>
              <w:tc>
                <w:tcPr>
                  <w:tcW w:w="793" w:type="dxa"/>
                  <w:vAlign w:val="center"/>
                </w:tcPr>
                <w:p>
                  <w:pPr>
                    <w:pStyle w:val="123"/>
                    <w:rPr>
                      <w:b/>
                    </w:rPr>
                  </w:pPr>
                  <w:r>
                    <w:rPr>
                      <w:b/>
                    </w:rPr>
                    <w:t>贮存方式</w:t>
                  </w:r>
                </w:p>
              </w:tc>
              <w:tc>
                <w:tcPr>
                  <w:tcW w:w="709" w:type="dxa"/>
                  <w:vAlign w:val="center"/>
                </w:tcPr>
                <w:p>
                  <w:pPr>
                    <w:pStyle w:val="123"/>
                    <w:rPr>
                      <w:b/>
                    </w:rPr>
                  </w:pPr>
                  <w:r>
                    <w:rPr>
                      <w:b/>
                    </w:rPr>
                    <w:t>贮存能力</w:t>
                  </w:r>
                  <w:r>
                    <w:rPr>
                      <w:rFonts w:hint="eastAsia"/>
                    </w:rPr>
                    <w:t>t</w:t>
                  </w:r>
                </w:p>
              </w:tc>
              <w:tc>
                <w:tcPr>
                  <w:tcW w:w="748" w:type="dxa"/>
                  <w:vAlign w:val="center"/>
                </w:tcPr>
                <w:p>
                  <w:pPr>
                    <w:pStyle w:val="123"/>
                    <w:rPr>
                      <w:b/>
                    </w:rPr>
                  </w:pPr>
                  <w:r>
                    <w:rPr>
                      <w:b/>
                    </w:rPr>
                    <w:t>贮存周期</w:t>
                  </w:r>
                </w:p>
              </w:tc>
            </w:tr>
            <w:tr>
              <w:tblPrEx>
                <w:tblBorders>
                  <w:top w:val="single" w:color="auto" w:sz="12" w:space="0"/>
                  <w:left w:val="none" w:color="auto" w:sz="0" w:space="0"/>
                  <w:bottom w:val="single" w:color="auto" w:sz="12"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490" w:hRule="atLeast"/>
                <w:jc w:val="center"/>
              </w:trPr>
              <w:tc>
                <w:tcPr>
                  <w:tcW w:w="427" w:type="dxa"/>
                  <w:vAlign w:val="center"/>
                </w:tcPr>
                <w:p>
                  <w:pPr>
                    <w:pStyle w:val="123"/>
                    <w:rPr>
                      <w:rFonts w:hint="eastAsia"/>
                      <w:color w:val="auto"/>
                      <w:sz w:val="21"/>
                      <w:szCs w:val="21"/>
                    </w:rPr>
                  </w:pPr>
                  <w:r>
                    <w:rPr>
                      <w:rFonts w:hint="eastAsia"/>
                      <w:color w:val="auto"/>
                      <w:sz w:val="21"/>
                      <w:szCs w:val="21"/>
                    </w:rPr>
                    <w:t>1</w:t>
                  </w:r>
                </w:p>
              </w:tc>
              <w:tc>
                <w:tcPr>
                  <w:tcW w:w="1166" w:type="dxa"/>
                  <w:vAlign w:val="center"/>
                </w:tcPr>
                <w:p>
                  <w:pPr>
                    <w:pStyle w:val="123"/>
                    <w:rPr>
                      <w:rFonts w:hint="eastAsia" w:ascii="Times New Roman" w:hAnsi="Times New Roman" w:eastAsia="宋体" w:cs="Times New Roman"/>
                      <w:color w:val="auto"/>
                      <w:kern w:val="18"/>
                      <w:sz w:val="21"/>
                      <w:szCs w:val="21"/>
                      <w:lang w:val="en-US" w:eastAsia="zh-CN" w:bidi="ar-SA"/>
                    </w:rPr>
                  </w:pPr>
                  <w:r>
                    <w:rPr>
                      <w:rFonts w:hint="eastAsia"/>
                      <w:color w:val="auto"/>
                      <w:sz w:val="21"/>
                      <w:szCs w:val="21"/>
                    </w:rPr>
                    <w:t>废切削液</w:t>
                  </w:r>
                </w:p>
              </w:tc>
              <w:tc>
                <w:tcPr>
                  <w:tcW w:w="675" w:type="dxa"/>
                  <w:vMerge w:val="restart"/>
                  <w:vAlign w:val="center"/>
                </w:tcPr>
                <w:p>
                  <w:pPr>
                    <w:pStyle w:val="123"/>
                    <w:rPr>
                      <w:color w:val="auto"/>
                      <w:sz w:val="21"/>
                      <w:szCs w:val="21"/>
                    </w:rPr>
                  </w:pPr>
                  <w:r>
                    <w:rPr>
                      <w:rFonts w:hint="eastAsia"/>
                      <w:color w:val="auto"/>
                      <w:sz w:val="21"/>
                      <w:szCs w:val="21"/>
                    </w:rPr>
                    <w:t>危废仓库</w:t>
                  </w:r>
                  <w:r>
                    <w:rPr>
                      <w:rFonts w:hint="eastAsia"/>
                      <w:color w:val="auto"/>
                      <w:sz w:val="21"/>
                      <w:szCs w:val="21"/>
                      <w:lang w:val="en-US" w:eastAsia="zh-CN"/>
                    </w:rPr>
                    <w:t>54</w:t>
                  </w:r>
                  <w:r>
                    <w:rPr>
                      <w:color w:val="auto"/>
                      <w:sz w:val="21"/>
                      <w:szCs w:val="21"/>
                    </w:rPr>
                    <w:t>m</w:t>
                  </w:r>
                  <w:r>
                    <w:rPr>
                      <w:color w:val="auto"/>
                      <w:sz w:val="21"/>
                      <w:szCs w:val="21"/>
                      <w:vertAlign w:val="superscript"/>
                    </w:rPr>
                    <w:t>2</w:t>
                  </w:r>
                </w:p>
              </w:tc>
              <w:tc>
                <w:tcPr>
                  <w:tcW w:w="862" w:type="dxa"/>
                  <w:vAlign w:val="center"/>
                </w:tcPr>
                <w:p>
                  <w:pPr>
                    <w:widowControl/>
                    <w:adjustRightInd w:val="0"/>
                    <w:snapToGrid w:val="0"/>
                    <w:ind w:left="-105" w:leftChars="-50" w:right="-105" w:rightChars="-50"/>
                    <w:jc w:val="center"/>
                    <w:rPr>
                      <w:rFonts w:hint="eastAsia" w:ascii="Times New Roman" w:hAnsi="Times New Roman" w:eastAsia="宋体" w:cs="Times New Roman"/>
                      <w:color w:val="auto"/>
                      <w:kern w:val="2"/>
                      <w:sz w:val="21"/>
                      <w:szCs w:val="21"/>
                      <w:lang w:val="en-US" w:eastAsia="zh-CN" w:bidi="ar-SA"/>
                    </w:rPr>
                  </w:pPr>
                  <w:r>
                    <w:rPr>
                      <w:color w:val="auto"/>
                      <w:kern w:val="18"/>
                      <w:sz w:val="21"/>
                      <w:szCs w:val="21"/>
                    </w:rPr>
                    <w:t>HW09</w:t>
                  </w:r>
                </w:p>
              </w:tc>
              <w:tc>
                <w:tcPr>
                  <w:tcW w:w="1275" w:type="dxa"/>
                  <w:vAlign w:val="center"/>
                </w:tcPr>
                <w:p>
                  <w:pPr>
                    <w:widowControl/>
                    <w:adjustRightInd w:val="0"/>
                    <w:snapToGrid w:val="0"/>
                    <w:ind w:left="-105" w:leftChars="-50" w:right="-105" w:rightChars="-50"/>
                    <w:jc w:val="center"/>
                    <w:rPr>
                      <w:rFonts w:hint="eastAsia" w:ascii="Times New Roman" w:hAnsi="Times New Roman" w:eastAsia="宋体" w:cs="Times New Roman"/>
                      <w:color w:val="auto"/>
                      <w:kern w:val="2"/>
                      <w:sz w:val="21"/>
                      <w:szCs w:val="21"/>
                      <w:lang w:val="en-US" w:eastAsia="zh-CN" w:bidi="ar-SA"/>
                    </w:rPr>
                  </w:pPr>
                  <w:r>
                    <w:rPr>
                      <w:color w:val="auto"/>
                      <w:kern w:val="18"/>
                      <w:sz w:val="21"/>
                      <w:szCs w:val="21"/>
                    </w:rPr>
                    <w:t>900-006-09</w:t>
                  </w:r>
                </w:p>
              </w:tc>
              <w:tc>
                <w:tcPr>
                  <w:tcW w:w="968" w:type="dxa"/>
                  <w:vAlign w:val="center"/>
                </w:tcPr>
                <w:p>
                  <w:pPr>
                    <w:jc w:val="center"/>
                    <w:rPr>
                      <w:rFonts w:hint="eastAsia" w:ascii="Times New Roman" w:hAnsi="Times New Roman" w:eastAsia="宋体" w:cs="Times New Roman"/>
                      <w:color w:val="auto"/>
                      <w:kern w:val="2"/>
                      <w:sz w:val="21"/>
                      <w:szCs w:val="21"/>
                      <w:lang w:val="en-US" w:eastAsia="zh-CN" w:bidi="ar-SA"/>
                    </w:rPr>
                  </w:pPr>
                  <w:r>
                    <w:rPr>
                      <w:rFonts w:hint="eastAsia"/>
                      <w:color w:val="auto"/>
                      <w:sz w:val="21"/>
                      <w:szCs w:val="21"/>
                      <w:lang w:val="en-US" w:eastAsia="zh-CN"/>
                    </w:rPr>
                    <w:t>1.68</w:t>
                  </w:r>
                </w:p>
              </w:tc>
              <w:tc>
                <w:tcPr>
                  <w:tcW w:w="689" w:type="dxa"/>
                  <w:vAlign w:val="center"/>
                </w:tcPr>
                <w:p>
                  <w:pPr>
                    <w:pStyle w:val="123"/>
                    <w:rPr>
                      <w:rFonts w:hint="default" w:eastAsia="宋体"/>
                      <w:color w:val="auto"/>
                      <w:sz w:val="21"/>
                      <w:szCs w:val="21"/>
                      <w:lang w:val="en-US" w:eastAsia="zh-CN"/>
                    </w:rPr>
                  </w:pPr>
                  <w:r>
                    <w:rPr>
                      <w:rFonts w:hint="eastAsia"/>
                      <w:color w:val="auto"/>
                      <w:sz w:val="21"/>
                      <w:szCs w:val="21"/>
                      <w:lang w:val="en-US" w:eastAsia="zh-CN"/>
                    </w:rPr>
                    <w:t>10</w:t>
                  </w:r>
                </w:p>
              </w:tc>
              <w:tc>
                <w:tcPr>
                  <w:tcW w:w="793" w:type="dxa"/>
                  <w:vAlign w:val="center"/>
                </w:tcPr>
                <w:p>
                  <w:pPr>
                    <w:pStyle w:val="123"/>
                    <w:rPr>
                      <w:rFonts w:hint="eastAsia" w:ascii="Times New Roman" w:hAnsi="Times New Roman" w:eastAsia="宋体" w:cs="Times New Roman"/>
                      <w:color w:val="auto"/>
                      <w:kern w:val="18"/>
                      <w:sz w:val="21"/>
                      <w:szCs w:val="21"/>
                      <w:lang w:val="en-US" w:eastAsia="zh-CN" w:bidi="ar-SA"/>
                    </w:rPr>
                  </w:pPr>
                  <w:r>
                    <w:rPr>
                      <w:rFonts w:hint="eastAsia"/>
                      <w:color w:val="auto"/>
                      <w:sz w:val="21"/>
                      <w:szCs w:val="21"/>
                    </w:rPr>
                    <w:t>桶装</w:t>
                  </w:r>
                </w:p>
              </w:tc>
              <w:tc>
                <w:tcPr>
                  <w:tcW w:w="709" w:type="dxa"/>
                  <w:vAlign w:val="center"/>
                </w:tcPr>
                <w:p>
                  <w:pPr>
                    <w:jc w:val="center"/>
                    <w:rPr>
                      <w:rFonts w:hint="default" w:eastAsia="宋体"/>
                      <w:color w:val="auto"/>
                      <w:sz w:val="21"/>
                      <w:szCs w:val="21"/>
                      <w:lang w:val="en-US" w:eastAsia="zh-CN"/>
                    </w:rPr>
                  </w:pPr>
                  <w:r>
                    <w:rPr>
                      <w:rFonts w:hint="eastAsia"/>
                      <w:color w:val="auto"/>
                      <w:sz w:val="21"/>
                      <w:szCs w:val="21"/>
                      <w:lang w:val="en-US" w:eastAsia="zh-CN"/>
                    </w:rPr>
                    <w:t>1.68</w:t>
                  </w:r>
                </w:p>
              </w:tc>
              <w:tc>
                <w:tcPr>
                  <w:tcW w:w="748" w:type="dxa"/>
                  <w:vAlign w:val="center"/>
                </w:tcPr>
                <w:p>
                  <w:pPr>
                    <w:rPr>
                      <w:rFonts w:hint="default" w:eastAsia="宋体"/>
                      <w:color w:val="auto"/>
                      <w:sz w:val="21"/>
                      <w:szCs w:val="21"/>
                      <w:lang w:val="en-US" w:eastAsia="zh-CN"/>
                    </w:rPr>
                  </w:pPr>
                  <w:r>
                    <w:rPr>
                      <w:rFonts w:hint="eastAsia"/>
                      <w:color w:val="auto"/>
                      <w:sz w:val="21"/>
                      <w:szCs w:val="21"/>
                      <w:lang w:val="en-US" w:eastAsia="zh-CN"/>
                    </w:rPr>
                    <w:t>12个月</w:t>
                  </w:r>
                </w:p>
              </w:tc>
            </w:tr>
            <w:tr>
              <w:tblPrEx>
                <w:tblBorders>
                  <w:top w:val="single" w:color="auto" w:sz="12" w:space="0"/>
                  <w:left w:val="none" w:color="auto" w:sz="0" w:space="0"/>
                  <w:bottom w:val="single" w:color="auto" w:sz="12"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490" w:hRule="atLeast"/>
                <w:jc w:val="center"/>
              </w:trPr>
              <w:tc>
                <w:tcPr>
                  <w:tcW w:w="427" w:type="dxa"/>
                  <w:vAlign w:val="center"/>
                </w:tcPr>
                <w:p>
                  <w:pPr>
                    <w:pStyle w:val="123"/>
                    <w:rPr>
                      <w:rFonts w:hint="eastAsia"/>
                      <w:color w:val="auto"/>
                      <w:sz w:val="21"/>
                      <w:szCs w:val="21"/>
                    </w:rPr>
                  </w:pPr>
                  <w:r>
                    <w:rPr>
                      <w:rFonts w:hint="eastAsia"/>
                      <w:color w:val="auto"/>
                      <w:sz w:val="21"/>
                      <w:szCs w:val="21"/>
                    </w:rPr>
                    <w:t>2</w:t>
                  </w:r>
                </w:p>
              </w:tc>
              <w:tc>
                <w:tcPr>
                  <w:tcW w:w="1166" w:type="dxa"/>
                  <w:vAlign w:val="center"/>
                </w:tcPr>
                <w:p>
                  <w:pPr>
                    <w:jc w:val="center"/>
                    <w:rPr>
                      <w:rFonts w:hint="eastAsia" w:ascii="Times New Roman" w:hAnsi="Times New Roman" w:eastAsia="宋体" w:cs="Times New Roman"/>
                      <w:color w:val="auto"/>
                      <w:kern w:val="2"/>
                      <w:sz w:val="21"/>
                      <w:szCs w:val="21"/>
                      <w:lang w:val="en-US" w:eastAsia="zh-CN" w:bidi="ar-SA"/>
                    </w:rPr>
                  </w:pPr>
                  <w:r>
                    <w:rPr>
                      <w:rFonts w:hint="eastAsia"/>
                      <w:color w:val="auto"/>
                      <w:sz w:val="21"/>
                      <w:szCs w:val="21"/>
                    </w:rPr>
                    <w:t>废活性炭</w:t>
                  </w:r>
                </w:p>
              </w:tc>
              <w:tc>
                <w:tcPr>
                  <w:tcW w:w="675" w:type="dxa"/>
                  <w:vMerge w:val="continue"/>
                  <w:vAlign w:val="center"/>
                </w:tcPr>
                <w:p>
                  <w:pPr>
                    <w:pStyle w:val="123"/>
                    <w:rPr>
                      <w:color w:val="auto"/>
                      <w:sz w:val="21"/>
                      <w:szCs w:val="21"/>
                    </w:rPr>
                  </w:pPr>
                </w:p>
              </w:tc>
              <w:tc>
                <w:tcPr>
                  <w:tcW w:w="862" w:type="dxa"/>
                  <w:vAlign w:val="center"/>
                </w:tcPr>
                <w:p>
                  <w:pPr>
                    <w:jc w:val="center"/>
                    <w:rPr>
                      <w:rFonts w:hint="eastAsia" w:ascii="Times New Roman" w:hAnsi="Times New Roman" w:eastAsia="宋体" w:cs="Times New Roman"/>
                      <w:color w:val="auto"/>
                      <w:kern w:val="2"/>
                      <w:sz w:val="21"/>
                      <w:szCs w:val="21"/>
                      <w:lang w:val="en-US" w:eastAsia="zh-CN" w:bidi="ar-SA"/>
                    </w:rPr>
                  </w:pPr>
                  <w:r>
                    <w:rPr>
                      <w:rFonts w:hint="eastAsia"/>
                      <w:color w:val="auto"/>
                      <w:sz w:val="21"/>
                      <w:szCs w:val="21"/>
                    </w:rPr>
                    <w:t>HW49</w:t>
                  </w:r>
                </w:p>
              </w:tc>
              <w:tc>
                <w:tcPr>
                  <w:tcW w:w="1275" w:type="dxa"/>
                  <w:vAlign w:val="center"/>
                </w:tcPr>
                <w:p>
                  <w:pPr>
                    <w:jc w:val="center"/>
                    <w:rPr>
                      <w:rFonts w:hint="eastAsia" w:ascii="Times New Roman" w:hAnsi="Times New Roman" w:eastAsia="宋体" w:cs="Times New Roman"/>
                      <w:color w:val="auto"/>
                      <w:kern w:val="2"/>
                      <w:sz w:val="21"/>
                      <w:szCs w:val="21"/>
                      <w:lang w:val="en-US" w:eastAsia="zh-CN" w:bidi="ar-SA"/>
                    </w:rPr>
                  </w:pPr>
                  <w:r>
                    <w:rPr>
                      <w:rFonts w:hint="eastAsia"/>
                      <w:color w:val="auto"/>
                      <w:sz w:val="21"/>
                      <w:szCs w:val="21"/>
                    </w:rPr>
                    <w:t>900-041-49</w:t>
                  </w:r>
                </w:p>
              </w:tc>
              <w:tc>
                <w:tcPr>
                  <w:tcW w:w="968" w:type="dxa"/>
                  <w:vAlign w:val="center"/>
                </w:tcPr>
                <w:p>
                  <w:pPr>
                    <w:jc w:val="center"/>
                    <w:rPr>
                      <w:rFonts w:hint="default" w:ascii="Times New Roman" w:hAnsi="Times New Roman" w:eastAsia="宋体" w:cs="Times New Roman"/>
                      <w:color w:val="auto"/>
                      <w:kern w:val="2"/>
                      <w:sz w:val="21"/>
                      <w:szCs w:val="21"/>
                      <w:lang w:val="en-US" w:eastAsia="zh-CN" w:bidi="ar-SA"/>
                    </w:rPr>
                  </w:pPr>
                  <w:r>
                    <w:rPr>
                      <w:rFonts w:hint="eastAsia"/>
                      <w:color w:val="auto"/>
                      <w:sz w:val="21"/>
                      <w:szCs w:val="21"/>
                      <w:lang w:val="en-US" w:eastAsia="zh-CN"/>
                    </w:rPr>
                    <w:t>0.002</w:t>
                  </w:r>
                </w:p>
              </w:tc>
              <w:tc>
                <w:tcPr>
                  <w:tcW w:w="689" w:type="dxa"/>
                  <w:vAlign w:val="center"/>
                </w:tcPr>
                <w:p>
                  <w:pPr>
                    <w:pStyle w:val="123"/>
                    <w:rPr>
                      <w:rFonts w:hint="eastAsia" w:eastAsia="宋体"/>
                      <w:color w:val="auto"/>
                      <w:sz w:val="21"/>
                      <w:szCs w:val="21"/>
                      <w:lang w:val="en-US" w:eastAsia="zh-CN"/>
                    </w:rPr>
                  </w:pPr>
                  <w:r>
                    <w:rPr>
                      <w:rFonts w:hint="eastAsia"/>
                      <w:color w:val="auto"/>
                      <w:sz w:val="21"/>
                      <w:szCs w:val="21"/>
                      <w:lang w:val="en-US" w:eastAsia="zh-CN"/>
                    </w:rPr>
                    <w:t>1</w:t>
                  </w:r>
                </w:p>
              </w:tc>
              <w:tc>
                <w:tcPr>
                  <w:tcW w:w="793" w:type="dxa"/>
                  <w:vAlign w:val="center"/>
                </w:tcPr>
                <w:p>
                  <w:pPr>
                    <w:pStyle w:val="123"/>
                    <w:rPr>
                      <w:rFonts w:hint="eastAsia" w:ascii="Times New Roman" w:hAnsi="Times New Roman" w:eastAsia="宋体" w:cs="Times New Roman"/>
                      <w:color w:val="auto"/>
                      <w:kern w:val="18"/>
                      <w:sz w:val="21"/>
                      <w:szCs w:val="21"/>
                      <w:lang w:val="en-US" w:eastAsia="zh-CN" w:bidi="ar-SA"/>
                    </w:rPr>
                  </w:pPr>
                  <w:r>
                    <w:rPr>
                      <w:rFonts w:hint="eastAsia"/>
                      <w:color w:val="auto"/>
                      <w:sz w:val="21"/>
                      <w:szCs w:val="21"/>
                    </w:rPr>
                    <w:t>袋装</w:t>
                  </w:r>
                </w:p>
              </w:tc>
              <w:tc>
                <w:tcPr>
                  <w:tcW w:w="709" w:type="dxa"/>
                  <w:vAlign w:val="center"/>
                </w:tcPr>
                <w:p>
                  <w:pPr>
                    <w:jc w:val="center"/>
                    <w:rPr>
                      <w:rFonts w:hint="default" w:eastAsia="宋体"/>
                      <w:color w:val="auto"/>
                      <w:sz w:val="21"/>
                      <w:szCs w:val="21"/>
                      <w:lang w:val="en-US" w:eastAsia="zh-CN"/>
                    </w:rPr>
                  </w:pPr>
                  <w:r>
                    <w:rPr>
                      <w:rFonts w:hint="eastAsia"/>
                      <w:color w:val="auto"/>
                      <w:sz w:val="21"/>
                      <w:szCs w:val="21"/>
                      <w:lang w:val="en-US" w:eastAsia="zh-CN"/>
                    </w:rPr>
                    <w:t>0.5</w:t>
                  </w:r>
                </w:p>
              </w:tc>
              <w:tc>
                <w:tcPr>
                  <w:tcW w:w="748" w:type="dxa"/>
                  <w:vAlign w:val="center"/>
                </w:tcPr>
                <w:p>
                  <w:pPr>
                    <w:rPr>
                      <w:rFonts w:hint="eastAsia"/>
                      <w:color w:val="auto"/>
                      <w:sz w:val="21"/>
                      <w:szCs w:val="21"/>
                    </w:rPr>
                  </w:pPr>
                  <w:r>
                    <w:rPr>
                      <w:rFonts w:hint="eastAsia"/>
                      <w:color w:val="auto"/>
                      <w:sz w:val="21"/>
                      <w:szCs w:val="21"/>
                      <w:lang w:val="en-US" w:eastAsia="zh-CN"/>
                    </w:rPr>
                    <w:t>12个月</w:t>
                  </w:r>
                </w:p>
              </w:tc>
            </w:tr>
            <w:tr>
              <w:tblPrEx>
                <w:tblBorders>
                  <w:top w:val="single" w:color="auto" w:sz="12" w:space="0"/>
                  <w:left w:val="none" w:color="auto" w:sz="0" w:space="0"/>
                  <w:bottom w:val="single" w:color="auto" w:sz="12"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490" w:hRule="atLeast"/>
                <w:jc w:val="center"/>
              </w:trPr>
              <w:tc>
                <w:tcPr>
                  <w:tcW w:w="427" w:type="dxa"/>
                  <w:vAlign w:val="center"/>
                </w:tcPr>
                <w:p>
                  <w:pPr>
                    <w:pStyle w:val="123"/>
                    <w:rPr>
                      <w:rFonts w:hint="eastAsia"/>
                      <w:color w:val="auto"/>
                      <w:sz w:val="21"/>
                      <w:szCs w:val="21"/>
                    </w:rPr>
                  </w:pPr>
                  <w:r>
                    <w:rPr>
                      <w:rFonts w:hint="eastAsia"/>
                      <w:color w:val="auto"/>
                      <w:sz w:val="21"/>
                      <w:szCs w:val="21"/>
                    </w:rPr>
                    <w:t>3</w:t>
                  </w:r>
                </w:p>
              </w:tc>
              <w:tc>
                <w:tcPr>
                  <w:tcW w:w="1166" w:type="dxa"/>
                  <w:vAlign w:val="center"/>
                </w:tcPr>
                <w:p>
                  <w:pPr>
                    <w:jc w:val="center"/>
                    <w:rPr>
                      <w:rFonts w:hint="eastAsia" w:ascii="Times New Roman" w:hAnsi="Times New Roman" w:eastAsia="宋体" w:cs="Times New Roman"/>
                      <w:color w:val="auto"/>
                      <w:kern w:val="2"/>
                      <w:sz w:val="21"/>
                      <w:szCs w:val="21"/>
                      <w:lang w:val="en-US" w:eastAsia="zh-CN" w:bidi="ar-SA"/>
                    </w:rPr>
                  </w:pPr>
                  <w:r>
                    <w:rPr>
                      <w:rFonts w:hint="eastAsia"/>
                      <w:color w:val="auto"/>
                      <w:sz w:val="21"/>
                      <w:szCs w:val="21"/>
                    </w:rPr>
                    <w:t>废润滑油</w:t>
                  </w:r>
                </w:p>
              </w:tc>
              <w:tc>
                <w:tcPr>
                  <w:tcW w:w="675" w:type="dxa"/>
                  <w:vMerge w:val="continue"/>
                  <w:vAlign w:val="center"/>
                </w:tcPr>
                <w:p>
                  <w:pPr>
                    <w:pStyle w:val="123"/>
                    <w:rPr>
                      <w:color w:val="auto"/>
                      <w:sz w:val="21"/>
                      <w:szCs w:val="21"/>
                    </w:rPr>
                  </w:pPr>
                </w:p>
              </w:tc>
              <w:tc>
                <w:tcPr>
                  <w:tcW w:w="862" w:type="dxa"/>
                  <w:vAlign w:val="center"/>
                </w:tcPr>
                <w:p>
                  <w:pPr>
                    <w:jc w:val="center"/>
                    <w:rPr>
                      <w:rFonts w:hint="eastAsia" w:ascii="Times New Roman" w:hAnsi="Times New Roman" w:eastAsia="宋体" w:cs="Times New Roman"/>
                      <w:color w:val="auto"/>
                      <w:kern w:val="2"/>
                      <w:sz w:val="21"/>
                      <w:szCs w:val="21"/>
                      <w:lang w:val="en-US" w:eastAsia="zh-CN" w:bidi="ar-SA"/>
                    </w:rPr>
                  </w:pPr>
                  <w:r>
                    <w:rPr>
                      <w:rFonts w:hint="eastAsia"/>
                      <w:color w:val="auto"/>
                      <w:sz w:val="21"/>
                      <w:szCs w:val="21"/>
                    </w:rPr>
                    <w:t>HW08</w:t>
                  </w:r>
                </w:p>
              </w:tc>
              <w:tc>
                <w:tcPr>
                  <w:tcW w:w="1275" w:type="dxa"/>
                  <w:vAlign w:val="center"/>
                </w:tcPr>
                <w:p>
                  <w:pPr>
                    <w:jc w:val="center"/>
                    <w:rPr>
                      <w:rFonts w:hint="eastAsia" w:ascii="Times New Roman" w:hAnsi="Times New Roman" w:eastAsia="宋体" w:cs="Times New Roman"/>
                      <w:color w:val="auto"/>
                      <w:kern w:val="2"/>
                      <w:sz w:val="21"/>
                      <w:szCs w:val="21"/>
                      <w:lang w:val="en-US" w:eastAsia="zh-CN" w:bidi="ar-SA"/>
                    </w:rPr>
                  </w:pPr>
                  <w:r>
                    <w:rPr>
                      <w:rFonts w:hint="eastAsia"/>
                      <w:color w:val="auto"/>
                      <w:sz w:val="21"/>
                      <w:szCs w:val="21"/>
                    </w:rPr>
                    <w:t>900-217-08</w:t>
                  </w:r>
                </w:p>
              </w:tc>
              <w:tc>
                <w:tcPr>
                  <w:tcW w:w="968" w:type="dxa"/>
                  <w:vAlign w:val="center"/>
                </w:tcPr>
                <w:p>
                  <w:pPr>
                    <w:jc w:val="center"/>
                    <w:rPr>
                      <w:rFonts w:hint="eastAsia" w:ascii="Times New Roman" w:hAnsi="Times New Roman" w:eastAsia="宋体" w:cs="Times New Roman"/>
                      <w:color w:val="auto"/>
                      <w:kern w:val="2"/>
                      <w:sz w:val="21"/>
                      <w:szCs w:val="21"/>
                      <w:lang w:val="en-US" w:eastAsia="zh-CN" w:bidi="ar-SA"/>
                    </w:rPr>
                  </w:pPr>
                  <w:r>
                    <w:rPr>
                      <w:rFonts w:hint="eastAsia"/>
                      <w:color w:val="auto"/>
                      <w:sz w:val="21"/>
                      <w:szCs w:val="21"/>
                    </w:rPr>
                    <w:t>0.</w:t>
                  </w:r>
                  <w:r>
                    <w:rPr>
                      <w:rFonts w:hint="eastAsia"/>
                      <w:color w:val="auto"/>
                      <w:sz w:val="21"/>
                      <w:szCs w:val="21"/>
                      <w:lang w:val="en-US" w:eastAsia="zh-CN"/>
                    </w:rPr>
                    <w:t>3</w:t>
                  </w:r>
                </w:p>
              </w:tc>
              <w:tc>
                <w:tcPr>
                  <w:tcW w:w="689" w:type="dxa"/>
                  <w:vAlign w:val="center"/>
                </w:tcPr>
                <w:p>
                  <w:pPr>
                    <w:pStyle w:val="123"/>
                    <w:rPr>
                      <w:rFonts w:hint="default" w:eastAsia="宋体"/>
                      <w:color w:val="auto"/>
                      <w:sz w:val="21"/>
                      <w:szCs w:val="21"/>
                      <w:lang w:val="en-US" w:eastAsia="zh-CN"/>
                    </w:rPr>
                  </w:pPr>
                  <w:r>
                    <w:rPr>
                      <w:rFonts w:hint="eastAsia"/>
                      <w:color w:val="auto"/>
                      <w:sz w:val="21"/>
                      <w:szCs w:val="21"/>
                      <w:lang w:val="en-US" w:eastAsia="zh-CN"/>
                    </w:rPr>
                    <w:t>0.5</w:t>
                  </w:r>
                </w:p>
              </w:tc>
              <w:tc>
                <w:tcPr>
                  <w:tcW w:w="793" w:type="dxa"/>
                  <w:vAlign w:val="center"/>
                </w:tcPr>
                <w:p>
                  <w:pPr>
                    <w:pStyle w:val="123"/>
                    <w:rPr>
                      <w:rFonts w:hint="eastAsia" w:ascii="Times New Roman" w:hAnsi="Times New Roman" w:eastAsia="宋体" w:cs="Times New Roman"/>
                      <w:color w:val="auto"/>
                      <w:kern w:val="18"/>
                      <w:sz w:val="21"/>
                      <w:szCs w:val="21"/>
                      <w:lang w:val="en-US" w:eastAsia="zh-CN" w:bidi="ar-SA"/>
                    </w:rPr>
                  </w:pPr>
                  <w:r>
                    <w:rPr>
                      <w:rFonts w:hint="eastAsia"/>
                      <w:color w:val="auto"/>
                      <w:sz w:val="21"/>
                      <w:szCs w:val="21"/>
                    </w:rPr>
                    <w:t>桶装</w:t>
                  </w:r>
                </w:p>
              </w:tc>
              <w:tc>
                <w:tcPr>
                  <w:tcW w:w="709" w:type="dxa"/>
                  <w:vAlign w:val="center"/>
                </w:tcPr>
                <w:p>
                  <w:pPr>
                    <w:jc w:val="center"/>
                    <w:rPr>
                      <w:rFonts w:hint="default" w:eastAsia="宋体"/>
                      <w:color w:val="auto"/>
                      <w:sz w:val="21"/>
                      <w:szCs w:val="21"/>
                      <w:lang w:val="en-US" w:eastAsia="zh-CN"/>
                    </w:rPr>
                  </w:pPr>
                  <w:r>
                    <w:rPr>
                      <w:rFonts w:hint="eastAsia"/>
                      <w:color w:val="auto"/>
                      <w:sz w:val="21"/>
                      <w:szCs w:val="21"/>
                    </w:rPr>
                    <w:t>0.</w:t>
                  </w:r>
                  <w:r>
                    <w:rPr>
                      <w:rFonts w:hint="eastAsia"/>
                      <w:color w:val="auto"/>
                      <w:sz w:val="21"/>
                      <w:szCs w:val="21"/>
                      <w:lang w:val="en-US" w:eastAsia="zh-CN"/>
                    </w:rPr>
                    <w:t>3</w:t>
                  </w:r>
                </w:p>
              </w:tc>
              <w:tc>
                <w:tcPr>
                  <w:tcW w:w="748" w:type="dxa"/>
                  <w:vAlign w:val="center"/>
                </w:tcPr>
                <w:p>
                  <w:pPr>
                    <w:rPr>
                      <w:rFonts w:hint="eastAsia" w:eastAsia="宋体"/>
                      <w:color w:val="auto"/>
                      <w:sz w:val="21"/>
                      <w:szCs w:val="21"/>
                      <w:lang w:val="en-US" w:eastAsia="zh-CN"/>
                    </w:rPr>
                  </w:pPr>
                  <w:r>
                    <w:rPr>
                      <w:rFonts w:hint="eastAsia"/>
                      <w:color w:val="auto"/>
                      <w:sz w:val="21"/>
                      <w:szCs w:val="21"/>
                      <w:lang w:val="en-US" w:eastAsia="zh-CN"/>
                    </w:rPr>
                    <w:t>12个月</w:t>
                  </w:r>
                </w:p>
              </w:tc>
            </w:tr>
            <w:tr>
              <w:tblPrEx>
                <w:tblBorders>
                  <w:top w:val="single" w:color="auto" w:sz="12" w:space="0"/>
                  <w:left w:val="none" w:color="auto" w:sz="0" w:space="0"/>
                  <w:bottom w:val="single" w:color="auto" w:sz="12"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490" w:hRule="atLeast"/>
                <w:jc w:val="center"/>
              </w:trPr>
              <w:tc>
                <w:tcPr>
                  <w:tcW w:w="427" w:type="dxa"/>
                  <w:vAlign w:val="center"/>
                </w:tcPr>
                <w:p>
                  <w:pPr>
                    <w:pStyle w:val="123"/>
                    <w:rPr>
                      <w:rFonts w:hint="eastAsia"/>
                      <w:color w:val="auto"/>
                      <w:sz w:val="21"/>
                      <w:szCs w:val="21"/>
                    </w:rPr>
                  </w:pPr>
                  <w:r>
                    <w:rPr>
                      <w:rFonts w:hint="eastAsia"/>
                      <w:color w:val="auto"/>
                      <w:sz w:val="21"/>
                      <w:szCs w:val="21"/>
                    </w:rPr>
                    <w:t>4</w:t>
                  </w:r>
                </w:p>
              </w:tc>
              <w:tc>
                <w:tcPr>
                  <w:tcW w:w="1166" w:type="dxa"/>
                  <w:vAlign w:val="center"/>
                </w:tcPr>
                <w:p>
                  <w:pPr>
                    <w:jc w:val="center"/>
                    <w:rPr>
                      <w:rFonts w:hint="eastAsia" w:ascii="Times New Roman" w:hAnsi="Times New Roman" w:eastAsia="宋体" w:cs="Times New Roman"/>
                      <w:color w:val="auto"/>
                      <w:kern w:val="2"/>
                      <w:sz w:val="21"/>
                      <w:szCs w:val="21"/>
                      <w:lang w:val="en-US" w:eastAsia="zh-CN" w:bidi="ar-SA"/>
                    </w:rPr>
                  </w:pPr>
                  <w:r>
                    <w:rPr>
                      <w:rFonts w:hint="eastAsia"/>
                      <w:color w:val="auto"/>
                      <w:sz w:val="21"/>
                      <w:szCs w:val="21"/>
                    </w:rPr>
                    <w:t>废包装桶</w:t>
                  </w:r>
                </w:p>
              </w:tc>
              <w:tc>
                <w:tcPr>
                  <w:tcW w:w="675" w:type="dxa"/>
                  <w:vMerge w:val="continue"/>
                  <w:vAlign w:val="center"/>
                </w:tcPr>
                <w:p>
                  <w:pPr>
                    <w:pStyle w:val="123"/>
                    <w:rPr>
                      <w:color w:val="auto"/>
                      <w:sz w:val="21"/>
                      <w:szCs w:val="21"/>
                    </w:rPr>
                  </w:pPr>
                </w:p>
              </w:tc>
              <w:tc>
                <w:tcPr>
                  <w:tcW w:w="862" w:type="dxa"/>
                  <w:vAlign w:val="center"/>
                </w:tcPr>
                <w:p>
                  <w:pPr>
                    <w:jc w:val="center"/>
                    <w:rPr>
                      <w:rFonts w:hint="eastAsia" w:ascii="Times New Roman" w:hAnsi="Times New Roman" w:eastAsia="宋体" w:cs="Times New Roman"/>
                      <w:color w:val="auto"/>
                      <w:kern w:val="2"/>
                      <w:sz w:val="21"/>
                      <w:szCs w:val="21"/>
                      <w:lang w:val="en-US" w:eastAsia="zh-CN" w:bidi="ar-SA"/>
                    </w:rPr>
                  </w:pPr>
                  <w:r>
                    <w:rPr>
                      <w:rFonts w:hint="eastAsia"/>
                      <w:color w:val="auto"/>
                      <w:sz w:val="21"/>
                      <w:szCs w:val="21"/>
                    </w:rPr>
                    <w:t>HW49</w:t>
                  </w:r>
                </w:p>
              </w:tc>
              <w:tc>
                <w:tcPr>
                  <w:tcW w:w="1275" w:type="dxa"/>
                  <w:vAlign w:val="center"/>
                </w:tcPr>
                <w:p>
                  <w:pPr>
                    <w:jc w:val="center"/>
                    <w:rPr>
                      <w:rFonts w:hint="eastAsia" w:ascii="Times New Roman" w:hAnsi="Times New Roman" w:eastAsia="宋体" w:cs="Times New Roman"/>
                      <w:color w:val="auto"/>
                      <w:kern w:val="2"/>
                      <w:sz w:val="21"/>
                      <w:szCs w:val="21"/>
                      <w:lang w:val="en-US" w:eastAsia="zh-CN" w:bidi="ar-SA"/>
                    </w:rPr>
                  </w:pPr>
                  <w:r>
                    <w:rPr>
                      <w:rFonts w:hint="eastAsia"/>
                      <w:color w:val="auto"/>
                      <w:sz w:val="21"/>
                      <w:szCs w:val="21"/>
                    </w:rPr>
                    <w:t>900-041-49</w:t>
                  </w:r>
                </w:p>
              </w:tc>
              <w:tc>
                <w:tcPr>
                  <w:tcW w:w="968" w:type="dxa"/>
                  <w:vAlign w:val="center"/>
                </w:tcPr>
                <w:p>
                  <w:pPr>
                    <w:jc w:val="center"/>
                    <w:rPr>
                      <w:rFonts w:hint="eastAsia" w:ascii="Times New Roman" w:hAnsi="Times New Roman" w:eastAsia="宋体" w:cs="Times New Roman"/>
                      <w:color w:val="auto"/>
                      <w:kern w:val="2"/>
                      <w:sz w:val="21"/>
                      <w:szCs w:val="21"/>
                      <w:lang w:val="en-US" w:eastAsia="zh-CN" w:bidi="ar-SA"/>
                    </w:rPr>
                  </w:pPr>
                  <w:r>
                    <w:rPr>
                      <w:rFonts w:hint="eastAsia"/>
                      <w:color w:val="auto"/>
                      <w:sz w:val="21"/>
                      <w:szCs w:val="21"/>
                    </w:rPr>
                    <w:t>0.</w:t>
                  </w:r>
                  <w:r>
                    <w:rPr>
                      <w:rFonts w:hint="eastAsia"/>
                      <w:color w:val="auto"/>
                      <w:sz w:val="21"/>
                      <w:szCs w:val="21"/>
                      <w:lang w:val="en-US" w:eastAsia="zh-CN"/>
                    </w:rPr>
                    <w:t>07</w:t>
                  </w:r>
                </w:p>
              </w:tc>
              <w:tc>
                <w:tcPr>
                  <w:tcW w:w="689" w:type="dxa"/>
                  <w:vAlign w:val="center"/>
                </w:tcPr>
                <w:p>
                  <w:pPr>
                    <w:pStyle w:val="123"/>
                    <w:rPr>
                      <w:rFonts w:hint="eastAsia" w:eastAsia="宋体"/>
                      <w:color w:val="auto"/>
                      <w:sz w:val="21"/>
                      <w:szCs w:val="21"/>
                      <w:lang w:val="en-US" w:eastAsia="zh-CN"/>
                    </w:rPr>
                  </w:pPr>
                  <w:r>
                    <w:rPr>
                      <w:rFonts w:hint="eastAsia"/>
                      <w:color w:val="auto"/>
                      <w:sz w:val="21"/>
                      <w:szCs w:val="21"/>
                      <w:lang w:val="en-US" w:eastAsia="zh-CN"/>
                    </w:rPr>
                    <w:t>2</w:t>
                  </w:r>
                </w:p>
              </w:tc>
              <w:tc>
                <w:tcPr>
                  <w:tcW w:w="793" w:type="dxa"/>
                  <w:vAlign w:val="center"/>
                </w:tcPr>
                <w:p>
                  <w:pPr>
                    <w:pStyle w:val="123"/>
                    <w:rPr>
                      <w:rFonts w:hint="eastAsia" w:ascii="Times New Roman" w:hAnsi="Times New Roman" w:eastAsia="宋体" w:cs="Times New Roman"/>
                      <w:color w:val="auto"/>
                      <w:kern w:val="18"/>
                      <w:sz w:val="21"/>
                      <w:szCs w:val="21"/>
                      <w:lang w:val="en-US" w:eastAsia="zh-CN" w:bidi="ar-SA"/>
                    </w:rPr>
                  </w:pPr>
                  <w:r>
                    <w:rPr>
                      <w:rFonts w:hint="eastAsia"/>
                      <w:color w:val="auto"/>
                      <w:sz w:val="21"/>
                      <w:szCs w:val="21"/>
                    </w:rPr>
                    <w:t>托盘</w:t>
                  </w:r>
                </w:p>
              </w:tc>
              <w:tc>
                <w:tcPr>
                  <w:tcW w:w="709" w:type="dxa"/>
                  <w:vAlign w:val="center"/>
                </w:tcPr>
                <w:p>
                  <w:pPr>
                    <w:jc w:val="center"/>
                    <w:rPr>
                      <w:rFonts w:hint="default" w:eastAsia="宋体"/>
                      <w:color w:val="auto"/>
                      <w:sz w:val="21"/>
                      <w:szCs w:val="21"/>
                      <w:lang w:val="en-US" w:eastAsia="zh-CN"/>
                    </w:rPr>
                  </w:pPr>
                  <w:r>
                    <w:rPr>
                      <w:rFonts w:hint="eastAsia"/>
                      <w:color w:val="auto"/>
                      <w:sz w:val="21"/>
                      <w:szCs w:val="21"/>
                    </w:rPr>
                    <w:t>0.</w:t>
                  </w:r>
                  <w:r>
                    <w:rPr>
                      <w:rFonts w:hint="eastAsia"/>
                      <w:color w:val="auto"/>
                      <w:sz w:val="21"/>
                      <w:szCs w:val="21"/>
                      <w:lang w:val="en-US" w:eastAsia="zh-CN"/>
                    </w:rPr>
                    <w:t>07</w:t>
                  </w:r>
                </w:p>
              </w:tc>
              <w:tc>
                <w:tcPr>
                  <w:tcW w:w="748" w:type="dxa"/>
                  <w:vAlign w:val="center"/>
                </w:tcPr>
                <w:p>
                  <w:pPr>
                    <w:rPr>
                      <w:rFonts w:hint="eastAsia"/>
                      <w:color w:val="auto"/>
                      <w:sz w:val="21"/>
                      <w:szCs w:val="21"/>
                    </w:rPr>
                  </w:pPr>
                  <w:r>
                    <w:rPr>
                      <w:rFonts w:hint="eastAsia"/>
                      <w:color w:val="auto"/>
                      <w:sz w:val="21"/>
                      <w:szCs w:val="21"/>
                      <w:lang w:val="en-US" w:eastAsia="zh-CN"/>
                    </w:rPr>
                    <w:t>12个月</w:t>
                  </w:r>
                </w:p>
              </w:tc>
            </w:tr>
          </w:tbl>
          <w:p>
            <w:pPr>
              <w:autoSpaceDE w:val="0"/>
              <w:autoSpaceDN w:val="0"/>
              <w:adjustRightInd w:val="0"/>
              <w:spacing w:line="360" w:lineRule="auto"/>
              <w:ind w:firstLine="480" w:firstLineChars="200"/>
              <w:rPr>
                <w:bCs/>
                <w:sz w:val="24"/>
              </w:rPr>
            </w:pPr>
            <w:r>
              <w:rPr>
                <w:bCs/>
                <w:sz w:val="24"/>
              </w:rPr>
              <w:t>由上表可知，本项目危险废物暂存需要</w:t>
            </w:r>
            <w:r>
              <w:rPr>
                <w:rFonts w:hint="eastAsia"/>
                <w:bCs/>
                <w:sz w:val="24"/>
                <w:lang w:val="en-US" w:eastAsia="zh-CN"/>
              </w:rPr>
              <w:t>13.5</w:t>
            </w:r>
            <w:r>
              <w:rPr>
                <w:bCs/>
                <w:sz w:val="24"/>
              </w:rPr>
              <w:t>m</w:t>
            </w:r>
            <w:r>
              <w:rPr>
                <w:bCs/>
                <w:sz w:val="24"/>
                <w:vertAlign w:val="superscript"/>
              </w:rPr>
              <w:t>2</w:t>
            </w:r>
            <w:r>
              <w:rPr>
                <w:bCs/>
                <w:sz w:val="24"/>
              </w:rPr>
              <w:t>，其他可作为过道、间隔等所用。项目设置</w:t>
            </w:r>
            <w:r>
              <w:rPr>
                <w:rFonts w:hint="eastAsia"/>
                <w:bCs/>
                <w:sz w:val="24"/>
                <w:lang w:val="en-US" w:eastAsia="zh-CN"/>
              </w:rPr>
              <w:t>54</w:t>
            </w:r>
            <w:r>
              <w:rPr>
                <w:bCs/>
                <w:sz w:val="24"/>
              </w:rPr>
              <w:t>m</w:t>
            </w:r>
            <w:r>
              <w:rPr>
                <w:bCs/>
                <w:sz w:val="24"/>
                <w:vertAlign w:val="superscript"/>
              </w:rPr>
              <w:t>2</w:t>
            </w:r>
            <w:r>
              <w:rPr>
                <w:bCs/>
                <w:sz w:val="24"/>
              </w:rPr>
              <w:t>的</w:t>
            </w:r>
            <w:r>
              <w:rPr>
                <w:sz w:val="24"/>
                <w:szCs w:val="24"/>
              </w:rPr>
              <w:t>危险废物仓库</w:t>
            </w:r>
            <w:r>
              <w:rPr>
                <w:bCs/>
                <w:sz w:val="24"/>
              </w:rPr>
              <w:t>足够本项目使用</w:t>
            </w:r>
            <w:r>
              <w:rPr>
                <w:rFonts w:hint="eastAsia"/>
                <w:bCs/>
                <w:sz w:val="24"/>
              </w:rPr>
              <w:t>。为确保危废合规暂存，建设单位应严格按照制定的转移周期转移。</w:t>
            </w:r>
          </w:p>
          <w:p>
            <w:pPr>
              <w:autoSpaceDE w:val="0"/>
              <w:autoSpaceDN w:val="0"/>
              <w:adjustRightInd w:val="0"/>
              <w:spacing w:line="360" w:lineRule="auto"/>
              <w:ind w:firstLine="480" w:firstLineChars="200"/>
              <w:rPr>
                <w:sz w:val="24"/>
                <w:szCs w:val="24"/>
              </w:rPr>
            </w:pPr>
            <w:r>
              <w:rPr>
                <w:rFonts w:hint="eastAsia"/>
                <w:sz w:val="24"/>
                <w:szCs w:val="24"/>
              </w:rPr>
              <w:t>3）危废仓库所设计要求</w:t>
            </w:r>
          </w:p>
          <w:p>
            <w:pPr>
              <w:autoSpaceDE w:val="0"/>
              <w:autoSpaceDN w:val="0"/>
              <w:adjustRightInd w:val="0"/>
              <w:spacing w:line="360" w:lineRule="auto"/>
              <w:ind w:firstLine="480" w:firstLineChars="200"/>
              <w:rPr>
                <w:sz w:val="24"/>
                <w:szCs w:val="24"/>
              </w:rPr>
            </w:pPr>
            <w:r>
              <w:rPr>
                <w:sz w:val="24"/>
                <w:szCs w:val="24"/>
              </w:rPr>
              <w:t>危险废物仓库必须按《危险废物贮存污染控制》（GB18597-2001）</w:t>
            </w:r>
            <w:r>
              <w:rPr>
                <w:rFonts w:hint="eastAsia"/>
                <w:sz w:val="24"/>
                <w:szCs w:val="24"/>
              </w:rPr>
              <w:t>和《省生态环境厅关于印发江苏省危险废物贮存规范化管理专项整治行动方案的通知》（苏环办〔2019〕149号）</w:t>
            </w:r>
            <w:r>
              <w:rPr>
                <w:sz w:val="24"/>
                <w:szCs w:val="24"/>
              </w:rPr>
              <w:t>的要求进行设置，并做到以下几点：</w:t>
            </w:r>
          </w:p>
          <w:p>
            <w:pPr>
              <w:autoSpaceDE w:val="0"/>
              <w:autoSpaceDN w:val="0"/>
              <w:adjustRightInd w:val="0"/>
              <w:spacing w:line="360" w:lineRule="auto"/>
              <w:ind w:firstLine="480" w:firstLineChars="200"/>
              <w:rPr>
                <w:sz w:val="24"/>
                <w:szCs w:val="24"/>
              </w:rPr>
            </w:pPr>
            <w:r>
              <w:rPr>
                <w:rFonts w:hint="eastAsia"/>
                <w:sz w:val="24"/>
                <w:szCs w:val="24"/>
              </w:rPr>
              <w:t>a企业应根据危险废物的种类和特性进行分区、分类贮存，设置防雨、防火、防雷、防扬散、防渗漏装置及泄漏液体收集装置；</w:t>
            </w:r>
          </w:p>
          <w:p>
            <w:pPr>
              <w:autoSpaceDE w:val="0"/>
              <w:autoSpaceDN w:val="0"/>
              <w:adjustRightInd w:val="0"/>
              <w:spacing w:line="360" w:lineRule="auto"/>
              <w:ind w:firstLine="480" w:firstLineChars="200"/>
              <w:rPr>
                <w:sz w:val="24"/>
                <w:szCs w:val="24"/>
              </w:rPr>
            </w:pPr>
            <w:r>
              <w:rPr>
                <w:rFonts w:hint="eastAsia"/>
                <w:sz w:val="24"/>
                <w:szCs w:val="24"/>
              </w:rPr>
              <w:t>b</w:t>
            </w:r>
            <w:r>
              <w:rPr>
                <w:sz w:val="24"/>
                <w:szCs w:val="24"/>
              </w:rPr>
              <w:t>废物贮存设施周围应设置围墙或其它防护栅栏；</w:t>
            </w:r>
          </w:p>
          <w:p>
            <w:pPr>
              <w:autoSpaceDE w:val="0"/>
              <w:autoSpaceDN w:val="0"/>
              <w:adjustRightInd w:val="0"/>
              <w:spacing w:line="360" w:lineRule="auto"/>
              <w:ind w:firstLine="480" w:firstLineChars="200"/>
              <w:rPr>
                <w:sz w:val="24"/>
                <w:szCs w:val="24"/>
              </w:rPr>
            </w:pPr>
            <w:r>
              <w:rPr>
                <w:rFonts w:hint="eastAsia"/>
                <w:sz w:val="24"/>
                <w:szCs w:val="24"/>
              </w:rPr>
              <w:t>c</w:t>
            </w:r>
            <w:r>
              <w:rPr>
                <w:sz w:val="24"/>
                <w:szCs w:val="24"/>
              </w:rPr>
              <w:t>废物贮存设施内清理出来的泄漏物，一律按危险废物处理；</w:t>
            </w:r>
          </w:p>
          <w:p>
            <w:pPr>
              <w:autoSpaceDE w:val="0"/>
              <w:autoSpaceDN w:val="0"/>
              <w:adjustRightInd w:val="0"/>
              <w:spacing w:line="360" w:lineRule="auto"/>
              <w:ind w:firstLine="480" w:firstLineChars="200"/>
              <w:rPr>
                <w:sz w:val="24"/>
                <w:szCs w:val="24"/>
              </w:rPr>
            </w:pPr>
            <w:r>
              <w:rPr>
                <w:rFonts w:hint="eastAsia"/>
                <w:sz w:val="24"/>
                <w:szCs w:val="24"/>
              </w:rPr>
              <w:t>d</w:t>
            </w:r>
            <w:r>
              <w:rPr>
                <w:sz w:val="24"/>
                <w:szCs w:val="24"/>
              </w:rPr>
              <w:t>危险废物暂存场地面与裙脚要用坚固、防渗的材料建造，建筑材料必须与危险废物相容。</w:t>
            </w:r>
          </w:p>
          <w:p>
            <w:pPr>
              <w:autoSpaceDE w:val="0"/>
              <w:autoSpaceDN w:val="0"/>
              <w:adjustRightInd w:val="0"/>
              <w:spacing w:line="360" w:lineRule="auto"/>
              <w:ind w:firstLine="480" w:firstLineChars="200"/>
              <w:rPr>
                <w:sz w:val="24"/>
                <w:szCs w:val="24"/>
              </w:rPr>
            </w:pPr>
            <w:r>
              <w:rPr>
                <w:rFonts w:hint="eastAsia"/>
                <w:sz w:val="24"/>
                <w:szCs w:val="24"/>
              </w:rPr>
              <w:t>e</w:t>
            </w:r>
            <w:r>
              <w:rPr>
                <w:sz w:val="24"/>
                <w:szCs w:val="24"/>
              </w:rPr>
              <w:t>废物贮存设施应配备通讯设备、照明设施、安全防护服装及工具，并设有应急防护设施；在出入口、设施内部、危险废物运输车辆通道等关键位置按照危险废物贮存设施视频监控布设要求设置视频监控，并与中控室联网</w:t>
            </w:r>
            <w:r>
              <w:rPr>
                <w:rFonts w:hint="eastAsia"/>
                <w:sz w:val="24"/>
                <w:szCs w:val="24"/>
              </w:rPr>
              <w:t>；因维修、更换等原因导致监控设备不能正常运行的，应采取人工摄像等应急措施，确保视频监控不间断；</w:t>
            </w:r>
          </w:p>
          <w:p>
            <w:pPr>
              <w:autoSpaceDE w:val="0"/>
              <w:autoSpaceDN w:val="0"/>
              <w:adjustRightInd w:val="0"/>
              <w:spacing w:line="360" w:lineRule="auto"/>
              <w:ind w:firstLine="480" w:firstLineChars="200"/>
              <w:rPr>
                <w:color w:val="auto"/>
                <w:sz w:val="24"/>
                <w:szCs w:val="24"/>
              </w:rPr>
            </w:pPr>
            <w:r>
              <w:rPr>
                <w:rFonts w:hint="eastAsia"/>
                <w:color w:val="auto"/>
                <w:sz w:val="24"/>
                <w:szCs w:val="24"/>
              </w:rPr>
              <w:t>f</w:t>
            </w:r>
            <w:r>
              <w:rPr>
                <w:color w:val="auto"/>
                <w:sz w:val="24"/>
                <w:szCs w:val="24"/>
              </w:rPr>
              <w:t>废物贮存设施必须按《环境保护图形标志(GB15562－1995)》</w:t>
            </w:r>
            <w:r>
              <w:rPr>
                <w:rFonts w:hint="eastAsia"/>
                <w:color w:val="auto"/>
                <w:sz w:val="24"/>
                <w:szCs w:val="24"/>
              </w:rPr>
              <w:t>及《省生态环境厅关于进一步加强危险废物污染防治工作的实施意见苏环办（〔2019〕327号）》</w:t>
            </w:r>
            <w:r>
              <w:rPr>
                <w:color w:val="auto"/>
                <w:sz w:val="24"/>
                <w:szCs w:val="24"/>
              </w:rPr>
              <w:t>的规定设置警示标志；且盛装危险废物的容器上必须粘贴符合标准标签；</w:t>
            </w:r>
          </w:p>
          <w:p>
            <w:pPr>
              <w:autoSpaceDE w:val="0"/>
              <w:autoSpaceDN w:val="0"/>
              <w:adjustRightInd w:val="0"/>
              <w:spacing w:line="360" w:lineRule="auto"/>
              <w:ind w:firstLine="480" w:firstLineChars="200"/>
              <w:rPr>
                <w:color w:val="auto"/>
                <w:sz w:val="24"/>
                <w:szCs w:val="24"/>
              </w:rPr>
            </w:pPr>
            <w:r>
              <w:rPr>
                <w:rFonts w:hint="eastAsia"/>
                <w:color w:val="auto"/>
                <w:sz w:val="24"/>
                <w:szCs w:val="24"/>
              </w:rPr>
              <w:t>g用以存放装载液体、半固体危险废物容器的地方，必须有耐腐蚀的硬化地</w:t>
            </w:r>
          </w:p>
          <w:p>
            <w:pPr>
              <w:autoSpaceDE w:val="0"/>
              <w:autoSpaceDN w:val="0"/>
              <w:adjustRightInd w:val="0"/>
              <w:spacing w:line="360" w:lineRule="auto"/>
              <w:rPr>
                <w:color w:val="auto"/>
                <w:sz w:val="24"/>
                <w:szCs w:val="24"/>
              </w:rPr>
            </w:pPr>
            <w:r>
              <w:rPr>
                <w:rFonts w:hint="eastAsia"/>
                <w:color w:val="auto"/>
                <w:sz w:val="24"/>
                <w:szCs w:val="24"/>
              </w:rPr>
              <w:t>面，且表面无裂隙；必须设置用于收集废液溢出包装容器的接液盘。</w:t>
            </w:r>
          </w:p>
          <w:p>
            <w:pPr>
              <w:autoSpaceDE w:val="0"/>
              <w:autoSpaceDN w:val="0"/>
              <w:adjustRightInd w:val="0"/>
              <w:spacing w:line="360" w:lineRule="auto"/>
              <w:ind w:firstLine="480" w:firstLineChars="200"/>
              <w:rPr>
                <w:rFonts w:hint="eastAsia"/>
                <w:color w:val="auto"/>
                <w:sz w:val="24"/>
                <w:szCs w:val="24"/>
                <w:lang w:val="en-US" w:eastAsia="zh-CN"/>
              </w:rPr>
            </w:pPr>
            <w:r>
              <w:rPr>
                <w:rFonts w:hint="eastAsia"/>
                <w:color w:val="auto"/>
                <w:sz w:val="24"/>
                <w:szCs w:val="24"/>
                <w:lang w:val="en-US" w:eastAsia="zh-CN"/>
              </w:rPr>
              <w:t>h企业应根据危险废物的种类和特性进行分区、分类贮存，设置防雨、防火、</w:t>
            </w:r>
          </w:p>
          <w:p>
            <w:pPr>
              <w:autoSpaceDE w:val="0"/>
              <w:autoSpaceDN w:val="0"/>
              <w:adjustRightInd w:val="0"/>
              <w:spacing w:line="360" w:lineRule="auto"/>
              <w:rPr>
                <w:rFonts w:hint="eastAsia"/>
                <w:color w:val="auto"/>
                <w:sz w:val="24"/>
                <w:szCs w:val="24"/>
                <w:lang w:val="en-US" w:eastAsia="zh-CN"/>
              </w:rPr>
            </w:pPr>
            <w:r>
              <w:rPr>
                <w:rFonts w:hint="eastAsia"/>
                <w:color w:val="auto"/>
                <w:sz w:val="24"/>
                <w:szCs w:val="24"/>
                <w:lang w:val="en-US" w:eastAsia="zh-CN"/>
              </w:rPr>
              <w:t>防雷、防扬散、防渗漏装置及泄漏液体收集装置。对易爆、易燃及排出有毒气体</w:t>
            </w:r>
          </w:p>
          <w:p>
            <w:pPr>
              <w:autoSpaceDE w:val="0"/>
              <w:autoSpaceDN w:val="0"/>
              <w:adjustRightInd w:val="0"/>
              <w:spacing w:line="360" w:lineRule="auto"/>
              <w:rPr>
                <w:rFonts w:hint="eastAsia"/>
                <w:color w:val="auto"/>
                <w:sz w:val="24"/>
                <w:szCs w:val="24"/>
                <w:lang w:val="en-US" w:eastAsia="zh-CN"/>
              </w:rPr>
            </w:pPr>
            <w:r>
              <w:rPr>
                <w:rFonts w:hint="eastAsia"/>
                <w:color w:val="auto"/>
                <w:sz w:val="24"/>
                <w:szCs w:val="24"/>
                <w:lang w:val="en-US" w:eastAsia="zh-CN"/>
              </w:rPr>
              <w:t>的危险废物进行预处理，稳定后贮存，否则按易爆、易燃危险品贮存。贮存废弃</w:t>
            </w:r>
          </w:p>
          <w:p>
            <w:pPr>
              <w:autoSpaceDE w:val="0"/>
              <w:autoSpaceDN w:val="0"/>
              <w:adjustRightInd w:val="0"/>
              <w:spacing w:line="360" w:lineRule="auto"/>
              <w:rPr>
                <w:rFonts w:hint="eastAsia"/>
                <w:color w:val="auto"/>
                <w:sz w:val="24"/>
                <w:szCs w:val="24"/>
                <w:lang w:val="en-US" w:eastAsia="zh-CN"/>
              </w:rPr>
            </w:pPr>
            <w:r>
              <w:rPr>
                <w:rFonts w:hint="eastAsia"/>
                <w:color w:val="auto"/>
                <w:sz w:val="24"/>
                <w:szCs w:val="24"/>
                <w:lang w:val="en-US" w:eastAsia="zh-CN"/>
              </w:rPr>
              <w:t>剧毒化学品的，应按照公安机关要求落实治安防范措施。危险废物经营单位需制</w:t>
            </w:r>
          </w:p>
          <w:p>
            <w:pPr>
              <w:autoSpaceDE w:val="0"/>
              <w:autoSpaceDN w:val="0"/>
              <w:adjustRightInd w:val="0"/>
              <w:spacing w:line="360" w:lineRule="auto"/>
              <w:rPr>
                <w:rFonts w:hint="eastAsia"/>
                <w:color w:val="auto"/>
                <w:sz w:val="24"/>
                <w:szCs w:val="24"/>
                <w:lang w:val="en-US" w:eastAsia="zh-CN"/>
              </w:rPr>
            </w:pPr>
            <w:r>
              <w:rPr>
                <w:rFonts w:hint="eastAsia"/>
                <w:color w:val="auto"/>
                <w:sz w:val="24"/>
                <w:szCs w:val="24"/>
                <w:lang w:val="en-US" w:eastAsia="zh-CN"/>
              </w:rPr>
              <w:t>定废物入场控制措施，并不得接受核准经营许可以外的种类；贮存设施周转的累</w:t>
            </w:r>
          </w:p>
          <w:p>
            <w:pPr>
              <w:autoSpaceDE w:val="0"/>
              <w:autoSpaceDN w:val="0"/>
              <w:adjustRightInd w:val="0"/>
              <w:spacing w:line="360" w:lineRule="auto"/>
              <w:rPr>
                <w:rFonts w:hint="eastAsia"/>
                <w:color w:val="auto"/>
                <w:sz w:val="24"/>
                <w:szCs w:val="24"/>
                <w:lang w:val="en-US" w:eastAsia="zh-CN"/>
              </w:rPr>
            </w:pPr>
            <w:r>
              <w:rPr>
                <w:rFonts w:hint="eastAsia"/>
                <w:color w:val="auto"/>
                <w:sz w:val="24"/>
                <w:szCs w:val="24"/>
                <w:lang w:val="en-US" w:eastAsia="zh-CN"/>
              </w:rPr>
              <w:t>积贮存量不得超过年许可经营能力的六分之一，贮存期限原则上不得超过一年。</w:t>
            </w:r>
          </w:p>
          <w:p>
            <w:pPr>
              <w:autoSpaceDE w:val="0"/>
              <w:autoSpaceDN w:val="0"/>
              <w:adjustRightInd w:val="0"/>
              <w:spacing w:line="360" w:lineRule="auto"/>
              <w:ind w:firstLine="480" w:firstLineChars="200"/>
              <w:rPr>
                <w:sz w:val="24"/>
                <w:szCs w:val="24"/>
              </w:rPr>
            </w:pPr>
            <w:r>
              <w:rPr>
                <w:rFonts w:hint="eastAsia"/>
                <w:sz w:val="24"/>
                <w:szCs w:val="24"/>
                <w:lang w:val="en-US" w:eastAsia="zh-CN"/>
              </w:rPr>
              <w:t>I</w:t>
            </w:r>
            <w:r>
              <w:rPr>
                <w:sz w:val="24"/>
                <w:szCs w:val="24"/>
              </w:rPr>
              <w:t>危险废物转移应遵从《危险废物转移联单管理办法》及其它有关规定，确保危险废物安全处置，防止二次污染。</w:t>
            </w:r>
          </w:p>
          <w:p>
            <w:pPr>
              <w:autoSpaceDE w:val="0"/>
              <w:autoSpaceDN w:val="0"/>
              <w:adjustRightInd w:val="0"/>
              <w:spacing w:line="360" w:lineRule="auto"/>
              <w:ind w:firstLine="480" w:firstLineChars="200"/>
              <w:rPr>
                <w:sz w:val="24"/>
                <w:szCs w:val="24"/>
              </w:rPr>
            </w:pPr>
            <w:r>
              <w:rPr>
                <w:rFonts w:hint="eastAsia"/>
                <w:sz w:val="24"/>
                <w:szCs w:val="24"/>
              </w:rPr>
              <w:t>4</w:t>
            </w:r>
            <w:r>
              <w:rPr>
                <w:sz w:val="24"/>
                <w:szCs w:val="24"/>
              </w:rPr>
              <w:t>）运输过程的污染防治措施</w:t>
            </w:r>
          </w:p>
          <w:p>
            <w:pPr>
              <w:autoSpaceDE w:val="0"/>
              <w:autoSpaceDN w:val="0"/>
              <w:adjustRightInd w:val="0"/>
              <w:spacing w:line="360" w:lineRule="auto"/>
              <w:ind w:firstLine="480" w:firstLineChars="200"/>
              <w:rPr>
                <w:sz w:val="24"/>
                <w:szCs w:val="24"/>
              </w:rPr>
            </w:pPr>
            <w:r>
              <w:rPr>
                <w:sz w:val="24"/>
                <w:szCs w:val="24"/>
              </w:rPr>
              <w:t>危险废物运输必须按照《危险废物收集贮存运输技术规范》（HJ2025-2012）的要求并做到以下几点：</w:t>
            </w:r>
          </w:p>
          <w:p>
            <w:pPr>
              <w:autoSpaceDE w:val="0"/>
              <w:autoSpaceDN w:val="0"/>
              <w:adjustRightInd w:val="0"/>
              <w:spacing w:line="360" w:lineRule="auto"/>
              <w:ind w:firstLine="480" w:firstLineChars="200"/>
              <w:rPr>
                <w:sz w:val="24"/>
                <w:szCs w:val="24"/>
              </w:rPr>
            </w:pPr>
            <w:r>
              <w:rPr>
                <w:sz w:val="24"/>
                <w:szCs w:val="24"/>
              </w:rPr>
              <w:t>①危险废物运输应由持有危险废物经营许可证的单位按照其许可证的经营范围组织实施，承担危险废物运输的单位应获得交通运输部门颁发的危险货物运输资质。</w:t>
            </w:r>
          </w:p>
          <w:p>
            <w:pPr>
              <w:autoSpaceDE w:val="0"/>
              <w:autoSpaceDN w:val="0"/>
              <w:adjustRightInd w:val="0"/>
              <w:spacing w:line="360" w:lineRule="auto"/>
              <w:ind w:firstLine="480" w:firstLineChars="200"/>
              <w:rPr>
                <w:sz w:val="24"/>
                <w:szCs w:val="24"/>
              </w:rPr>
            </w:pPr>
            <w:r>
              <w:rPr>
                <w:sz w:val="24"/>
                <w:szCs w:val="24"/>
              </w:rPr>
              <w:t>②危险废物公路运输应按照《道路危险货物运输管理规定》（交通部令[2015年]第9号）、JT617以及JT618执行。</w:t>
            </w:r>
          </w:p>
          <w:p>
            <w:pPr>
              <w:autoSpaceDE w:val="0"/>
              <w:autoSpaceDN w:val="0"/>
              <w:adjustRightInd w:val="0"/>
              <w:spacing w:line="360" w:lineRule="auto"/>
              <w:ind w:firstLine="480" w:firstLineChars="200"/>
              <w:rPr>
                <w:sz w:val="24"/>
                <w:szCs w:val="24"/>
              </w:rPr>
            </w:pPr>
            <w:r>
              <w:rPr>
                <w:sz w:val="24"/>
                <w:szCs w:val="24"/>
              </w:rPr>
              <w:t>③运输单位在承运危险废物时，应在危险废物包装上按照GB18597附录A设置标志。</w:t>
            </w:r>
          </w:p>
          <w:p>
            <w:pPr>
              <w:autoSpaceDE w:val="0"/>
              <w:autoSpaceDN w:val="0"/>
              <w:adjustRightInd w:val="0"/>
              <w:spacing w:line="360" w:lineRule="auto"/>
              <w:ind w:firstLine="480" w:firstLineChars="200"/>
              <w:rPr>
                <w:sz w:val="24"/>
                <w:szCs w:val="24"/>
              </w:rPr>
            </w:pPr>
            <w:r>
              <w:rPr>
                <w:sz w:val="24"/>
                <w:szCs w:val="24"/>
              </w:rPr>
              <w:t>④危险废物公路运输时，运输车辆按GB13392设置车辆标志。铁路运输和水路运输危险废物时应在集装箱外按GB190规定悬挂标志。</w:t>
            </w:r>
          </w:p>
          <w:p>
            <w:pPr>
              <w:autoSpaceDE w:val="0"/>
              <w:autoSpaceDN w:val="0"/>
              <w:adjustRightInd w:val="0"/>
              <w:spacing w:line="360" w:lineRule="auto"/>
              <w:ind w:firstLine="480" w:firstLineChars="200"/>
              <w:rPr>
                <w:sz w:val="24"/>
                <w:szCs w:val="24"/>
              </w:rPr>
            </w:pPr>
            <w:r>
              <w:rPr>
                <w:sz w:val="24"/>
                <w:szCs w:val="24"/>
              </w:rPr>
              <w:t>⑤危险废物运输时的中转、装卸过程应遵守如下技术要求：装卸区的工作人员应熟悉废物的危险特性，并配备适当的个人防护装备；</w:t>
            </w:r>
          </w:p>
          <w:p>
            <w:pPr>
              <w:autoSpaceDE w:val="0"/>
              <w:autoSpaceDN w:val="0"/>
              <w:adjustRightInd w:val="0"/>
              <w:spacing w:line="360" w:lineRule="auto"/>
              <w:ind w:firstLine="480" w:firstLineChars="200"/>
              <w:rPr>
                <w:sz w:val="24"/>
                <w:szCs w:val="24"/>
              </w:rPr>
            </w:pPr>
            <w:r>
              <w:rPr>
                <w:sz w:val="24"/>
                <w:szCs w:val="24"/>
              </w:rPr>
              <w:t>装卸区应配备必要的消防设备和设施，并设置明显的指示标志；</w:t>
            </w:r>
          </w:p>
          <w:p>
            <w:pPr>
              <w:autoSpaceDE w:val="0"/>
              <w:autoSpaceDN w:val="0"/>
              <w:adjustRightInd w:val="0"/>
              <w:spacing w:line="360" w:lineRule="auto"/>
              <w:rPr>
                <w:sz w:val="24"/>
                <w:szCs w:val="24"/>
              </w:rPr>
            </w:pPr>
            <w:r>
              <w:rPr>
                <w:sz w:val="24"/>
                <w:szCs w:val="24"/>
              </w:rPr>
              <w:t>危险废物装卸区应设置隔离设施</w:t>
            </w:r>
            <w:r>
              <w:rPr>
                <w:rFonts w:hint="eastAsia"/>
                <w:sz w:val="24"/>
                <w:szCs w:val="24"/>
              </w:rPr>
              <w:t>。</w:t>
            </w:r>
          </w:p>
          <w:p>
            <w:pPr>
              <w:autoSpaceDE w:val="0"/>
              <w:autoSpaceDN w:val="0"/>
              <w:adjustRightInd w:val="0"/>
              <w:spacing w:line="360" w:lineRule="auto"/>
              <w:ind w:firstLine="480" w:firstLineChars="200"/>
              <w:rPr>
                <w:sz w:val="24"/>
                <w:szCs w:val="24"/>
              </w:rPr>
            </w:pPr>
            <w:r>
              <w:rPr>
                <w:rFonts w:hint="eastAsia"/>
                <w:sz w:val="24"/>
                <w:szCs w:val="24"/>
              </w:rPr>
              <w:t>5）危废管理要求</w:t>
            </w:r>
          </w:p>
          <w:p>
            <w:pPr>
              <w:autoSpaceDE w:val="0"/>
              <w:autoSpaceDN w:val="0"/>
              <w:adjustRightInd w:val="0"/>
              <w:spacing w:line="360" w:lineRule="auto"/>
              <w:ind w:firstLine="480" w:firstLineChars="200"/>
              <w:rPr>
                <w:sz w:val="24"/>
                <w:szCs w:val="24"/>
              </w:rPr>
            </w:pPr>
            <w:r>
              <w:rPr>
                <w:sz w:val="24"/>
                <w:szCs w:val="24"/>
              </w:rPr>
              <w:t>①</w:t>
            </w:r>
            <w:r>
              <w:rPr>
                <w:rFonts w:hint="eastAsia"/>
                <w:sz w:val="24"/>
                <w:szCs w:val="24"/>
              </w:rPr>
              <w:t>建立危险废物污染防洽责任制度、内部管理制度和应对危险废物污染的防洽措施；建立危废管理图表，有危废管理领导小组及分工；建立岗位责任制度，企业主要领导、主管领导、主管部门、主管人员、各生产单位主管人员及各生产班组（员工）在危废管理工作方面的岗位职责和责任；建立安全操作规程，企业产生危险废物工艺环节安全操作的有关规定及要求；建立了责任制，负责人明确、责任清晰，负责人熟悉危险废物管理相关法规、制度、标准、规范。</w:t>
            </w:r>
          </w:p>
          <w:p>
            <w:pPr>
              <w:autoSpaceDE w:val="0"/>
              <w:autoSpaceDN w:val="0"/>
              <w:adjustRightInd w:val="0"/>
              <w:spacing w:line="360" w:lineRule="auto"/>
              <w:ind w:firstLine="480" w:firstLineChars="200"/>
              <w:rPr>
                <w:sz w:val="24"/>
                <w:szCs w:val="24"/>
              </w:rPr>
            </w:pPr>
            <w:r>
              <w:rPr>
                <w:sz w:val="24"/>
                <w:szCs w:val="24"/>
              </w:rPr>
              <w:t>②</w:t>
            </w:r>
            <w:r>
              <w:rPr>
                <w:rFonts w:hint="eastAsia"/>
                <w:sz w:val="24"/>
                <w:szCs w:val="24"/>
              </w:rPr>
              <w:t>在生产装置区装设监控系统，对进出危险货物的储存、处置设施进行持续检测和控制。</w:t>
            </w:r>
          </w:p>
          <w:p>
            <w:pPr>
              <w:autoSpaceDE w:val="0"/>
              <w:autoSpaceDN w:val="0"/>
              <w:adjustRightInd w:val="0"/>
              <w:spacing w:line="360" w:lineRule="auto"/>
              <w:ind w:firstLine="480" w:firstLineChars="200"/>
              <w:rPr>
                <w:sz w:val="24"/>
                <w:szCs w:val="24"/>
              </w:rPr>
            </w:pPr>
            <w:r>
              <w:rPr>
                <w:sz w:val="24"/>
                <w:szCs w:val="24"/>
              </w:rPr>
              <w:t>③</w:t>
            </w:r>
            <w:r>
              <w:rPr>
                <w:rFonts w:hint="eastAsia"/>
                <w:sz w:val="24"/>
                <w:szCs w:val="24"/>
              </w:rPr>
              <w:t>制定危险废物管理计划，危险废物的产生环节、种类、危害特性、产生量、利用处置方式描述清晰；报环保部门备案；及时申报了重大改变。</w:t>
            </w:r>
          </w:p>
          <w:p>
            <w:pPr>
              <w:autoSpaceDE w:val="0"/>
              <w:autoSpaceDN w:val="0"/>
              <w:adjustRightInd w:val="0"/>
              <w:spacing w:line="360" w:lineRule="auto"/>
              <w:ind w:firstLine="480" w:firstLineChars="200"/>
              <w:rPr>
                <w:b/>
                <w:bCs/>
                <w:sz w:val="24"/>
                <w:szCs w:val="24"/>
              </w:rPr>
            </w:pPr>
            <w:r>
              <w:rPr>
                <w:sz w:val="24"/>
                <w:szCs w:val="24"/>
              </w:rPr>
              <w:t>④</w:t>
            </w:r>
            <w:r>
              <w:rPr>
                <w:rFonts w:hint="eastAsia"/>
                <w:sz w:val="24"/>
                <w:szCs w:val="24"/>
              </w:rPr>
              <w:t>对可能存在挥发性废气的危险废物进行密封处置（废包装桶盖紧桶盖密封保存），定期对危废仓库进行通风。</w:t>
            </w:r>
          </w:p>
          <w:p>
            <w:pPr>
              <w:autoSpaceDE w:val="0"/>
              <w:autoSpaceDN w:val="0"/>
              <w:adjustRightInd w:val="0"/>
              <w:spacing w:line="360" w:lineRule="auto"/>
              <w:ind w:firstLine="480" w:firstLineChars="200"/>
              <w:rPr>
                <w:b/>
                <w:bCs/>
                <w:sz w:val="24"/>
                <w:szCs w:val="24"/>
              </w:rPr>
            </w:pPr>
            <w:r>
              <w:rPr>
                <w:b/>
                <w:bCs/>
                <w:sz w:val="24"/>
                <w:szCs w:val="24"/>
              </w:rPr>
              <w:t>（</w:t>
            </w:r>
            <w:r>
              <w:rPr>
                <w:rFonts w:hint="eastAsia"/>
                <w:b/>
                <w:bCs/>
                <w:sz w:val="24"/>
                <w:szCs w:val="24"/>
              </w:rPr>
              <w:t>2</w:t>
            </w:r>
            <w:r>
              <w:rPr>
                <w:b/>
                <w:bCs/>
                <w:sz w:val="24"/>
                <w:szCs w:val="24"/>
              </w:rPr>
              <w:t>）一般固体废物</w:t>
            </w:r>
          </w:p>
          <w:p>
            <w:pPr>
              <w:adjustRightInd w:val="0"/>
              <w:snapToGrid w:val="0"/>
              <w:spacing w:line="360" w:lineRule="auto"/>
              <w:ind w:firstLine="480" w:firstLineChars="200"/>
              <w:rPr>
                <w:bCs/>
                <w:sz w:val="24"/>
                <w:szCs w:val="22"/>
              </w:rPr>
            </w:pPr>
            <w:r>
              <w:rPr>
                <w:sz w:val="24"/>
                <w:szCs w:val="24"/>
              </w:rPr>
              <w:t>本项目一般固废为</w:t>
            </w:r>
            <w:r>
              <w:rPr>
                <w:rFonts w:hint="eastAsia"/>
                <w:sz w:val="24"/>
                <w:szCs w:val="24"/>
              </w:rPr>
              <w:t>废包装材料、</w:t>
            </w:r>
            <w:r>
              <w:rPr>
                <w:rFonts w:hint="eastAsia"/>
                <w:sz w:val="24"/>
                <w:szCs w:val="24"/>
                <w:lang w:eastAsia="zh-CN"/>
              </w:rPr>
              <w:t>不合格产品和废金属碎屑</w:t>
            </w:r>
            <w:r>
              <w:rPr>
                <w:rFonts w:hint="eastAsia"/>
                <w:sz w:val="24"/>
              </w:rPr>
              <w:t>，</w:t>
            </w:r>
            <w:r>
              <w:rPr>
                <w:bCs/>
                <w:sz w:val="24"/>
              </w:rPr>
              <w:t>本项</w:t>
            </w:r>
            <w:r>
              <w:rPr>
                <w:bCs/>
                <w:sz w:val="24"/>
                <w:szCs w:val="22"/>
              </w:rPr>
              <w:t>目</w:t>
            </w:r>
            <w:r>
              <w:rPr>
                <w:rFonts w:hint="eastAsia"/>
                <w:bCs/>
                <w:sz w:val="24"/>
                <w:szCs w:val="22"/>
              </w:rPr>
              <w:t>车间内设置一般固废仓库1个</w:t>
            </w:r>
            <w:r>
              <w:rPr>
                <w:bCs/>
                <w:sz w:val="24"/>
                <w:szCs w:val="22"/>
              </w:rPr>
              <w:t>，</w:t>
            </w:r>
            <w:r>
              <w:rPr>
                <w:rFonts w:hint="eastAsia"/>
                <w:bCs/>
                <w:sz w:val="24"/>
                <w:szCs w:val="22"/>
              </w:rPr>
              <w:t>总</w:t>
            </w:r>
            <w:r>
              <w:rPr>
                <w:bCs/>
                <w:sz w:val="24"/>
                <w:szCs w:val="22"/>
              </w:rPr>
              <w:t>建筑面积</w:t>
            </w:r>
            <w:r>
              <w:rPr>
                <w:rFonts w:hint="eastAsia"/>
                <w:bCs/>
                <w:sz w:val="24"/>
                <w:szCs w:val="22"/>
                <w:lang w:val="en-US" w:eastAsia="zh-CN"/>
              </w:rPr>
              <w:t>15</w:t>
            </w:r>
            <w:r>
              <w:rPr>
                <w:bCs/>
                <w:sz w:val="24"/>
                <w:szCs w:val="22"/>
              </w:rPr>
              <w:t>m</w:t>
            </w:r>
            <w:r>
              <w:rPr>
                <w:bCs/>
                <w:sz w:val="24"/>
                <w:szCs w:val="22"/>
                <w:vertAlign w:val="superscript"/>
              </w:rPr>
              <w:t>2</w:t>
            </w:r>
            <w:r>
              <w:rPr>
                <w:bCs/>
                <w:sz w:val="24"/>
                <w:szCs w:val="22"/>
              </w:rPr>
              <w:t>，一般固废暂存需满足《一般工业固体废物贮存、处置场污染控制标准》（GB 18599-2001）及2013年修改单要求。具体要求如下：</w:t>
            </w:r>
          </w:p>
          <w:p>
            <w:pPr>
              <w:adjustRightInd w:val="0"/>
              <w:snapToGrid w:val="0"/>
              <w:spacing w:line="360" w:lineRule="auto"/>
              <w:ind w:firstLine="480" w:firstLineChars="200"/>
              <w:rPr>
                <w:bCs/>
                <w:sz w:val="24"/>
                <w:szCs w:val="22"/>
              </w:rPr>
            </w:pPr>
            <w:r>
              <w:rPr>
                <w:bCs/>
                <w:sz w:val="24"/>
                <w:szCs w:val="22"/>
              </w:rPr>
              <w:t>①贮存、处置场的建设类型，必须与将要堆放的一般工业固体废物的类别相一致。</w:t>
            </w:r>
          </w:p>
          <w:p>
            <w:pPr>
              <w:adjustRightInd w:val="0"/>
              <w:snapToGrid w:val="0"/>
              <w:spacing w:line="360" w:lineRule="auto"/>
              <w:ind w:firstLine="480" w:firstLineChars="200"/>
              <w:rPr>
                <w:bCs/>
                <w:sz w:val="24"/>
                <w:szCs w:val="22"/>
              </w:rPr>
            </w:pPr>
            <w:r>
              <w:rPr>
                <w:bCs/>
                <w:sz w:val="24"/>
                <w:szCs w:val="22"/>
              </w:rPr>
              <w:t>②为保障设施、设备正常运营，必要时应采取措施防止地基下沉，尤其是防止不均匀或局部下沉。</w:t>
            </w:r>
          </w:p>
          <w:p>
            <w:pPr>
              <w:autoSpaceDE w:val="0"/>
              <w:autoSpaceDN w:val="0"/>
              <w:adjustRightInd w:val="0"/>
              <w:spacing w:line="360" w:lineRule="auto"/>
              <w:ind w:firstLine="480" w:firstLineChars="200"/>
              <w:rPr>
                <w:sz w:val="24"/>
                <w:szCs w:val="24"/>
              </w:rPr>
            </w:pPr>
            <w:r>
              <w:rPr>
                <w:rFonts w:hint="eastAsia"/>
                <w:sz w:val="24"/>
                <w:szCs w:val="24"/>
              </w:rPr>
              <w:t>综上，本项目固体废物综合利用和处置技术满足《印刷工业污染防治可行技术指南（HJ1089-2020）》中相关要求。</w:t>
            </w:r>
          </w:p>
          <w:p>
            <w:pPr>
              <w:autoSpaceDE w:val="0"/>
              <w:autoSpaceDN w:val="0"/>
              <w:adjustRightInd w:val="0"/>
              <w:spacing w:line="360" w:lineRule="auto"/>
              <w:ind w:firstLine="480" w:firstLineChars="200"/>
              <w:rPr>
                <w:b/>
                <w:bCs/>
                <w:sz w:val="24"/>
                <w:szCs w:val="24"/>
              </w:rPr>
            </w:pPr>
            <w:r>
              <w:rPr>
                <w:b/>
                <w:bCs/>
                <w:sz w:val="24"/>
                <w:szCs w:val="24"/>
              </w:rPr>
              <w:t>（</w:t>
            </w:r>
            <w:r>
              <w:rPr>
                <w:rFonts w:hint="eastAsia"/>
                <w:b/>
                <w:bCs/>
                <w:sz w:val="24"/>
                <w:szCs w:val="24"/>
              </w:rPr>
              <w:t>3</w:t>
            </w:r>
            <w:r>
              <w:rPr>
                <w:b/>
                <w:bCs/>
                <w:sz w:val="24"/>
                <w:szCs w:val="24"/>
              </w:rPr>
              <w:t>）生活垃圾</w:t>
            </w:r>
          </w:p>
          <w:p>
            <w:pPr>
              <w:autoSpaceDE w:val="0"/>
              <w:autoSpaceDN w:val="0"/>
              <w:adjustRightInd w:val="0"/>
              <w:spacing w:line="360" w:lineRule="auto"/>
              <w:ind w:firstLine="480" w:firstLineChars="200"/>
              <w:rPr>
                <w:sz w:val="24"/>
                <w:szCs w:val="24"/>
              </w:rPr>
            </w:pPr>
            <w:r>
              <w:rPr>
                <w:sz w:val="24"/>
                <w:szCs w:val="24"/>
              </w:rPr>
              <w:t>职工生活垃圾由环卫部门定期清运，可得到有效处置。</w:t>
            </w:r>
          </w:p>
          <w:p>
            <w:pPr>
              <w:autoSpaceDE w:val="0"/>
              <w:autoSpaceDN w:val="0"/>
              <w:adjustRightInd w:val="0"/>
              <w:spacing w:line="360" w:lineRule="auto"/>
              <w:ind w:firstLine="480" w:firstLineChars="200"/>
              <w:rPr>
                <w:b/>
                <w:sz w:val="24"/>
                <w:szCs w:val="24"/>
              </w:rPr>
            </w:pPr>
            <w:r>
              <w:rPr>
                <w:b/>
                <w:sz w:val="24"/>
                <w:szCs w:val="24"/>
              </w:rPr>
              <w:t>4、噪声</w:t>
            </w:r>
          </w:p>
          <w:p>
            <w:pPr>
              <w:autoSpaceDE w:val="0"/>
              <w:autoSpaceDN w:val="0"/>
              <w:adjustRightInd w:val="0"/>
              <w:spacing w:line="360" w:lineRule="auto"/>
              <w:ind w:firstLine="480" w:firstLineChars="200"/>
              <w:rPr>
                <w:sz w:val="24"/>
                <w:szCs w:val="24"/>
              </w:rPr>
            </w:pPr>
            <w:r>
              <w:rPr>
                <w:sz w:val="24"/>
                <w:szCs w:val="24"/>
              </w:rPr>
              <w:t>建设项目</w:t>
            </w:r>
            <w:r>
              <w:rPr>
                <w:rFonts w:hint="eastAsia"/>
                <w:sz w:val="24"/>
                <w:szCs w:val="24"/>
              </w:rPr>
              <w:t>主要</w:t>
            </w:r>
            <w:r>
              <w:rPr>
                <w:sz w:val="24"/>
                <w:szCs w:val="24"/>
              </w:rPr>
              <w:t>高噪声设备为</w:t>
            </w:r>
            <w:r>
              <w:rPr>
                <w:rFonts w:hint="eastAsia"/>
                <w:sz w:val="24"/>
                <w:szCs w:val="24"/>
              </w:rPr>
              <w:t>小型不锈钢锉磨床、镍钛锉车床、注塑机、空压机组、风机等设备</w:t>
            </w:r>
            <w:r>
              <w:rPr>
                <w:sz w:val="24"/>
                <w:szCs w:val="24"/>
              </w:rPr>
              <w:t>，单台设备噪声源强约</w:t>
            </w:r>
            <w:r>
              <w:rPr>
                <w:rFonts w:hint="eastAsia"/>
                <w:sz w:val="24"/>
                <w:szCs w:val="24"/>
                <w:lang w:val="en-US" w:eastAsia="zh-CN"/>
              </w:rPr>
              <w:t>80</w:t>
            </w:r>
            <w:r>
              <w:rPr>
                <w:rFonts w:hint="eastAsia"/>
                <w:sz w:val="24"/>
                <w:szCs w:val="24"/>
              </w:rPr>
              <w:t>~90</w:t>
            </w:r>
            <w:r>
              <w:rPr>
                <w:sz w:val="24"/>
                <w:szCs w:val="24"/>
              </w:rPr>
              <w:t>dB（A）。建设单位拟采取以下降噪措施：</w:t>
            </w:r>
          </w:p>
          <w:p>
            <w:pPr>
              <w:autoSpaceDE w:val="0"/>
              <w:autoSpaceDN w:val="0"/>
              <w:adjustRightInd w:val="0"/>
              <w:spacing w:line="360" w:lineRule="auto"/>
              <w:ind w:firstLine="480" w:firstLineChars="200"/>
              <w:rPr>
                <w:sz w:val="24"/>
                <w:szCs w:val="24"/>
              </w:rPr>
            </w:pPr>
            <w:r>
              <w:rPr>
                <w:sz w:val="24"/>
                <w:szCs w:val="24"/>
              </w:rPr>
              <w:t>①合理布局</w:t>
            </w:r>
          </w:p>
          <w:p>
            <w:pPr>
              <w:autoSpaceDE w:val="0"/>
              <w:autoSpaceDN w:val="0"/>
              <w:adjustRightInd w:val="0"/>
              <w:spacing w:line="360" w:lineRule="auto"/>
              <w:ind w:firstLine="480" w:firstLineChars="200"/>
              <w:rPr>
                <w:sz w:val="24"/>
                <w:szCs w:val="24"/>
              </w:rPr>
            </w:pPr>
            <w:r>
              <w:rPr>
                <w:sz w:val="24"/>
                <w:szCs w:val="24"/>
              </w:rPr>
              <w:t>在</w:t>
            </w:r>
            <w:r>
              <w:rPr>
                <w:rFonts w:hint="eastAsia"/>
                <w:sz w:val="24"/>
                <w:szCs w:val="24"/>
              </w:rPr>
              <w:t>厂房</w:t>
            </w:r>
            <w:r>
              <w:rPr>
                <w:sz w:val="24"/>
                <w:szCs w:val="24"/>
              </w:rPr>
              <w:t>总图布置中尽可能使噪声源远离厂界</w:t>
            </w:r>
            <w:r>
              <w:rPr>
                <w:rFonts w:hint="eastAsia"/>
                <w:sz w:val="24"/>
                <w:szCs w:val="24"/>
              </w:rPr>
              <w:t>、远离环境保护目标</w:t>
            </w:r>
            <w:r>
              <w:rPr>
                <w:sz w:val="24"/>
                <w:szCs w:val="24"/>
              </w:rPr>
              <w:t>，以减轻对外界环境的影响。</w:t>
            </w:r>
          </w:p>
          <w:p>
            <w:pPr>
              <w:autoSpaceDE w:val="0"/>
              <w:autoSpaceDN w:val="0"/>
              <w:adjustRightInd w:val="0"/>
              <w:spacing w:line="360" w:lineRule="auto"/>
              <w:ind w:firstLine="480" w:firstLineChars="200"/>
              <w:rPr>
                <w:sz w:val="24"/>
                <w:szCs w:val="24"/>
              </w:rPr>
            </w:pPr>
            <w:r>
              <w:rPr>
                <w:sz w:val="24"/>
                <w:szCs w:val="24"/>
              </w:rPr>
              <w:t>②加强建筑物隔声措施</w:t>
            </w:r>
          </w:p>
          <w:p>
            <w:pPr>
              <w:autoSpaceDE w:val="0"/>
              <w:autoSpaceDN w:val="0"/>
              <w:adjustRightInd w:val="0"/>
              <w:spacing w:line="360" w:lineRule="auto"/>
              <w:ind w:firstLine="480" w:firstLineChars="200"/>
              <w:rPr>
                <w:sz w:val="24"/>
                <w:szCs w:val="24"/>
              </w:rPr>
            </w:pPr>
            <w:r>
              <w:rPr>
                <w:sz w:val="24"/>
                <w:szCs w:val="24"/>
              </w:rPr>
              <w:t>有效利用建筑隔声，防止噪声的扩散和传播</w:t>
            </w:r>
            <w:r>
              <w:rPr>
                <w:rFonts w:hint="eastAsia"/>
                <w:sz w:val="24"/>
                <w:szCs w:val="24"/>
              </w:rPr>
              <w:t>；</w:t>
            </w:r>
          </w:p>
          <w:p>
            <w:pPr>
              <w:autoSpaceDE w:val="0"/>
              <w:autoSpaceDN w:val="0"/>
              <w:adjustRightInd w:val="0"/>
              <w:spacing w:line="360" w:lineRule="auto"/>
              <w:ind w:firstLine="480" w:firstLineChars="200"/>
              <w:rPr>
                <w:sz w:val="24"/>
                <w:szCs w:val="24"/>
              </w:rPr>
            </w:pPr>
            <w:r>
              <w:rPr>
                <w:sz w:val="24"/>
                <w:szCs w:val="24"/>
              </w:rPr>
              <w:t>③设备减振、隔声</w:t>
            </w:r>
          </w:p>
          <w:p>
            <w:pPr>
              <w:autoSpaceDE w:val="0"/>
              <w:autoSpaceDN w:val="0"/>
              <w:adjustRightInd w:val="0"/>
              <w:spacing w:line="360" w:lineRule="auto"/>
              <w:ind w:firstLine="480" w:firstLineChars="200"/>
              <w:rPr>
                <w:sz w:val="24"/>
                <w:szCs w:val="24"/>
              </w:rPr>
            </w:pPr>
            <w:r>
              <w:rPr>
                <w:sz w:val="24"/>
                <w:szCs w:val="24"/>
              </w:rPr>
              <w:t>在高噪声设备与地基之间进行减振处理，安装减振底座</w:t>
            </w:r>
            <w:r>
              <w:rPr>
                <w:rFonts w:hint="eastAsia"/>
                <w:sz w:val="24"/>
                <w:szCs w:val="24"/>
              </w:rPr>
              <w:t>；对高噪声设备（风机等）采取局部防噪隔音措施，增加隔声罩、安装消声器等措施</w:t>
            </w:r>
            <w:r>
              <w:rPr>
                <w:sz w:val="24"/>
                <w:szCs w:val="24"/>
              </w:rPr>
              <w:t>。</w:t>
            </w:r>
          </w:p>
          <w:p>
            <w:pPr>
              <w:autoSpaceDE w:val="0"/>
              <w:autoSpaceDN w:val="0"/>
              <w:adjustRightInd w:val="0"/>
              <w:spacing w:line="360" w:lineRule="auto"/>
              <w:ind w:firstLine="480" w:firstLineChars="200"/>
              <w:rPr>
                <w:sz w:val="24"/>
                <w:szCs w:val="24"/>
              </w:rPr>
            </w:pPr>
            <w:r>
              <w:rPr>
                <w:sz w:val="24"/>
                <w:szCs w:val="24"/>
              </w:rPr>
              <w:t>④强化生产管理</w:t>
            </w:r>
          </w:p>
          <w:p>
            <w:pPr>
              <w:autoSpaceDE w:val="0"/>
              <w:autoSpaceDN w:val="0"/>
              <w:adjustRightInd w:val="0"/>
              <w:spacing w:line="360" w:lineRule="auto"/>
              <w:ind w:firstLine="480" w:firstLineChars="200"/>
              <w:rPr>
                <w:sz w:val="24"/>
                <w:szCs w:val="24"/>
              </w:rPr>
            </w:pPr>
            <w:r>
              <w:rPr>
                <w:sz w:val="24"/>
                <w:szCs w:val="24"/>
              </w:rPr>
              <w:t>提高员工环保意识，规范员工操作；确保各类噪声防治措施有效运行，各设备均保持良好运行状态，防止突发噪声。</w:t>
            </w:r>
          </w:p>
          <w:p>
            <w:pPr>
              <w:autoSpaceDE w:val="0"/>
              <w:autoSpaceDN w:val="0"/>
              <w:adjustRightInd w:val="0"/>
              <w:spacing w:line="360" w:lineRule="auto"/>
              <w:ind w:firstLine="480" w:firstLineChars="200"/>
              <w:rPr>
                <w:sz w:val="24"/>
                <w:szCs w:val="24"/>
              </w:rPr>
            </w:pPr>
            <w:r>
              <w:rPr>
                <w:sz w:val="24"/>
                <w:szCs w:val="24"/>
              </w:rPr>
              <w:t>从以上的分析可知：项目采取以上降噪措施后并经过距离衰减后，降噪效果可达到15-30dB（A）左右。</w:t>
            </w:r>
          </w:p>
          <w:p>
            <w:pPr>
              <w:spacing w:line="360" w:lineRule="auto"/>
              <w:ind w:firstLine="480" w:firstLineChars="200"/>
              <w:rPr>
                <w:b/>
                <w:bCs/>
                <w:sz w:val="24"/>
              </w:rPr>
            </w:pPr>
            <w:r>
              <w:rPr>
                <w:rFonts w:hint="eastAsia"/>
                <w:b/>
                <w:bCs/>
                <w:sz w:val="24"/>
              </w:rPr>
              <w:t>5、地下水及土壤污染防治措施</w:t>
            </w:r>
          </w:p>
          <w:p>
            <w:pPr>
              <w:spacing w:line="360" w:lineRule="auto"/>
              <w:ind w:firstLine="480" w:firstLineChars="200"/>
              <w:rPr>
                <w:sz w:val="24"/>
              </w:rPr>
            </w:pPr>
            <w:r>
              <w:rPr>
                <w:rFonts w:hint="eastAsia"/>
                <w:sz w:val="24"/>
              </w:rPr>
              <w:t>为避免本项目生产过程中对地下水及土壤的危害，采取以下措施：</w:t>
            </w:r>
          </w:p>
          <w:p>
            <w:pPr>
              <w:spacing w:line="360" w:lineRule="auto"/>
              <w:ind w:firstLine="480" w:firstLineChars="200"/>
              <w:rPr>
                <w:sz w:val="24"/>
              </w:rPr>
            </w:pPr>
            <w:r>
              <w:rPr>
                <w:rFonts w:hint="eastAsia"/>
                <w:sz w:val="24"/>
              </w:rPr>
              <w:t>(1)源头上控制</w:t>
            </w:r>
          </w:p>
          <w:p>
            <w:pPr>
              <w:spacing w:line="360" w:lineRule="auto"/>
              <w:ind w:firstLine="480" w:firstLineChars="200"/>
              <w:rPr>
                <w:sz w:val="24"/>
              </w:rPr>
            </w:pPr>
            <w:r>
              <w:rPr>
                <w:rFonts w:hint="eastAsia"/>
                <w:sz w:val="24"/>
              </w:rPr>
              <w:t>本项目生产过程中</w:t>
            </w:r>
            <w:r>
              <w:rPr>
                <w:rFonts w:hint="eastAsia"/>
                <w:sz w:val="24"/>
                <w:lang w:eastAsia="zh-CN"/>
              </w:rPr>
              <w:t>原辅料</w:t>
            </w:r>
            <w:r>
              <w:rPr>
                <w:rFonts w:hint="eastAsia"/>
                <w:sz w:val="24"/>
              </w:rPr>
              <w:t>有可能由于跑冒滴漏、雨水的浸淋、溢流等，会污染土壤、地下水，进而流入周围的河流，同时也会影响到地下水，造成整个周围地区水环境的污染。因此企业应该实施清洁生产和循环经济，减少污染物的排放量。从设计、管理各种工艺设备和物料运输线路上，防止和减少污染物的跑冒滴漏；合理布局，减少污染物泄漏途径。</w:t>
            </w:r>
          </w:p>
          <w:p>
            <w:pPr>
              <w:spacing w:line="360" w:lineRule="auto"/>
              <w:ind w:firstLine="480" w:firstLineChars="200"/>
              <w:rPr>
                <w:sz w:val="24"/>
              </w:rPr>
            </w:pPr>
            <w:r>
              <w:rPr>
                <w:rFonts w:hint="eastAsia"/>
                <w:sz w:val="24"/>
              </w:rPr>
              <w:t>(2) 一般防渗区措施</w:t>
            </w:r>
          </w:p>
          <w:p>
            <w:pPr>
              <w:spacing w:line="360" w:lineRule="auto"/>
              <w:ind w:firstLine="480" w:firstLineChars="200"/>
              <w:rPr>
                <w:sz w:val="24"/>
              </w:rPr>
            </w:pPr>
            <w:r>
              <w:rPr>
                <w:rFonts w:hint="eastAsia"/>
                <w:sz w:val="24"/>
              </w:rPr>
              <w:t>一般污染防渗区包</w:t>
            </w:r>
            <w:r>
              <w:rPr>
                <w:rFonts w:hint="eastAsia"/>
                <w:color w:val="auto"/>
                <w:sz w:val="24"/>
              </w:rPr>
              <w:t>括：</w:t>
            </w:r>
            <w:r>
              <w:rPr>
                <w:rFonts w:hint="eastAsia"/>
                <w:color w:val="auto"/>
                <w:sz w:val="24"/>
                <w:lang w:eastAsia="zh-CN"/>
              </w:rPr>
              <w:t>成品区、生产区（不含成型区）、</w:t>
            </w:r>
            <w:r>
              <w:rPr>
                <w:rFonts w:hint="eastAsia"/>
                <w:sz w:val="24"/>
              </w:rPr>
              <w:t>办公区等空闲区域，自上而下采用人工大理石或水泥防渗结构，车间地面全部进行混凝硬化，如铺10~15cm的水泥进行硬化。</w:t>
            </w:r>
          </w:p>
          <w:p>
            <w:pPr>
              <w:spacing w:line="360" w:lineRule="auto"/>
              <w:ind w:firstLine="480" w:firstLineChars="200"/>
              <w:rPr>
                <w:color w:val="auto"/>
                <w:sz w:val="24"/>
              </w:rPr>
            </w:pPr>
            <w:r>
              <w:rPr>
                <w:rFonts w:hint="eastAsia"/>
                <w:sz w:val="24"/>
              </w:rPr>
              <w:t>(3)重点防渗区措施</w:t>
            </w:r>
          </w:p>
          <w:p>
            <w:pPr>
              <w:spacing w:line="360" w:lineRule="auto"/>
              <w:ind w:firstLine="480" w:firstLineChars="200"/>
              <w:rPr>
                <w:color w:val="auto"/>
                <w:sz w:val="24"/>
              </w:rPr>
            </w:pPr>
            <w:r>
              <w:rPr>
                <w:rFonts w:hint="eastAsia"/>
                <w:color w:val="auto"/>
                <w:sz w:val="24"/>
              </w:rPr>
              <w:t>①原料（</w:t>
            </w:r>
            <w:r>
              <w:rPr>
                <w:rFonts w:hint="eastAsia"/>
                <w:color w:val="auto"/>
                <w:sz w:val="24"/>
                <w:lang w:eastAsia="zh-CN"/>
              </w:rPr>
              <w:t>切削液</w:t>
            </w:r>
            <w:r>
              <w:rPr>
                <w:rFonts w:hint="eastAsia"/>
                <w:color w:val="auto"/>
                <w:sz w:val="24"/>
              </w:rPr>
              <w:t>、润滑油）泄漏及防治措施</w:t>
            </w:r>
          </w:p>
          <w:p>
            <w:pPr>
              <w:spacing w:line="360" w:lineRule="auto"/>
              <w:ind w:firstLine="480" w:firstLineChars="200"/>
              <w:rPr>
                <w:color w:val="auto"/>
                <w:sz w:val="24"/>
              </w:rPr>
            </w:pPr>
            <w:r>
              <w:rPr>
                <w:rFonts w:hint="eastAsia"/>
                <w:color w:val="auto"/>
                <w:sz w:val="24"/>
              </w:rPr>
              <w:t>原料仓库门口设置墁坡，并对原料仓库</w:t>
            </w:r>
            <w:r>
              <w:rPr>
                <w:rFonts w:hint="eastAsia"/>
                <w:color w:val="auto"/>
                <w:sz w:val="24"/>
                <w:lang w:eastAsia="zh-CN"/>
              </w:rPr>
              <w:t>、成型区的</w:t>
            </w:r>
            <w:r>
              <w:rPr>
                <w:rFonts w:hint="eastAsia"/>
                <w:color w:val="auto"/>
                <w:sz w:val="24"/>
              </w:rPr>
              <w:t>墙体及地面做防腐、防渗措施(主要是地表采用25cm厚度的混凝土搅拌压实作为基础防渗措施，并在混凝土基础防渗表面上喷涂防腐、防渗油漆，加强基础防渗)；泄漏事故处理时会有地面清洗废水，引至废水事故池，则泄漏的原料及事故处理废水不会渗入地下而污染地下水。</w:t>
            </w:r>
          </w:p>
          <w:p>
            <w:pPr>
              <w:spacing w:line="360" w:lineRule="auto"/>
              <w:ind w:firstLine="480" w:firstLineChars="200"/>
              <w:rPr>
                <w:color w:val="auto"/>
                <w:sz w:val="24"/>
              </w:rPr>
            </w:pPr>
            <w:r>
              <w:rPr>
                <w:rFonts w:hint="eastAsia"/>
                <w:sz w:val="24"/>
              </w:rPr>
              <w:t>②危废暂存场的渗</w:t>
            </w:r>
            <w:r>
              <w:rPr>
                <w:rFonts w:hint="eastAsia"/>
                <w:color w:val="auto"/>
                <w:sz w:val="24"/>
              </w:rPr>
              <w:t>漏及防治措施</w:t>
            </w:r>
          </w:p>
          <w:p>
            <w:pPr>
              <w:spacing w:line="360" w:lineRule="auto"/>
              <w:ind w:firstLine="480" w:firstLineChars="200"/>
              <w:rPr>
                <w:sz w:val="24"/>
              </w:rPr>
            </w:pPr>
            <w:r>
              <w:rPr>
                <w:rFonts w:hint="eastAsia"/>
                <w:color w:val="auto"/>
                <w:sz w:val="24"/>
              </w:rPr>
              <w:t>项目拟设1个危废暂存场。危废暂存场按《危险废物贮存污染控制标准》(GB18597-2001)及2013年修改单</w:t>
            </w:r>
            <w:r>
              <w:rPr>
                <w:rFonts w:hint="eastAsia"/>
                <w:color w:val="auto"/>
                <w:sz w:val="24"/>
                <w:szCs w:val="24"/>
              </w:rPr>
              <w:t>和《省生态环境厅关于进一步加强危险废物污染防治工作的实施意见苏环办（〔2019〕327号）》</w:t>
            </w:r>
            <w:r>
              <w:rPr>
                <w:rFonts w:hint="eastAsia"/>
                <w:color w:val="auto"/>
                <w:sz w:val="24"/>
              </w:rPr>
              <w:t>相关要求进行建设，对危废暂存库，建设单位拟对堆放间进出口设置0.2m高的墁坡，并对墙体及</w:t>
            </w:r>
            <w:r>
              <w:rPr>
                <w:rFonts w:hint="eastAsia"/>
                <w:sz w:val="24"/>
              </w:rPr>
              <w:t>地面做防腐、防渗措施，地面基础必须防渗，防渗层为2mm厚高密度聚乙烯，或至少2mm厚的其它人工材料，渗透系数≤10</w:t>
            </w:r>
            <w:r>
              <w:rPr>
                <w:rFonts w:hint="eastAsia"/>
                <w:sz w:val="24"/>
                <w:vertAlign w:val="superscript"/>
              </w:rPr>
              <w:t>-10</w:t>
            </w:r>
            <w:r>
              <w:rPr>
                <w:rFonts w:hint="eastAsia"/>
                <w:sz w:val="24"/>
              </w:rPr>
              <w:t>cm/s；衬里要能够覆盖废物或其溶出物可能涉及到的范围；衬里材料与堆放的废物相容，不会对地下水产生污染。</w:t>
            </w:r>
          </w:p>
          <w:p>
            <w:pPr>
              <w:spacing w:line="360" w:lineRule="auto"/>
              <w:ind w:firstLine="480" w:firstLineChars="200"/>
              <w:rPr>
                <w:sz w:val="24"/>
              </w:rPr>
            </w:pPr>
            <w:r>
              <w:rPr>
                <w:rFonts w:hint="eastAsia"/>
                <w:sz w:val="24"/>
              </w:rPr>
              <w:t>(4)生活垃圾堆放的渗漏及防治措施</w:t>
            </w:r>
          </w:p>
          <w:p>
            <w:pPr>
              <w:spacing w:line="360" w:lineRule="auto"/>
              <w:ind w:firstLine="480" w:firstLineChars="200"/>
              <w:rPr>
                <w:sz w:val="24"/>
              </w:rPr>
            </w:pPr>
            <w:r>
              <w:rPr>
                <w:rFonts w:hint="eastAsia"/>
                <w:sz w:val="24"/>
              </w:rPr>
              <w:t>对于生活垃圾，建设单位日产日清，一般不会产生垃圾渗滤液，同时对堆放点做防腐、防渗措施。</w:t>
            </w:r>
          </w:p>
          <w:p>
            <w:pPr>
              <w:spacing w:line="360" w:lineRule="auto"/>
              <w:ind w:firstLine="480" w:firstLineChars="200"/>
              <w:rPr>
                <w:sz w:val="24"/>
              </w:rPr>
            </w:pPr>
            <w:r>
              <w:rPr>
                <w:rFonts w:hint="eastAsia"/>
                <w:sz w:val="24"/>
              </w:rPr>
              <w:t>项目经采取以上措施，可有效防止废气沉降或废水泄漏或经雨水淋溶渗漏至土壤，避免对其产生污染。</w:t>
            </w:r>
          </w:p>
          <w:p>
            <w:pPr>
              <w:spacing w:line="360" w:lineRule="auto"/>
              <w:ind w:firstLine="480" w:firstLineChars="200"/>
              <w:rPr>
                <w:rFonts w:hint="eastAsia"/>
                <w:b/>
                <w:bCs/>
                <w:sz w:val="24"/>
              </w:rPr>
            </w:pPr>
          </w:p>
          <w:p>
            <w:pPr>
              <w:spacing w:line="360" w:lineRule="auto"/>
              <w:ind w:firstLine="480" w:firstLineChars="200"/>
              <w:rPr>
                <w:rFonts w:hint="eastAsia"/>
                <w:b/>
                <w:bCs/>
                <w:sz w:val="24"/>
              </w:rPr>
            </w:pPr>
          </w:p>
          <w:p>
            <w:pPr>
              <w:spacing w:line="360" w:lineRule="auto"/>
              <w:ind w:firstLine="480" w:firstLineChars="200"/>
              <w:rPr>
                <w:b/>
                <w:bCs/>
                <w:sz w:val="24"/>
              </w:rPr>
            </w:pPr>
            <w:r>
              <w:rPr>
                <w:rFonts w:hint="eastAsia"/>
                <w:b/>
                <w:bCs/>
                <w:sz w:val="24"/>
              </w:rPr>
              <w:t>五、</w:t>
            </w:r>
            <w:r>
              <w:rPr>
                <w:b/>
                <w:bCs/>
                <w:sz w:val="24"/>
              </w:rPr>
              <w:t>项目污染物汇总表</w:t>
            </w:r>
          </w:p>
          <w:p>
            <w:pPr>
              <w:ind w:firstLine="420" w:firstLineChars="200"/>
              <w:jc w:val="center"/>
            </w:pPr>
            <w:r>
              <w:rPr>
                <w:b/>
              </w:rPr>
              <w:t>表5-1</w:t>
            </w:r>
            <w:r>
              <w:rPr>
                <w:rFonts w:hint="eastAsia"/>
                <w:b/>
              </w:rPr>
              <w:t>1</w:t>
            </w:r>
            <w:r>
              <w:rPr>
                <w:b/>
              </w:rPr>
              <w:t xml:space="preserve"> 项目污染物汇总表  单位(t/a)</w:t>
            </w:r>
          </w:p>
          <w:tbl>
            <w:tblPr>
              <w:tblStyle w:val="56"/>
              <w:tblW w:w="4998" w:type="pct"/>
              <w:jc w:val="center"/>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731"/>
              <w:gridCol w:w="1463"/>
              <w:gridCol w:w="1812"/>
              <w:gridCol w:w="1431"/>
              <w:gridCol w:w="1418"/>
              <w:gridCol w:w="1454"/>
            </w:tblGrid>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tblHeader/>
                <w:jc w:val="center"/>
              </w:trPr>
              <w:tc>
                <w:tcPr>
                  <w:tcW w:w="439" w:type="pct"/>
                  <w:vAlign w:val="center"/>
                </w:tcPr>
                <w:p>
                  <w:pPr>
                    <w:jc w:val="center"/>
                    <w:rPr>
                      <w:b/>
                      <w:szCs w:val="21"/>
                    </w:rPr>
                  </w:pPr>
                  <w:r>
                    <w:rPr>
                      <w:b/>
                      <w:szCs w:val="21"/>
                    </w:rPr>
                    <w:t>分类</w:t>
                  </w:r>
                </w:p>
              </w:tc>
              <w:tc>
                <w:tcPr>
                  <w:tcW w:w="1970" w:type="pct"/>
                  <w:gridSpan w:val="2"/>
                  <w:vAlign w:val="center"/>
                </w:tcPr>
                <w:p>
                  <w:pPr>
                    <w:jc w:val="center"/>
                    <w:rPr>
                      <w:b/>
                      <w:szCs w:val="21"/>
                    </w:rPr>
                  </w:pPr>
                  <w:r>
                    <w:rPr>
                      <w:b/>
                      <w:szCs w:val="21"/>
                    </w:rPr>
                    <w:t>污染物</w:t>
                  </w:r>
                </w:p>
              </w:tc>
              <w:tc>
                <w:tcPr>
                  <w:tcW w:w="861" w:type="pct"/>
                  <w:vAlign w:val="center"/>
                </w:tcPr>
                <w:p>
                  <w:pPr>
                    <w:jc w:val="center"/>
                    <w:rPr>
                      <w:b/>
                      <w:szCs w:val="21"/>
                    </w:rPr>
                  </w:pPr>
                  <w:r>
                    <w:rPr>
                      <w:b/>
                      <w:szCs w:val="21"/>
                    </w:rPr>
                    <w:t>产生量</w:t>
                  </w:r>
                </w:p>
              </w:tc>
              <w:tc>
                <w:tcPr>
                  <w:tcW w:w="853" w:type="pct"/>
                  <w:vAlign w:val="center"/>
                </w:tcPr>
                <w:p>
                  <w:pPr>
                    <w:jc w:val="center"/>
                    <w:rPr>
                      <w:b/>
                      <w:szCs w:val="21"/>
                    </w:rPr>
                  </w:pPr>
                  <w:r>
                    <w:rPr>
                      <w:b/>
                      <w:szCs w:val="21"/>
                    </w:rPr>
                    <w:t>削减量</w:t>
                  </w:r>
                </w:p>
              </w:tc>
              <w:tc>
                <w:tcPr>
                  <w:tcW w:w="874" w:type="pct"/>
                  <w:vAlign w:val="center"/>
                </w:tcPr>
                <w:p>
                  <w:pPr>
                    <w:jc w:val="center"/>
                    <w:rPr>
                      <w:b/>
                      <w:szCs w:val="21"/>
                    </w:rPr>
                  </w:pPr>
                  <w:r>
                    <w:rPr>
                      <w:b/>
                      <w:szCs w:val="21"/>
                    </w:rPr>
                    <w:t>排放量</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tblHeader/>
                <w:jc w:val="center"/>
              </w:trPr>
              <w:tc>
                <w:tcPr>
                  <w:tcW w:w="439" w:type="pct"/>
                  <w:vMerge w:val="restart"/>
                  <w:vAlign w:val="center"/>
                </w:tcPr>
                <w:p>
                  <w:pPr>
                    <w:jc w:val="center"/>
                    <w:rPr>
                      <w:szCs w:val="21"/>
                    </w:rPr>
                  </w:pPr>
                  <w:r>
                    <w:rPr>
                      <w:bCs/>
                      <w:szCs w:val="21"/>
                    </w:rPr>
                    <w:t>废水</w:t>
                  </w:r>
                </w:p>
              </w:tc>
              <w:tc>
                <w:tcPr>
                  <w:tcW w:w="880" w:type="pct"/>
                  <w:vMerge w:val="restart"/>
                  <w:vAlign w:val="center"/>
                </w:tcPr>
                <w:p>
                  <w:pPr>
                    <w:jc w:val="center"/>
                    <w:rPr>
                      <w:szCs w:val="21"/>
                    </w:rPr>
                  </w:pPr>
                  <w:r>
                    <w:rPr>
                      <w:szCs w:val="21"/>
                    </w:rPr>
                    <w:t>生活污水</w:t>
                  </w:r>
                </w:p>
              </w:tc>
              <w:tc>
                <w:tcPr>
                  <w:tcW w:w="1090" w:type="pct"/>
                  <w:vAlign w:val="center"/>
                </w:tcPr>
                <w:p>
                  <w:pPr>
                    <w:jc w:val="center"/>
                    <w:rPr>
                      <w:szCs w:val="21"/>
                    </w:rPr>
                  </w:pPr>
                  <w:r>
                    <w:rPr>
                      <w:szCs w:val="21"/>
                    </w:rPr>
                    <w:t>废水量</w:t>
                  </w:r>
                </w:p>
              </w:tc>
              <w:tc>
                <w:tcPr>
                  <w:tcW w:w="861" w:type="pct"/>
                  <w:vAlign w:val="center"/>
                </w:tcPr>
                <w:p>
                  <w:pPr>
                    <w:widowControl/>
                    <w:jc w:val="center"/>
                    <w:rPr>
                      <w:rFonts w:hint="default" w:eastAsia="宋体"/>
                      <w:szCs w:val="21"/>
                      <w:lang w:val="en-US" w:eastAsia="zh-CN"/>
                    </w:rPr>
                  </w:pPr>
                  <w:r>
                    <w:rPr>
                      <w:rFonts w:hint="eastAsia"/>
                      <w:szCs w:val="21"/>
                      <w:lang w:val="en-US" w:eastAsia="zh-CN"/>
                    </w:rPr>
                    <w:t>360</w:t>
                  </w:r>
                </w:p>
              </w:tc>
              <w:tc>
                <w:tcPr>
                  <w:tcW w:w="853" w:type="pct"/>
                  <w:vAlign w:val="center"/>
                </w:tcPr>
                <w:p>
                  <w:pPr>
                    <w:widowControl/>
                    <w:jc w:val="center"/>
                    <w:textAlignment w:val="center"/>
                    <w:rPr>
                      <w:szCs w:val="21"/>
                    </w:rPr>
                  </w:pPr>
                  <w:r>
                    <w:rPr>
                      <w:kern w:val="0"/>
                      <w:szCs w:val="21"/>
                      <w:lang w:bidi="ar"/>
                    </w:rPr>
                    <w:t>0</w:t>
                  </w:r>
                </w:p>
              </w:tc>
              <w:tc>
                <w:tcPr>
                  <w:tcW w:w="874" w:type="pct"/>
                  <w:vAlign w:val="center"/>
                </w:tcPr>
                <w:p>
                  <w:pPr>
                    <w:jc w:val="center"/>
                    <w:rPr>
                      <w:rFonts w:hint="default" w:eastAsia="宋体"/>
                      <w:szCs w:val="21"/>
                      <w:lang w:val="en-US" w:eastAsia="zh-CN"/>
                    </w:rPr>
                  </w:pPr>
                  <w:r>
                    <w:rPr>
                      <w:rFonts w:hint="eastAsia"/>
                      <w:szCs w:val="21"/>
                    </w:rPr>
                    <w:t>3</w:t>
                  </w:r>
                  <w:r>
                    <w:rPr>
                      <w:rFonts w:hint="eastAsia"/>
                      <w:szCs w:val="21"/>
                      <w:lang w:val="en-US" w:eastAsia="zh-CN"/>
                    </w:rPr>
                    <w:t>60</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90" w:hRule="atLeast"/>
                <w:tblHeader/>
                <w:jc w:val="center"/>
              </w:trPr>
              <w:tc>
                <w:tcPr>
                  <w:tcW w:w="439" w:type="pct"/>
                  <w:vMerge w:val="continue"/>
                  <w:vAlign w:val="center"/>
                </w:tcPr>
                <w:p>
                  <w:pPr>
                    <w:jc w:val="center"/>
                    <w:rPr>
                      <w:szCs w:val="21"/>
                    </w:rPr>
                  </w:pPr>
                </w:p>
              </w:tc>
              <w:tc>
                <w:tcPr>
                  <w:tcW w:w="880" w:type="pct"/>
                  <w:vMerge w:val="continue"/>
                  <w:vAlign w:val="center"/>
                </w:tcPr>
                <w:p>
                  <w:pPr>
                    <w:jc w:val="center"/>
                    <w:rPr>
                      <w:szCs w:val="21"/>
                    </w:rPr>
                  </w:pPr>
                </w:p>
              </w:tc>
              <w:tc>
                <w:tcPr>
                  <w:tcW w:w="1090" w:type="pct"/>
                  <w:vAlign w:val="center"/>
                </w:tcPr>
                <w:p>
                  <w:pPr>
                    <w:widowControl/>
                    <w:jc w:val="center"/>
                    <w:rPr>
                      <w:kern w:val="0"/>
                      <w:szCs w:val="21"/>
                    </w:rPr>
                  </w:pPr>
                  <w:r>
                    <w:rPr>
                      <w:szCs w:val="21"/>
                    </w:rPr>
                    <w:t>COD</w:t>
                  </w:r>
                </w:p>
              </w:tc>
              <w:tc>
                <w:tcPr>
                  <w:tcW w:w="861" w:type="pct"/>
                  <w:vAlign w:val="center"/>
                </w:tcPr>
                <w:p>
                  <w:pPr>
                    <w:jc w:val="center"/>
                    <w:rPr>
                      <w:szCs w:val="21"/>
                    </w:rPr>
                  </w:pPr>
                  <w:r>
                    <w:rPr>
                      <w:rFonts w:hint="eastAsia"/>
                      <w:szCs w:val="21"/>
                      <w:lang w:val="en-US" w:eastAsia="zh-CN"/>
                    </w:rPr>
                    <w:t>0.144</w:t>
                  </w:r>
                </w:p>
              </w:tc>
              <w:tc>
                <w:tcPr>
                  <w:tcW w:w="853" w:type="pct"/>
                  <w:vAlign w:val="center"/>
                </w:tcPr>
                <w:p>
                  <w:pPr>
                    <w:widowControl/>
                    <w:jc w:val="center"/>
                    <w:textAlignment w:val="center"/>
                    <w:rPr>
                      <w:rFonts w:hint="default" w:eastAsia="宋体"/>
                      <w:szCs w:val="21"/>
                      <w:lang w:val="en-US" w:eastAsia="zh-CN"/>
                    </w:rPr>
                  </w:pPr>
                  <w:r>
                    <w:rPr>
                      <w:kern w:val="0"/>
                      <w:szCs w:val="21"/>
                      <w:lang w:bidi="ar"/>
                    </w:rPr>
                    <w:t>0.0</w:t>
                  </w:r>
                  <w:r>
                    <w:rPr>
                      <w:rFonts w:hint="eastAsia"/>
                      <w:kern w:val="0"/>
                      <w:szCs w:val="21"/>
                      <w:lang w:val="en-US" w:eastAsia="zh-CN" w:bidi="ar"/>
                    </w:rPr>
                    <w:t>22</w:t>
                  </w:r>
                </w:p>
              </w:tc>
              <w:tc>
                <w:tcPr>
                  <w:tcW w:w="874" w:type="pct"/>
                  <w:vAlign w:val="center"/>
                </w:tcPr>
                <w:p>
                  <w:pPr>
                    <w:jc w:val="center"/>
                    <w:rPr>
                      <w:szCs w:val="21"/>
                    </w:rPr>
                  </w:pPr>
                  <w:r>
                    <w:rPr>
                      <w:rFonts w:hint="eastAsia"/>
                      <w:szCs w:val="21"/>
                      <w:lang w:val="en-US" w:eastAsia="zh-CN"/>
                    </w:rPr>
                    <w:t>0.122</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tblHeader/>
                <w:jc w:val="center"/>
              </w:trPr>
              <w:tc>
                <w:tcPr>
                  <w:tcW w:w="439" w:type="pct"/>
                  <w:vMerge w:val="continue"/>
                  <w:vAlign w:val="center"/>
                </w:tcPr>
                <w:p>
                  <w:pPr>
                    <w:jc w:val="center"/>
                    <w:rPr>
                      <w:szCs w:val="21"/>
                    </w:rPr>
                  </w:pPr>
                </w:p>
              </w:tc>
              <w:tc>
                <w:tcPr>
                  <w:tcW w:w="880" w:type="pct"/>
                  <w:vMerge w:val="continue"/>
                  <w:vAlign w:val="center"/>
                </w:tcPr>
                <w:p>
                  <w:pPr>
                    <w:jc w:val="center"/>
                    <w:rPr>
                      <w:szCs w:val="21"/>
                    </w:rPr>
                  </w:pPr>
                </w:p>
              </w:tc>
              <w:tc>
                <w:tcPr>
                  <w:tcW w:w="1090" w:type="pct"/>
                  <w:vAlign w:val="center"/>
                </w:tcPr>
                <w:p>
                  <w:pPr>
                    <w:jc w:val="center"/>
                    <w:rPr>
                      <w:szCs w:val="21"/>
                    </w:rPr>
                  </w:pPr>
                  <w:r>
                    <w:rPr>
                      <w:szCs w:val="21"/>
                    </w:rPr>
                    <w:t>SS</w:t>
                  </w:r>
                </w:p>
              </w:tc>
              <w:tc>
                <w:tcPr>
                  <w:tcW w:w="861" w:type="pct"/>
                  <w:vAlign w:val="center"/>
                </w:tcPr>
                <w:p>
                  <w:pPr>
                    <w:jc w:val="center"/>
                    <w:rPr>
                      <w:rFonts w:hint="eastAsia"/>
                      <w:szCs w:val="21"/>
                      <w:lang w:val="en-US" w:eastAsia="zh-CN"/>
                    </w:rPr>
                  </w:pPr>
                  <w:r>
                    <w:rPr>
                      <w:rFonts w:hint="eastAsia"/>
                      <w:szCs w:val="21"/>
                      <w:lang w:val="en-US" w:eastAsia="zh-CN"/>
                    </w:rPr>
                    <w:t>0.072</w:t>
                  </w:r>
                </w:p>
              </w:tc>
              <w:tc>
                <w:tcPr>
                  <w:tcW w:w="853" w:type="pct"/>
                  <w:vAlign w:val="center"/>
                </w:tcPr>
                <w:p>
                  <w:pPr>
                    <w:jc w:val="center"/>
                    <w:rPr>
                      <w:rFonts w:hint="eastAsia"/>
                      <w:szCs w:val="21"/>
                      <w:lang w:val="en-US" w:eastAsia="zh-CN"/>
                    </w:rPr>
                  </w:pPr>
                  <w:r>
                    <w:rPr>
                      <w:rFonts w:hint="eastAsia"/>
                      <w:szCs w:val="21"/>
                      <w:lang w:val="en-US" w:eastAsia="zh-CN"/>
                    </w:rPr>
                    <w:t>0.014</w:t>
                  </w:r>
                </w:p>
              </w:tc>
              <w:tc>
                <w:tcPr>
                  <w:tcW w:w="874" w:type="pct"/>
                  <w:vAlign w:val="center"/>
                </w:tcPr>
                <w:p>
                  <w:pPr>
                    <w:jc w:val="center"/>
                    <w:rPr>
                      <w:rFonts w:hint="eastAsia"/>
                      <w:szCs w:val="21"/>
                      <w:lang w:val="en-US" w:eastAsia="zh-CN"/>
                    </w:rPr>
                  </w:pPr>
                  <w:r>
                    <w:rPr>
                      <w:rFonts w:hint="eastAsia"/>
                      <w:szCs w:val="21"/>
                      <w:lang w:val="en-US" w:eastAsia="zh-CN"/>
                    </w:rPr>
                    <w:t>0.058</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tblHeader/>
                <w:jc w:val="center"/>
              </w:trPr>
              <w:tc>
                <w:tcPr>
                  <w:tcW w:w="439" w:type="pct"/>
                  <w:vMerge w:val="continue"/>
                  <w:vAlign w:val="center"/>
                </w:tcPr>
                <w:p>
                  <w:pPr>
                    <w:jc w:val="center"/>
                    <w:rPr>
                      <w:szCs w:val="21"/>
                    </w:rPr>
                  </w:pPr>
                </w:p>
              </w:tc>
              <w:tc>
                <w:tcPr>
                  <w:tcW w:w="880" w:type="pct"/>
                  <w:vMerge w:val="continue"/>
                  <w:vAlign w:val="center"/>
                </w:tcPr>
                <w:p>
                  <w:pPr>
                    <w:jc w:val="center"/>
                    <w:rPr>
                      <w:szCs w:val="21"/>
                    </w:rPr>
                  </w:pPr>
                </w:p>
              </w:tc>
              <w:tc>
                <w:tcPr>
                  <w:tcW w:w="1090" w:type="pct"/>
                  <w:vAlign w:val="center"/>
                </w:tcPr>
                <w:p>
                  <w:pPr>
                    <w:jc w:val="center"/>
                    <w:rPr>
                      <w:szCs w:val="21"/>
                    </w:rPr>
                  </w:pPr>
                  <w:r>
                    <w:rPr>
                      <w:szCs w:val="21"/>
                    </w:rPr>
                    <w:t>NH</w:t>
                  </w:r>
                  <w:r>
                    <w:rPr>
                      <w:szCs w:val="21"/>
                      <w:vertAlign w:val="subscript"/>
                    </w:rPr>
                    <w:t>3</w:t>
                  </w:r>
                  <w:r>
                    <w:rPr>
                      <w:szCs w:val="21"/>
                    </w:rPr>
                    <w:t>-N</w:t>
                  </w:r>
                </w:p>
              </w:tc>
              <w:tc>
                <w:tcPr>
                  <w:tcW w:w="861" w:type="pct"/>
                  <w:vAlign w:val="center"/>
                </w:tcPr>
                <w:p>
                  <w:pPr>
                    <w:jc w:val="center"/>
                    <w:rPr>
                      <w:rFonts w:hint="eastAsia"/>
                      <w:szCs w:val="21"/>
                      <w:lang w:val="en-US" w:eastAsia="zh-CN"/>
                    </w:rPr>
                  </w:pPr>
                  <w:r>
                    <w:rPr>
                      <w:rFonts w:hint="eastAsia"/>
                      <w:szCs w:val="21"/>
                      <w:lang w:val="en-US" w:eastAsia="zh-CN"/>
                    </w:rPr>
                    <w:t>0.0126</w:t>
                  </w:r>
                </w:p>
              </w:tc>
              <w:tc>
                <w:tcPr>
                  <w:tcW w:w="853" w:type="pct"/>
                  <w:vAlign w:val="center"/>
                </w:tcPr>
                <w:p>
                  <w:pPr>
                    <w:jc w:val="center"/>
                    <w:rPr>
                      <w:rFonts w:hint="eastAsia"/>
                      <w:szCs w:val="21"/>
                      <w:lang w:val="en-US" w:eastAsia="zh-CN"/>
                    </w:rPr>
                  </w:pPr>
                  <w:r>
                    <w:rPr>
                      <w:rFonts w:hint="eastAsia"/>
                      <w:szCs w:val="21"/>
                      <w:lang w:val="en-US" w:eastAsia="zh-CN"/>
                    </w:rPr>
                    <w:t>0</w:t>
                  </w:r>
                </w:p>
              </w:tc>
              <w:tc>
                <w:tcPr>
                  <w:tcW w:w="874" w:type="pct"/>
                  <w:vAlign w:val="center"/>
                </w:tcPr>
                <w:p>
                  <w:pPr>
                    <w:jc w:val="center"/>
                    <w:rPr>
                      <w:rFonts w:hint="eastAsia"/>
                      <w:szCs w:val="21"/>
                      <w:lang w:val="en-US" w:eastAsia="zh-CN"/>
                    </w:rPr>
                  </w:pPr>
                  <w:r>
                    <w:rPr>
                      <w:rFonts w:hint="eastAsia"/>
                      <w:szCs w:val="21"/>
                      <w:lang w:val="en-US" w:eastAsia="zh-CN"/>
                    </w:rPr>
                    <w:t>0.0126</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17" w:hRule="atLeast"/>
                <w:tblHeader/>
                <w:jc w:val="center"/>
              </w:trPr>
              <w:tc>
                <w:tcPr>
                  <w:tcW w:w="439" w:type="pct"/>
                  <w:vMerge w:val="continue"/>
                  <w:vAlign w:val="center"/>
                </w:tcPr>
                <w:p>
                  <w:pPr>
                    <w:jc w:val="center"/>
                    <w:rPr>
                      <w:szCs w:val="21"/>
                    </w:rPr>
                  </w:pPr>
                </w:p>
              </w:tc>
              <w:tc>
                <w:tcPr>
                  <w:tcW w:w="880" w:type="pct"/>
                  <w:vMerge w:val="continue"/>
                  <w:vAlign w:val="center"/>
                </w:tcPr>
                <w:p>
                  <w:pPr>
                    <w:jc w:val="center"/>
                    <w:rPr>
                      <w:szCs w:val="21"/>
                    </w:rPr>
                  </w:pPr>
                </w:p>
              </w:tc>
              <w:tc>
                <w:tcPr>
                  <w:tcW w:w="1090" w:type="pct"/>
                  <w:vAlign w:val="center"/>
                </w:tcPr>
                <w:p>
                  <w:pPr>
                    <w:jc w:val="center"/>
                    <w:rPr>
                      <w:szCs w:val="21"/>
                    </w:rPr>
                  </w:pPr>
                  <w:r>
                    <w:rPr>
                      <w:szCs w:val="21"/>
                    </w:rPr>
                    <w:t>TP</w:t>
                  </w:r>
                </w:p>
              </w:tc>
              <w:tc>
                <w:tcPr>
                  <w:tcW w:w="861" w:type="pct"/>
                  <w:vAlign w:val="center"/>
                </w:tcPr>
                <w:p>
                  <w:pPr>
                    <w:jc w:val="center"/>
                    <w:rPr>
                      <w:rFonts w:hint="eastAsia"/>
                      <w:szCs w:val="21"/>
                      <w:lang w:val="en-US" w:eastAsia="zh-CN"/>
                    </w:rPr>
                  </w:pPr>
                  <w:r>
                    <w:rPr>
                      <w:rFonts w:hint="eastAsia"/>
                      <w:szCs w:val="21"/>
                      <w:lang w:val="en-US" w:eastAsia="zh-CN"/>
                    </w:rPr>
                    <w:t>0.0011</w:t>
                  </w:r>
                </w:p>
              </w:tc>
              <w:tc>
                <w:tcPr>
                  <w:tcW w:w="853" w:type="pct"/>
                  <w:vAlign w:val="center"/>
                </w:tcPr>
                <w:p>
                  <w:pPr>
                    <w:jc w:val="center"/>
                    <w:rPr>
                      <w:rFonts w:hint="eastAsia"/>
                      <w:szCs w:val="21"/>
                      <w:lang w:val="en-US" w:eastAsia="zh-CN"/>
                    </w:rPr>
                  </w:pPr>
                  <w:r>
                    <w:rPr>
                      <w:rFonts w:hint="eastAsia"/>
                      <w:szCs w:val="21"/>
                      <w:lang w:val="en-US" w:eastAsia="zh-CN"/>
                    </w:rPr>
                    <w:t>0</w:t>
                  </w:r>
                </w:p>
              </w:tc>
              <w:tc>
                <w:tcPr>
                  <w:tcW w:w="874" w:type="pct"/>
                  <w:vAlign w:val="center"/>
                </w:tcPr>
                <w:p>
                  <w:pPr>
                    <w:jc w:val="center"/>
                    <w:rPr>
                      <w:rFonts w:hint="eastAsia"/>
                      <w:szCs w:val="21"/>
                      <w:lang w:val="en-US" w:eastAsia="zh-CN"/>
                    </w:rPr>
                  </w:pPr>
                  <w:r>
                    <w:rPr>
                      <w:rFonts w:hint="eastAsia"/>
                      <w:szCs w:val="21"/>
                      <w:lang w:val="en-US" w:eastAsia="zh-CN"/>
                    </w:rPr>
                    <w:t>0.0011</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tblHeader/>
                <w:jc w:val="center"/>
              </w:trPr>
              <w:tc>
                <w:tcPr>
                  <w:tcW w:w="439" w:type="pct"/>
                  <w:vMerge w:val="continue"/>
                  <w:vAlign w:val="center"/>
                </w:tcPr>
                <w:p>
                  <w:pPr>
                    <w:jc w:val="center"/>
                    <w:rPr>
                      <w:szCs w:val="21"/>
                    </w:rPr>
                  </w:pPr>
                </w:p>
              </w:tc>
              <w:tc>
                <w:tcPr>
                  <w:tcW w:w="880" w:type="pct"/>
                  <w:vMerge w:val="continue"/>
                  <w:vAlign w:val="center"/>
                </w:tcPr>
                <w:p>
                  <w:pPr>
                    <w:jc w:val="center"/>
                    <w:rPr>
                      <w:szCs w:val="21"/>
                    </w:rPr>
                  </w:pPr>
                </w:p>
              </w:tc>
              <w:tc>
                <w:tcPr>
                  <w:tcW w:w="1090" w:type="pct"/>
                  <w:vAlign w:val="center"/>
                </w:tcPr>
                <w:p>
                  <w:pPr>
                    <w:widowControl/>
                    <w:jc w:val="center"/>
                    <w:rPr>
                      <w:kern w:val="0"/>
                      <w:szCs w:val="21"/>
                    </w:rPr>
                  </w:pPr>
                  <w:r>
                    <w:rPr>
                      <w:szCs w:val="21"/>
                    </w:rPr>
                    <w:t>TN</w:t>
                  </w:r>
                </w:p>
              </w:tc>
              <w:tc>
                <w:tcPr>
                  <w:tcW w:w="861" w:type="pct"/>
                  <w:vAlign w:val="center"/>
                </w:tcPr>
                <w:p>
                  <w:pPr>
                    <w:jc w:val="center"/>
                    <w:rPr>
                      <w:rFonts w:hint="eastAsia"/>
                      <w:szCs w:val="21"/>
                      <w:lang w:val="en-US" w:eastAsia="zh-CN"/>
                    </w:rPr>
                  </w:pPr>
                  <w:r>
                    <w:rPr>
                      <w:rFonts w:hint="eastAsia"/>
                      <w:szCs w:val="21"/>
                      <w:lang w:val="en-US" w:eastAsia="zh-CN"/>
                    </w:rPr>
                    <w:t>0.018</w:t>
                  </w:r>
                </w:p>
              </w:tc>
              <w:tc>
                <w:tcPr>
                  <w:tcW w:w="853" w:type="pct"/>
                  <w:vAlign w:val="center"/>
                </w:tcPr>
                <w:p>
                  <w:pPr>
                    <w:jc w:val="center"/>
                    <w:rPr>
                      <w:rFonts w:hint="eastAsia"/>
                      <w:szCs w:val="21"/>
                      <w:lang w:val="en-US" w:eastAsia="zh-CN"/>
                    </w:rPr>
                  </w:pPr>
                  <w:r>
                    <w:rPr>
                      <w:rFonts w:hint="eastAsia"/>
                      <w:szCs w:val="21"/>
                      <w:lang w:val="en-US" w:eastAsia="zh-CN"/>
                    </w:rPr>
                    <w:t>0</w:t>
                  </w:r>
                </w:p>
              </w:tc>
              <w:tc>
                <w:tcPr>
                  <w:tcW w:w="874" w:type="pct"/>
                  <w:vAlign w:val="center"/>
                </w:tcPr>
                <w:p>
                  <w:pPr>
                    <w:jc w:val="center"/>
                    <w:rPr>
                      <w:rFonts w:hint="eastAsia"/>
                      <w:szCs w:val="21"/>
                      <w:lang w:val="en-US" w:eastAsia="zh-CN"/>
                    </w:rPr>
                  </w:pPr>
                  <w:r>
                    <w:rPr>
                      <w:rFonts w:hint="eastAsia"/>
                      <w:szCs w:val="21"/>
                      <w:lang w:val="en-US" w:eastAsia="zh-CN"/>
                    </w:rPr>
                    <w:t>0.018</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tblHeader/>
                <w:jc w:val="center"/>
              </w:trPr>
              <w:tc>
                <w:tcPr>
                  <w:tcW w:w="439" w:type="pct"/>
                  <w:vMerge w:val="restart"/>
                  <w:vAlign w:val="center"/>
                </w:tcPr>
                <w:p>
                  <w:pPr>
                    <w:jc w:val="center"/>
                    <w:rPr>
                      <w:szCs w:val="21"/>
                    </w:rPr>
                  </w:pPr>
                  <w:r>
                    <w:rPr>
                      <w:szCs w:val="21"/>
                    </w:rPr>
                    <w:t>废气</w:t>
                  </w:r>
                </w:p>
              </w:tc>
              <w:tc>
                <w:tcPr>
                  <w:tcW w:w="880" w:type="pct"/>
                  <w:vMerge w:val="restart"/>
                  <w:vAlign w:val="center"/>
                </w:tcPr>
                <w:p>
                  <w:pPr>
                    <w:jc w:val="center"/>
                    <w:rPr>
                      <w:szCs w:val="21"/>
                    </w:rPr>
                  </w:pPr>
                  <w:r>
                    <w:rPr>
                      <w:rFonts w:hint="eastAsia"/>
                      <w:szCs w:val="21"/>
                    </w:rPr>
                    <w:t>有组织废气</w:t>
                  </w:r>
                </w:p>
              </w:tc>
              <w:tc>
                <w:tcPr>
                  <w:tcW w:w="1090" w:type="pct"/>
                  <w:vAlign w:val="center"/>
                </w:tcPr>
                <w:p>
                  <w:pPr>
                    <w:widowControl/>
                    <w:jc w:val="center"/>
                    <w:rPr>
                      <w:rFonts w:hint="eastAsia" w:eastAsia="宋体"/>
                      <w:szCs w:val="21"/>
                      <w:lang w:eastAsia="zh-CN"/>
                    </w:rPr>
                  </w:pPr>
                  <w:r>
                    <w:rPr>
                      <w:rFonts w:hint="eastAsia"/>
                      <w:szCs w:val="21"/>
                      <w:lang w:eastAsia="zh-CN"/>
                    </w:rPr>
                    <w:t>粉尘</w:t>
                  </w:r>
                </w:p>
              </w:tc>
              <w:tc>
                <w:tcPr>
                  <w:tcW w:w="861" w:type="pct"/>
                  <w:vAlign w:val="center"/>
                </w:tcPr>
                <w:p>
                  <w:pPr>
                    <w:jc w:val="center"/>
                    <w:rPr>
                      <w:rFonts w:hint="default"/>
                      <w:szCs w:val="21"/>
                      <w:lang w:val="en-US" w:eastAsia="zh-CN"/>
                    </w:rPr>
                  </w:pPr>
                  <w:r>
                    <w:rPr>
                      <w:rFonts w:hint="eastAsia"/>
                      <w:szCs w:val="21"/>
                      <w:lang w:val="en-US" w:eastAsia="zh-CN"/>
                    </w:rPr>
                    <w:t>0.01</w:t>
                  </w:r>
                </w:p>
              </w:tc>
              <w:tc>
                <w:tcPr>
                  <w:tcW w:w="853" w:type="pct"/>
                  <w:vAlign w:val="center"/>
                </w:tcPr>
                <w:p>
                  <w:pPr>
                    <w:jc w:val="center"/>
                    <w:rPr>
                      <w:rFonts w:hint="default"/>
                      <w:szCs w:val="21"/>
                      <w:lang w:val="en-US" w:eastAsia="zh-CN"/>
                    </w:rPr>
                  </w:pPr>
                  <w:r>
                    <w:rPr>
                      <w:rFonts w:hint="eastAsia"/>
                      <w:szCs w:val="21"/>
                      <w:lang w:val="en-US" w:eastAsia="zh-CN"/>
                    </w:rPr>
                    <w:t>0.0095</w:t>
                  </w:r>
                </w:p>
              </w:tc>
              <w:tc>
                <w:tcPr>
                  <w:tcW w:w="874" w:type="pct"/>
                  <w:vAlign w:val="center"/>
                </w:tcPr>
                <w:p>
                  <w:pPr>
                    <w:jc w:val="center"/>
                    <w:rPr>
                      <w:rFonts w:hint="default"/>
                      <w:szCs w:val="21"/>
                      <w:lang w:val="en-US" w:eastAsia="zh-CN"/>
                    </w:rPr>
                  </w:pPr>
                  <w:r>
                    <w:rPr>
                      <w:rFonts w:hint="eastAsia"/>
                      <w:szCs w:val="21"/>
                      <w:lang w:val="en-US" w:eastAsia="zh-CN"/>
                    </w:rPr>
                    <w:t>0.0005</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tblHeader/>
                <w:jc w:val="center"/>
              </w:trPr>
              <w:tc>
                <w:tcPr>
                  <w:tcW w:w="439" w:type="pct"/>
                  <w:vMerge w:val="continue"/>
                  <w:vAlign w:val="center"/>
                </w:tcPr>
                <w:p>
                  <w:pPr>
                    <w:jc w:val="center"/>
                    <w:rPr>
                      <w:szCs w:val="21"/>
                    </w:rPr>
                  </w:pPr>
                </w:p>
              </w:tc>
              <w:tc>
                <w:tcPr>
                  <w:tcW w:w="880" w:type="pct"/>
                  <w:vMerge w:val="continue"/>
                  <w:vAlign w:val="center"/>
                </w:tcPr>
                <w:p>
                  <w:pPr>
                    <w:jc w:val="center"/>
                    <w:rPr>
                      <w:rFonts w:hint="eastAsia"/>
                      <w:szCs w:val="21"/>
                    </w:rPr>
                  </w:pPr>
                </w:p>
              </w:tc>
              <w:tc>
                <w:tcPr>
                  <w:tcW w:w="1090" w:type="pct"/>
                  <w:vAlign w:val="center"/>
                </w:tcPr>
                <w:p>
                  <w:pPr>
                    <w:widowControl/>
                    <w:jc w:val="center"/>
                    <w:rPr>
                      <w:rFonts w:hint="eastAsia" w:ascii="Times New Roman" w:hAnsi="Times New Roman" w:eastAsia="宋体" w:cs="Times New Roman"/>
                      <w:kern w:val="2"/>
                      <w:sz w:val="21"/>
                      <w:szCs w:val="21"/>
                      <w:lang w:val="en-US" w:eastAsia="zh-CN" w:bidi="ar-SA"/>
                    </w:rPr>
                  </w:pPr>
                  <w:r>
                    <w:rPr>
                      <w:rFonts w:hint="eastAsia"/>
                      <w:szCs w:val="21"/>
                      <w:lang w:eastAsia="zh-CN"/>
                    </w:rPr>
                    <w:t>非甲烷总烃</w:t>
                  </w:r>
                </w:p>
              </w:tc>
              <w:tc>
                <w:tcPr>
                  <w:tcW w:w="861" w:type="pct"/>
                  <w:vAlign w:val="center"/>
                </w:tcPr>
                <w:p>
                  <w:pPr>
                    <w:jc w:val="center"/>
                    <w:rPr>
                      <w:rFonts w:hint="eastAsia" w:ascii="Times New Roman" w:hAnsi="Times New Roman" w:eastAsia="宋体" w:cs="Times New Roman"/>
                      <w:kern w:val="2"/>
                      <w:sz w:val="21"/>
                      <w:szCs w:val="21"/>
                      <w:lang w:val="en-US" w:eastAsia="zh-CN" w:bidi="ar-SA"/>
                    </w:rPr>
                  </w:pPr>
                  <w:r>
                    <w:rPr>
                      <w:rFonts w:hint="eastAsia"/>
                      <w:szCs w:val="21"/>
                      <w:lang w:val="en-US" w:eastAsia="zh-CN"/>
                    </w:rPr>
                    <w:t>0.25kg/a</w:t>
                  </w:r>
                </w:p>
              </w:tc>
              <w:tc>
                <w:tcPr>
                  <w:tcW w:w="853" w:type="pct"/>
                  <w:vAlign w:val="center"/>
                </w:tcPr>
                <w:p>
                  <w:pPr>
                    <w:jc w:val="center"/>
                    <w:rPr>
                      <w:rFonts w:hint="eastAsia" w:ascii="Times New Roman" w:hAnsi="Times New Roman" w:eastAsia="宋体" w:cs="Times New Roman"/>
                      <w:kern w:val="2"/>
                      <w:sz w:val="21"/>
                      <w:szCs w:val="21"/>
                      <w:lang w:val="en-US" w:eastAsia="zh-CN" w:bidi="ar-SA"/>
                    </w:rPr>
                  </w:pPr>
                  <w:r>
                    <w:rPr>
                      <w:rFonts w:hint="eastAsia"/>
                      <w:szCs w:val="21"/>
                      <w:lang w:val="en-US" w:eastAsia="zh-CN"/>
                    </w:rPr>
                    <w:t>0.2kg/a</w:t>
                  </w:r>
                </w:p>
              </w:tc>
              <w:tc>
                <w:tcPr>
                  <w:tcW w:w="874" w:type="pct"/>
                  <w:vAlign w:val="center"/>
                </w:tcPr>
                <w:p>
                  <w:pPr>
                    <w:jc w:val="center"/>
                    <w:rPr>
                      <w:rFonts w:hint="eastAsia" w:ascii="Times New Roman" w:hAnsi="Times New Roman" w:eastAsia="宋体" w:cs="Times New Roman"/>
                      <w:kern w:val="2"/>
                      <w:sz w:val="21"/>
                      <w:szCs w:val="21"/>
                      <w:lang w:val="en-US" w:eastAsia="zh-CN" w:bidi="ar-SA"/>
                    </w:rPr>
                  </w:pPr>
                  <w:r>
                    <w:rPr>
                      <w:rFonts w:hint="eastAsia"/>
                      <w:szCs w:val="21"/>
                      <w:lang w:val="en-US" w:eastAsia="zh-CN"/>
                    </w:rPr>
                    <w:t>0.05kg/a</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tblHeader/>
                <w:jc w:val="center"/>
              </w:trPr>
              <w:tc>
                <w:tcPr>
                  <w:tcW w:w="439" w:type="pct"/>
                  <w:vMerge w:val="continue"/>
                  <w:vAlign w:val="center"/>
                </w:tcPr>
                <w:p>
                  <w:pPr>
                    <w:jc w:val="center"/>
                    <w:rPr>
                      <w:szCs w:val="21"/>
                    </w:rPr>
                  </w:pPr>
                </w:p>
              </w:tc>
              <w:tc>
                <w:tcPr>
                  <w:tcW w:w="880" w:type="pct"/>
                  <w:vMerge w:val="restart"/>
                  <w:vAlign w:val="center"/>
                </w:tcPr>
                <w:p>
                  <w:pPr>
                    <w:jc w:val="center"/>
                    <w:rPr>
                      <w:szCs w:val="21"/>
                    </w:rPr>
                  </w:pPr>
                  <w:r>
                    <w:rPr>
                      <w:rFonts w:hint="eastAsia"/>
                      <w:szCs w:val="21"/>
                    </w:rPr>
                    <w:t>无组织废气</w:t>
                  </w:r>
                </w:p>
              </w:tc>
              <w:tc>
                <w:tcPr>
                  <w:tcW w:w="1090" w:type="pct"/>
                  <w:vAlign w:val="center"/>
                </w:tcPr>
                <w:p>
                  <w:pPr>
                    <w:widowControl/>
                    <w:jc w:val="center"/>
                    <w:rPr>
                      <w:rFonts w:hint="eastAsia"/>
                      <w:szCs w:val="21"/>
                      <w:lang w:eastAsia="zh-CN"/>
                    </w:rPr>
                  </w:pPr>
                  <w:r>
                    <w:rPr>
                      <w:rFonts w:hint="eastAsia"/>
                      <w:szCs w:val="21"/>
                      <w:lang w:eastAsia="zh-CN"/>
                    </w:rPr>
                    <w:t>粉尘</w:t>
                  </w:r>
                </w:p>
              </w:tc>
              <w:tc>
                <w:tcPr>
                  <w:tcW w:w="861" w:type="pct"/>
                  <w:vAlign w:val="center"/>
                </w:tcPr>
                <w:p>
                  <w:pPr>
                    <w:jc w:val="center"/>
                    <w:rPr>
                      <w:rFonts w:hint="default"/>
                      <w:szCs w:val="21"/>
                      <w:lang w:val="en-US" w:eastAsia="zh-CN"/>
                    </w:rPr>
                  </w:pPr>
                  <w:r>
                    <w:rPr>
                      <w:rFonts w:hint="eastAsia"/>
                      <w:szCs w:val="21"/>
                      <w:lang w:val="en-US" w:eastAsia="zh-CN"/>
                    </w:rPr>
                    <w:t>0.001</w:t>
                  </w:r>
                </w:p>
              </w:tc>
              <w:tc>
                <w:tcPr>
                  <w:tcW w:w="853" w:type="pct"/>
                  <w:vAlign w:val="center"/>
                </w:tcPr>
                <w:p>
                  <w:pPr>
                    <w:jc w:val="center"/>
                    <w:rPr>
                      <w:rFonts w:hint="default"/>
                      <w:szCs w:val="21"/>
                      <w:lang w:val="en-US" w:eastAsia="zh-CN"/>
                    </w:rPr>
                  </w:pPr>
                  <w:r>
                    <w:rPr>
                      <w:rFonts w:hint="eastAsia"/>
                      <w:szCs w:val="21"/>
                      <w:lang w:val="en-US" w:eastAsia="zh-CN"/>
                    </w:rPr>
                    <w:t>0</w:t>
                  </w:r>
                </w:p>
              </w:tc>
              <w:tc>
                <w:tcPr>
                  <w:tcW w:w="874" w:type="pct"/>
                  <w:vAlign w:val="center"/>
                </w:tcPr>
                <w:p>
                  <w:pPr>
                    <w:jc w:val="center"/>
                    <w:rPr>
                      <w:rFonts w:hint="default"/>
                      <w:szCs w:val="21"/>
                      <w:lang w:val="en-US" w:eastAsia="zh-CN"/>
                    </w:rPr>
                  </w:pPr>
                  <w:r>
                    <w:rPr>
                      <w:rFonts w:hint="eastAsia"/>
                      <w:szCs w:val="21"/>
                      <w:lang w:val="en-US" w:eastAsia="zh-CN"/>
                    </w:rPr>
                    <w:t>0.001</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tblHeader/>
                <w:jc w:val="center"/>
              </w:trPr>
              <w:tc>
                <w:tcPr>
                  <w:tcW w:w="439" w:type="pct"/>
                  <w:vMerge w:val="continue"/>
                  <w:vAlign w:val="center"/>
                </w:tcPr>
                <w:p>
                  <w:pPr>
                    <w:jc w:val="center"/>
                    <w:rPr>
                      <w:szCs w:val="21"/>
                    </w:rPr>
                  </w:pPr>
                </w:p>
              </w:tc>
              <w:tc>
                <w:tcPr>
                  <w:tcW w:w="880" w:type="pct"/>
                  <w:vMerge w:val="continue"/>
                  <w:vAlign w:val="center"/>
                </w:tcPr>
                <w:p>
                  <w:pPr>
                    <w:jc w:val="center"/>
                    <w:rPr>
                      <w:szCs w:val="21"/>
                    </w:rPr>
                  </w:pPr>
                </w:p>
              </w:tc>
              <w:tc>
                <w:tcPr>
                  <w:tcW w:w="1090" w:type="pct"/>
                  <w:vAlign w:val="center"/>
                </w:tcPr>
                <w:p>
                  <w:pPr>
                    <w:widowControl/>
                    <w:jc w:val="center"/>
                    <w:rPr>
                      <w:rFonts w:hint="eastAsia" w:eastAsia="宋体"/>
                      <w:szCs w:val="21"/>
                      <w:lang w:eastAsia="zh-CN"/>
                    </w:rPr>
                  </w:pPr>
                  <w:r>
                    <w:rPr>
                      <w:rFonts w:hint="eastAsia"/>
                      <w:szCs w:val="21"/>
                      <w:lang w:eastAsia="zh-CN"/>
                    </w:rPr>
                    <w:t>非甲烷总烃</w:t>
                  </w:r>
                </w:p>
              </w:tc>
              <w:tc>
                <w:tcPr>
                  <w:tcW w:w="861" w:type="pct"/>
                  <w:vAlign w:val="center"/>
                </w:tcPr>
                <w:p>
                  <w:pPr>
                    <w:jc w:val="center"/>
                    <w:rPr>
                      <w:rFonts w:hint="default"/>
                      <w:szCs w:val="21"/>
                      <w:lang w:val="en-US" w:eastAsia="zh-CN"/>
                    </w:rPr>
                  </w:pPr>
                  <w:r>
                    <w:rPr>
                      <w:rFonts w:hint="eastAsia"/>
                      <w:szCs w:val="21"/>
                      <w:lang w:val="en-US" w:eastAsia="zh-CN"/>
                    </w:rPr>
                    <w:t>0.07kg/a</w:t>
                  </w:r>
                </w:p>
              </w:tc>
              <w:tc>
                <w:tcPr>
                  <w:tcW w:w="853" w:type="pct"/>
                  <w:vAlign w:val="center"/>
                </w:tcPr>
                <w:p>
                  <w:pPr>
                    <w:jc w:val="center"/>
                    <w:rPr>
                      <w:rFonts w:hint="eastAsia"/>
                      <w:szCs w:val="21"/>
                      <w:lang w:val="en-US" w:eastAsia="zh-CN"/>
                    </w:rPr>
                  </w:pPr>
                  <w:r>
                    <w:rPr>
                      <w:rFonts w:hint="eastAsia"/>
                      <w:szCs w:val="21"/>
                      <w:lang w:val="en-US" w:eastAsia="zh-CN"/>
                    </w:rPr>
                    <w:t>0</w:t>
                  </w:r>
                </w:p>
              </w:tc>
              <w:tc>
                <w:tcPr>
                  <w:tcW w:w="874" w:type="pct"/>
                  <w:vAlign w:val="center"/>
                </w:tcPr>
                <w:p>
                  <w:pPr>
                    <w:jc w:val="center"/>
                    <w:rPr>
                      <w:rFonts w:hint="eastAsia"/>
                      <w:szCs w:val="21"/>
                      <w:lang w:val="en-US" w:eastAsia="zh-CN"/>
                    </w:rPr>
                  </w:pPr>
                  <w:r>
                    <w:rPr>
                      <w:rFonts w:hint="eastAsia"/>
                      <w:szCs w:val="21"/>
                      <w:lang w:val="en-US" w:eastAsia="zh-CN"/>
                    </w:rPr>
                    <w:t>0.07kg/a</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tblHeader/>
                <w:jc w:val="center"/>
              </w:trPr>
              <w:tc>
                <w:tcPr>
                  <w:tcW w:w="439" w:type="pct"/>
                  <w:vMerge w:val="restart"/>
                  <w:vAlign w:val="center"/>
                </w:tcPr>
                <w:p>
                  <w:pPr>
                    <w:jc w:val="center"/>
                    <w:rPr>
                      <w:szCs w:val="21"/>
                    </w:rPr>
                  </w:pPr>
                  <w:r>
                    <w:rPr>
                      <w:rFonts w:hint="eastAsia"/>
                      <w:szCs w:val="21"/>
                    </w:rPr>
                    <w:t>固废</w:t>
                  </w:r>
                </w:p>
              </w:tc>
              <w:tc>
                <w:tcPr>
                  <w:tcW w:w="1970" w:type="pct"/>
                  <w:gridSpan w:val="2"/>
                  <w:vAlign w:val="center"/>
                </w:tcPr>
                <w:p>
                  <w:pPr>
                    <w:widowControl/>
                    <w:jc w:val="center"/>
                    <w:rPr>
                      <w:szCs w:val="21"/>
                    </w:rPr>
                  </w:pPr>
                  <w:r>
                    <w:rPr>
                      <w:rFonts w:hint="eastAsia"/>
                      <w:szCs w:val="21"/>
                    </w:rPr>
                    <w:t>一般工业固废</w:t>
                  </w:r>
                </w:p>
              </w:tc>
              <w:tc>
                <w:tcPr>
                  <w:tcW w:w="861" w:type="pct"/>
                  <w:vAlign w:val="center"/>
                </w:tcPr>
                <w:p>
                  <w:pPr>
                    <w:jc w:val="center"/>
                    <w:rPr>
                      <w:rFonts w:hint="default"/>
                      <w:szCs w:val="21"/>
                      <w:lang w:val="en-US" w:eastAsia="zh-CN"/>
                    </w:rPr>
                  </w:pPr>
                  <w:r>
                    <w:rPr>
                      <w:rFonts w:hint="eastAsia"/>
                      <w:szCs w:val="21"/>
                      <w:lang w:val="en-US" w:eastAsia="zh-CN"/>
                    </w:rPr>
                    <w:t>0.11</w:t>
                  </w:r>
                </w:p>
              </w:tc>
              <w:tc>
                <w:tcPr>
                  <w:tcW w:w="853" w:type="pct"/>
                  <w:vAlign w:val="center"/>
                </w:tcPr>
                <w:p>
                  <w:pPr>
                    <w:jc w:val="center"/>
                    <w:rPr>
                      <w:rFonts w:hint="eastAsia"/>
                      <w:szCs w:val="21"/>
                      <w:lang w:val="en-US" w:eastAsia="zh-CN"/>
                    </w:rPr>
                  </w:pPr>
                  <w:r>
                    <w:rPr>
                      <w:rFonts w:hint="eastAsia"/>
                      <w:szCs w:val="21"/>
                      <w:lang w:val="en-US" w:eastAsia="zh-CN"/>
                    </w:rPr>
                    <w:t>0.11</w:t>
                  </w:r>
                </w:p>
              </w:tc>
              <w:tc>
                <w:tcPr>
                  <w:tcW w:w="874" w:type="pct"/>
                  <w:vAlign w:val="center"/>
                </w:tcPr>
                <w:p>
                  <w:pPr>
                    <w:jc w:val="center"/>
                    <w:rPr>
                      <w:rFonts w:hint="eastAsia"/>
                      <w:szCs w:val="21"/>
                      <w:lang w:val="en-US" w:eastAsia="zh-CN"/>
                    </w:rPr>
                  </w:pPr>
                  <w:r>
                    <w:rPr>
                      <w:rFonts w:hint="eastAsia"/>
                      <w:szCs w:val="21"/>
                      <w:lang w:val="en-US" w:eastAsia="zh-CN"/>
                    </w:rPr>
                    <w:t>0</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tblHeader/>
                <w:jc w:val="center"/>
              </w:trPr>
              <w:tc>
                <w:tcPr>
                  <w:tcW w:w="439" w:type="pct"/>
                  <w:vMerge w:val="continue"/>
                  <w:vAlign w:val="center"/>
                </w:tcPr>
                <w:p>
                  <w:pPr>
                    <w:jc w:val="center"/>
                    <w:rPr>
                      <w:szCs w:val="21"/>
                    </w:rPr>
                  </w:pPr>
                </w:p>
              </w:tc>
              <w:tc>
                <w:tcPr>
                  <w:tcW w:w="1970" w:type="pct"/>
                  <w:gridSpan w:val="2"/>
                  <w:vAlign w:val="center"/>
                </w:tcPr>
                <w:p>
                  <w:pPr>
                    <w:widowControl/>
                    <w:jc w:val="center"/>
                    <w:rPr>
                      <w:szCs w:val="21"/>
                    </w:rPr>
                  </w:pPr>
                  <w:r>
                    <w:rPr>
                      <w:rFonts w:hint="eastAsia"/>
                      <w:szCs w:val="21"/>
                    </w:rPr>
                    <w:t>危险废物</w:t>
                  </w:r>
                </w:p>
              </w:tc>
              <w:tc>
                <w:tcPr>
                  <w:tcW w:w="861" w:type="pct"/>
                  <w:vAlign w:val="center"/>
                </w:tcPr>
                <w:p>
                  <w:pPr>
                    <w:jc w:val="center"/>
                    <w:rPr>
                      <w:rFonts w:hint="default"/>
                      <w:szCs w:val="21"/>
                      <w:lang w:val="en-US" w:eastAsia="zh-CN"/>
                    </w:rPr>
                  </w:pPr>
                  <w:r>
                    <w:rPr>
                      <w:rFonts w:hint="eastAsia"/>
                      <w:szCs w:val="21"/>
                      <w:lang w:val="en-US" w:eastAsia="zh-CN"/>
                    </w:rPr>
                    <w:t>2.102</w:t>
                  </w:r>
                </w:p>
              </w:tc>
              <w:tc>
                <w:tcPr>
                  <w:tcW w:w="853" w:type="pct"/>
                  <w:vAlign w:val="center"/>
                </w:tcPr>
                <w:p>
                  <w:pPr>
                    <w:jc w:val="center"/>
                    <w:rPr>
                      <w:rFonts w:hint="default"/>
                      <w:szCs w:val="21"/>
                      <w:lang w:val="en-US" w:eastAsia="zh-CN"/>
                    </w:rPr>
                  </w:pPr>
                  <w:r>
                    <w:rPr>
                      <w:rFonts w:hint="eastAsia"/>
                      <w:szCs w:val="21"/>
                      <w:lang w:val="en-US" w:eastAsia="zh-CN"/>
                    </w:rPr>
                    <w:t>2.102</w:t>
                  </w:r>
                </w:p>
              </w:tc>
              <w:tc>
                <w:tcPr>
                  <w:tcW w:w="874" w:type="pct"/>
                  <w:vAlign w:val="center"/>
                </w:tcPr>
                <w:p>
                  <w:pPr>
                    <w:jc w:val="center"/>
                    <w:rPr>
                      <w:rFonts w:hint="eastAsia"/>
                      <w:szCs w:val="21"/>
                      <w:lang w:val="en-US" w:eastAsia="zh-CN"/>
                    </w:rPr>
                  </w:pPr>
                  <w:r>
                    <w:rPr>
                      <w:rFonts w:hint="eastAsia"/>
                      <w:szCs w:val="21"/>
                      <w:lang w:val="en-US" w:eastAsia="zh-CN"/>
                    </w:rPr>
                    <w:t>0</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tblHeader/>
                <w:jc w:val="center"/>
              </w:trPr>
              <w:tc>
                <w:tcPr>
                  <w:tcW w:w="439" w:type="pct"/>
                  <w:vMerge w:val="continue"/>
                  <w:vAlign w:val="center"/>
                </w:tcPr>
                <w:p>
                  <w:pPr>
                    <w:jc w:val="center"/>
                    <w:rPr>
                      <w:szCs w:val="21"/>
                    </w:rPr>
                  </w:pPr>
                </w:p>
              </w:tc>
              <w:tc>
                <w:tcPr>
                  <w:tcW w:w="1970" w:type="pct"/>
                  <w:gridSpan w:val="2"/>
                  <w:vAlign w:val="center"/>
                </w:tcPr>
                <w:p>
                  <w:pPr>
                    <w:widowControl/>
                    <w:jc w:val="center"/>
                    <w:rPr>
                      <w:szCs w:val="21"/>
                    </w:rPr>
                  </w:pPr>
                  <w:r>
                    <w:rPr>
                      <w:rFonts w:hint="eastAsia"/>
                      <w:szCs w:val="21"/>
                    </w:rPr>
                    <w:t>生活垃圾</w:t>
                  </w:r>
                </w:p>
              </w:tc>
              <w:tc>
                <w:tcPr>
                  <w:tcW w:w="861" w:type="pct"/>
                  <w:vAlign w:val="center"/>
                </w:tcPr>
                <w:p>
                  <w:pPr>
                    <w:jc w:val="center"/>
                    <w:rPr>
                      <w:rFonts w:hint="default" w:eastAsia="宋体"/>
                      <w:szCs w:val="21"/>
                      <w:lang w:val="en-US" w:eastAsia="zh-CN"/>
                    </w:rPr>
                  </w:pPr>
                  <w:r>
                    <w:rPr>
                      <w:rFonts w:hint="eastAsia"/>
                      <w:szCs w:val="21"/>
                      <w:lang w:val="en-US" w:eastAsia="zh-CN"/>
                    </w:rPr>
                    <w:t>4.5</w:t>
                  </w:r>
                </w:p>
              </w:tc>
              <w:tc>
                <w:tcPr>
                  <w:tcW w:w="853" w:type="pct"/>
                  <w:vAlign w:val="center"/>
                </w:tcPr>
                <w:p>
                  <w:pPr>
                    <w:jc w:val="center"/>
                    <w:rPr>
                      <w:szCs w:val="21"/>
                    </w:rPr>
                  </w:pPr>
                  <w:r>
                    <w:rPr>
                      <w:rFonts w:hint="eastAsia"/>
                      <w:szCs w:val="21"/>
                      <w:lang w:val="en-US" w:eastAsia="zh-CN"/>
                    </w:rPr>
                    <w:t>4.5</w:t>
                  </w:r>
                </w:p>
              </w:tc>
              <w:tc>
                <w:tcPr>
                  <w:tcW w:w="874" w:type="pct"/>
                  <w:vAlign w:val="center"/>
                </w:tcPr>
                <w:p>
                  <w:pPr>
                    <w:jc w:val="center"/>
                    <w:rPr>
                      <w:szCs w:val="21"/>
                    </w:rPr>
                  </w:pPr>
                  <w:r>
                    <w:rPr>
                      <w:rFonts w:hint="eastAsia"/>
                      <w:szCs w:val="21"/>
                    </w:rPr>
                    <w:t>0</w:t>
                  </w:r>
                </w:p>
              </w:tc>
            </w:tr>
          </w:tbl>
          <w:p>
            <w:pPr>
              <w:spacing w:line="360" w:lineRule="auto"/>
              <w:ind w:firstLine="480" w:firstLineChars="200"/>
              <w:rPr>
                <w:sz w:val="24"/>
                <w:szCs w:val="24"/>
              </w:rPr>
            </w:pPr>
          </w:p>
        </w:tc>
      </w:tr>
    </w:tbl>
    <w:p>
      <w:pPr>
        <w:pStyle w:val="312"/>
        <w:rPr>
          <w:rFonts w:ascii="Times New Roman" w:hAnsi="Times New Roman"/>
        </w:rPr>
      </w:pPr>
      <w:r>
        <w:rPr>
          <w:rFonts w:ascii="Times New Roman" w:hAnsi="Times New Roman"/>
        </w:rPr>
        <w:t>项目主要污染物产生及预计排放情况</w:t>
      </w:r>
    </w:p>
    <w:tbl>
      <w:tblPr>
        <w:tblStyle w:val="56"/>
        <w:tblW w:w="8483"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1011"/>
        <w:gridCol w:w="640"/>
        <w:gridCol w:w="975"/>
        <w:gridCol w:w="1185"/>
        <w:gridCol w:w="1220"/>
        <w:gridCol w:w="953"/>
        <w:gridCol w:w="1283"/>
        <w:gridCol w:w="1216"/>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454" w:hRule="atLeast"/>
          <w:jc w:val="center"/>
        </w:trPr>
        <w:tc>
          <w:tcPr>
            <w:tcW w:w="1011" w:type="dxa"/>
            <w:tcBorders>
              <w:tl2br w:val="single" w:color="auto" w:sz="6" w:space="0"/>
            </w:tcBorders>
            <w:vAlign w:val="center"/>
          </w:tcPr>
          <w:p>
            <w:pPr>
              <w:snapToGrid w:val="0"/>
              <w:jc w:val="center"/>
              <w:rPr>
                <w:b/>
                <w:szCs w:val="21"/>
              </w:rPr>
            </w:pPr>
            <w:r>
              <w:rPr>
                <w:b/>
                <w:szCs w:val="21"/>
              </w:rPr>
              <w:t>内容</w:t>
            </w:r>
          </w:p>
          <w:p>
            <w:pPr>
              <w:snapToGrid w:val="0"/>
              <w:jc w:val="center"/>
              <w:rPr>
                <w:b/>
                <w:szCs w:val="21"/>
              </w:rPr>
            </w:pPr>
            <w:r>
              <w:rPr>
                <w:b/>
                <w:szCs w:val="21"/>
              </w:rPr>
              <w:t>类型</w:t>
            </w:r>
          </w:p>
        </w:tc>
        <w:tc>
          <w:tcPr>
            <w:tcW w:w="1615" w:type="dxa"/>
            <w:gridSpan w:val="2"/>
            <w:vAlign w:val="center"/>
          </w:tcPr>
          <w:p>
            <w:pPr>
              <w:snapToGrid w:val="0"/>
              <w:rPr>
                <w:b/>
                <w:szCs w:val="21"/>
              </w:rPr>
            </w:pPr>
            <w:r>
              <w:rPr>
                <w:b/>
                <w:szCs w:val="21"/>
              </w:rPr>
              <w:t>排放源(编号)</w:t>
            </w:r>
          </w:p>
        </w:tc>
        <w:tc>
          <w:tcPr>
            <w:tcW w:w="1185" w:type="dxa"/>
            <w:tcBorders>
              <w:bottom w:val="single" w:color="auto" w:sz="4" w:space="0"/>
            </w:tcBorders>
            <w:vAlign w:val="center"/>
          </w:tcPr>
          <w:p>
            <w:pPr>
              <w:snapToGrid w:val="0"/>
              <w:jc w:val="center"/>
              <w:rPr>
                <w:b/>
                <w:spacing w:val="-4"/>
                <w:szCs w:val="21"/>
              </w:rPr>
            </w:pPr>
            <w:r>
              <w:rPr>
                <w:b/>
                <w:spacing w:val="-4"/>
                <w:szCs w:val="21"/>
              </w:rPr>
              <w:t>污染物名称</w:t>
            </w:r>
          </w:p>
        </w:tc>
        <w:tc>
          <w:tcPr>
            <w:tcW w:w="1220" w:type="dxa"/>
            <w:tcBorders>
              <w:bottom w:val="single" w:color="auto" w:sz="4" w:space="0"/>
            </w:tcBorders>
            <w:vAlign w:val="center"/>
          </w:tcPr>
          <w:p>
            <w:pPr>
              <w:jc w:val="center"/>
              <w:rPr>
                <w:b/>
              </w:rPr>
            </w:pPr>
            <w:r>
              <w:rPr>
                <w:b/>
                <w:szCs w:val="21"/>
              </w:rPr>
              <w:t>产生浓度</w:t>
            </w:r>
            <w:r>
              <w:rPr>
                <w:b/>
                <w:bCs/>
                <w:snapToGrid w:val="0"/>
                <w:szCs w:val="21"/>
              </w:rPr>
              <w:t>mg/m</w:t>
            </w:r>
            <w:r>
              <w:rPr>
                <w:b/>
                <w:bCs/>
                <w:snapToGrid w:val="0"/>
                <w:szCs w:val="21"/>
                <w:vertAlign w:val="superscript"/>
              </w:rPr>
              <w:t>3</w:t>
            </w:r>
          </w:p>
        </w:tc>
        <w:tc>
          <w:tcPr>
            <w:tcW w:w="953" w:type="dxa"/>
            <w:tcBorders>
              <w:bottom w:val="single" w:color="auto" w:sz="4" w:space="0"/>
            </w:tcBorders>
            <w:vAlign w:val="center"/>
          </w:tcPr>
          <w:p>
            <w:pPr>
              <w:jc w:val="center"/>
              <w:rPr>
                <w:b/>
              </w:rPr>
            </w:pPr>
            <w:r>
              <w:rPr>
                <w:b/>
              </w:rPr>
              <w:t>产生量</w:t>
            </w:r>
            <w:r>
              <w:rPr>
                <w:rFonts w:hint="eastAsia"/>
                <w:b/>
                <w:lang w:val="en-US" w:eastAsia="zh-CN"/>
              </w:rPr>
              <w:t>t</w:t>
            </w:r>
            <w:r>
              <w:rPr>
                <w:b/>
              </w:rPr>
              <w:t>/a</w:t>
            </w:r>
          </w:p>
        </w:tc>
        <w:tc>
          <w:tcPr>
            <w:tcW w:w="1283" w:type="dxa"/>
            <w:tcBorders>
              <w:bottom w:val="single" w:color="auto" w:sz="4" w:space="0"/>
            </w:tcBorders>
            <w:vAlign w:val="center"/>
          </w:tcPr>
          <w:p>
            <w:pPr>
              <w:jc w:val="center"/>
              <w:rPr>
                <w:b/>
              </w:rPr>
            </w:pPr>
            <w:r>
              <w:rPr>
                <w:b/>
                <w:szCs w:val="21"/>
              </w:rPr>
              <w:t>排放浓度</w:t>
            </w:r>
            <w:r>
              <w:rPr>
                <w:b/>
                <w:bCs/>
                <w:snapToGrid w:val="0"/>
                <w:szCs w:val="21"/>
              </w:rPr>
              <w:t>mg/m</w:t>
            </w:r>
            <w:r>
              <w:rPr>
                <w:b/>
                <w:bCs/>
                <w:snapToGrid w:val="0"/>
                <w:szCs w:val="21"/>
                <w:vertAlign w:val="superscript"/>
              </w:rPr>
              <w:t>3</w:t>
            </w:r>
          </w:p>
        </w:tc>
        <w:tc>
          <w:tcPr>
            <w:tcW w:w="1216" w:type="dxa"/>
            <w:tcBorders>
              <w:bottom w:val="single" w:color="auto" w:sz="4" w:space="0"/>
            </w:tcBorders>
            <w:vAlign w:val="center"/>
          </w:tcPr>
          <w:p>
            <w:pPr>
              <w:jc w:val="center"/>
              <w:rPr>
                <w:b/>
              </w:rPr>
            </w:pPr>
            <w:r>
              <w:rPr>
                <w:b/>
              </w:rPr>
              <w:t>排放量</w:t>
            </w:r>
            <w:r>
              <w:rPr>
                <w:rFonts w:hint="eastAsia"/>
                <w:b/>
                <w:lang w:val="en-US" w:eastAsia="zh-CN"/>
              </w:rPr>
              <w:t>t</w:t>
            </w:r>
            <w:r>
              <w:rPr>
                <w:b/>
              </w:rPr>
              <w:t>/a</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400" w:hRule="atLeast"/>
          <w:jc w:val="center"/>
        </w:trPr>
        <w:tc>
          <w:tcPr>
            <w:tcW w:w="1011" w:type="dxa"/>
            <w:vMerge w:val="restart"/>
            <w:vAlign w:val="center"/>
          </w:tcPr>
          <w:p>
            <w:pPr>
              <w:snapToGrid w:val="0"/>
              <w:jc w:val="center"/>
              <w:rPr>
                <w:szCs w:val="21"/>
              </w:rPr>
            </w:pPr>
            <w:r>
              <w:rPr>
                <w:szCs w:val="21"/>
              </w:rPr>
              <w:t>大气污染物</w:t>
            </w:r>
          </w:p>
        </w:tc>
        <w:tc>
          <w:tcPr>
            <w:tcW w:w="640" w:type="dxa"/>
            <w:vMerge w:val="restart"/>
            <w:tcBorders>
              <w:top w:val="single" w:color="auto" w:sz="4" w:space="0"/>
            </w:tcBorders>
            <w:vAlign w:val="center"/>
          </w:tcPr>
          <w:p>
            <w:pPr>
              <w:snapToGrid w:val="0"/>
              <w:spacing w:line="320" w:lineRule="exact"/>
              <w:jc w:val="center"/>
              <w:rPr>
                <w:szCs w:val="21"/>
              </w:rPr>
            </w:pPr>
            <w:r>
              <w:rPr>
                <w:rFonts w:hint="eastAsia"/>
                <w:szCs w:val="21"/>
              </w:rPr>
              <w:t>有组织</w:t>
            </w:r>
          </w:p>
        </w:tc>
        <w:tc>
          <w:tcPr>
            <w:tcW w:w="975" w:type="dxa"/>
            <w:vMerge w:val="restart"/>
            <w:tcBorders>
              <w:top w:val="single" w:color="auto" w:sz="4" w:space="0"/>
            </w:tcBorders>
            <w:vAlign w:val="center"/>
          </w:tcPr>
          <w:p>
            <w:pPr>
              <w:snapToGrid w:val="0"/>
              <w:spacing w:line="320" w:lineRule="exact"/>
              <w:jc w:val="center"/>
              <w:rPr>
                <w:szCs w:val="21"/>
              </w:rPr>
            </w:pPr>
            <w:r>
              <w:rPr>
                <w:rFonts w:hint="eastAsia"/>
                <w:szCs w:val="21"/>
              </w:rPr>
              <w:t>排气筒</w:t>
            </w:r>
            <w:r>
              <w:rPr>
                <w:rFonts w:hint="eastAsia"/>
                <w:color w:val="0000FF"/>
                <w:szCs w:val="21"/>
              </w:rPr>
              <w:t>DA001</w:t>
            </w:r>
          </w:p>
        </w:tc>
        <w:tc>
          <w:tcPr>
            <w:tcW w:w="1185" w:type="dxa"/>
            <w:tcBorders>
              <w:top w:val="single" w:color="auto" w:sz="4" w:space="0"/>
            </w:tcBorders>
            <w:vAlign w:val="center"/>
          </w:tcPr>
          <w:p>
            <w:pPr>
              <w:spacing w:line="320" w:lineRule="exact"/>
              <w:jc w:val="center"/>
              <w:rPr>
                <w:rFonts w:hint="eastAsia"/>
                <w:szCs w:val="21"/>
                <w:lang w:val="en-US" w:eastAsia="zh-CN"/>
              </w:rPr>
            </w:pPr>
            <w:r>
              <w:rPr>
                <w:rFonts w:hint="eastAsia"/>
                <w:szCs w:val="21"/>
                <w:lang w:val="en-US" w:eastAsia="zh-CN"/>
              </w:rPr>
              <w:t>粉尘</w:t>
            </w:r>
          </w:p>
        </w:tc>
        <w:tc>
          <w:tcPr>
            <w:tcW w:w="1220" w:type="dxa"/>
            <w:tcBorders>
              <w:top w:val="single" w:color="auto" w:sz="4" w:space="0"/>
            </w:tcBorders>
            <w:vAlign w:val="center"/>
          </w:tcPr>
          <w:p>
            <w:pPr>
              <w:widowControl/>
              <w:jc w:val="center"/>
              <w:rPr>
                <w:rFonts w:hint="default"/>
                <w:szCs w:val="21"/>
                <w:lang w:val="en-US" w:eastAsia="zh-CN"/>
              </w:rPr>
            </w:pPr>
            <w:r>
              <w:rPr>
                <w:rFonts w:hint="eastAsia"/>
                <w:szCs w:val="21"/>
                <w:lang w:val="en-US" w:eastAsia="zh-CN"/>
              </w:rPr>
              <w:t>70</w:t>
            </w:r>
          </w:p>
        </w:tc>
        <w:tc>
          <w:tcPr>
            <w:tcW w:w="953" w:type="dxa"/>
            <w:tcBorders>
              <w:top w:val="single" w:color="auto" w:sz="4" w:space="0"/>
            </w:tcBorders>
            <w:vAlign w:val="center"/>
          </w:tcPr>
          <w:p>
            <w:pPr>
              <w:widowControl/>
              <w:jc w:val="center"/>
              <w:rPr>
                <w:rFonts w:hint="default"/>
                <w:szCs w:val="21"/>
                <w:lang w:val="en-US" w:eastAsia="zh-CN"/>
              </w:rPr>
            </w:pPr>
            <w:r>
              <w:rPr>
                <w:rFonts w:hint="eastAsia"/>
                <w:szCs w:val="21"/>
                <w:lang w:val="en-US" w:eastAsia="zh-CN"/>
              </w:rPr>
              <w:t>0.01</w:t>
            </w:r>
          </w:p>
        </w:tc>
        <w:tc>
          <w:tcPr>
            <w:tcW w:w="1283" w:type="dxa"/>
            <w:tcBorders>
              <w:top w:val="single" w:color="auto" w:sz="4" w:space="0"/>
            </w:tcBorders>
            <w:vAlign w:val="center"/>
          </w:tcPr>
          <w:p>
            <w:pPr>
              <w:widowControl/>
              <w:jc w:val="center"/>
              <w:rPr>
                <w:rFonts w:hint="default"/>
                <w:szCs w:val="21"/>
                <w:lang w:val="en-US" w:eastAsia="zh-CN"/>
              </w:rPr>
            </w:pPr>
            <w:r>
              <w:rPr>
                <w:rFonts w:hint="eastAsia"/>
                <w:szCs w:val="21"/>
                <w:lang w:val="en-US" w:eastAsia="zh-CN"/>
              </w:rPr>
              <w:t>2.8</w:t>
            </w:r>
          </w:p>
        </w:tc>
        <w:tc>
          <w:tcPr>
            <w:tcW w:w="1216" w:type="dxa"/>
            <w:tcBorders>
              <w:top w:val="single" w:color="auto" w:sz="4" w:space="0"/>
            </w:tcBorders>
            <w:vAlign w:val="center"/>
          </w:tcPr>
          <w:p>
            <w:pPr>
              <w:widowControl/>
              <w:jc w:val="center"/>
              <w:rPr>
                <w:rFonts w:hint="default"/>
                <w:szCs w:val="21"/>
                <w:lang w:val="en-US" w:eastAsia="zh-CN"/>
              </w:rPr>
            </w:pPr>
            <w:r>
              <w:rPr>
                <w:rFonts w:hint="eastAsia"/>
                <w:szCs w:val="21"/>
                <w:lang w:val="en-US" w:eastAsia="zh-CN"/>
              </w:rPr>
              <w:t>0.0005</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400" w:hRule="atLeast"/>
          <w:jc w:val="center"/>
        </w:trPr>
        <w:tc>
          <w:tcPr>
            <w:tcW w:w="1011" w:type="dxa"/>
            <w:vMerge w:val="continue"/>
            <w:vAlign w:val="center"/>
          </w:tcPr>
          <w:p>
            <w:pPr>
              <w:snapToGrid w:val="0"/>
              <w:jc w:val="center"/>
              <w:rPr>
                <w:szCs w:val="21"/>
              </w:rPr>
            </w:pPr>
          </w:p>
        </w:tc>
        <w:tc>
          <w:tcPr>
            <w:tcW w:w="640" w:type="dxa"/>
            <w:vMerge w:val="continue"/>
            <w:vAlign w:val="center"/>
          </w:tcPr>
          <w:p>
            <w:pPr>
              <w:snapToGrid w:val="0"/>
              <w:spacing w:line="320" w:lineRule="exact"/>
              <w:jc w:val="center"/>
              <w:rPr>
                <w:szCs w:val="21"/>
              </w:rPr>
            </w:pPr>
          </w:p>
        </w:tc>
        <w:tc>
          <w:tcPr>
            <w:tcW w:w="975" w:type="dxa"/>
            <w:vMerge w:val="continue"/>
            <w:vAlign w:val="center"/>
          </w:tcPr>
          <w:p>
            <w:pPr>
              <w:snapToGrid w:val="0"/>
              <w:spacing w:line="320" w:lineRule="exact"/>
              <w:jc w:val="center"/>
              <w:rPr>
                <w:szCs w:val="21"/>
              </w:rPr>
            </w:pPr>
          </w:p>
        </w:tc>
        <w:tc>
          <w:tcPr>
            <w:tcW w:w="1185" w:type="dxa"/>
            <w:tcBorders>
              <w:top w:val="single" w:color="auto" w:sz="4" w:space="0"/>
            </w:tcBorders>
            <w:vAlign w:val="center"/>
          </w:tcPr>
          <w:p>
            <w:pPr>
              <w:spacing w:line="320" w:lineRule="exact"/>
              <w:jc w:val="center"/>
              <w:rPr>
                <w:rFonts w:hint="eastAsia" w:eastAsia="宋体"/>
                <w:szCs w:val="21"/>
                <w:lang w:val="en-US" w:eastAsia="zh-CN"/>
              </w:rPr>
            </w:pPr>
            <w:r>
              <w:rPr>
                <w:rFonts w:hint="eastAsia"/>
                <w:szCs w:val="21"/>
                <w:lang w:val="en-US" w:eastAsia="zh-CN"/>
              </w:rPr>
              <w:t>非甲烷总烃</w:t>
            </w:r>
          </w:p>
        </w:tc>
        <w:tc>
          <w:tcPr>
            <w:tcW w:w="1220" w:type="dxa"/>
            <w:tcBorders>
              <w:top w:val="single" w:color="auto" w:sz="4" w:space="0"/>
            </w:tcBorders>
            <w:vAlign w:val="center"/>
          </w:tcPr>
          <w:p>
            <w:pPr>
              <w:widowControl/>
              <w:jc w:val="center"/>
              <w:rPr>
                <w:rFonts w:hint="default" w:eastAsia="宋体"/>
                <w:szCs w:val="21"/>
                <w:lang w:val="en-US" w:eastAsia="zh-CN"/>
              </w:rPr>
            </w:pPr>
            <w:r>
              <w:rPr>
                <w:rFonts w:hint="eastAsia"/>
                <w:szCs w:val="21"/>
                <w:lang w:val="en-US" w:eastAsia="zh-CN"/>
              </w:rPr>
              <w:t>4.0</w:t>
            </w:r>
          </w:p>
        </w:tc>
        <w:tc>
          <w:tcPr>
            <w:tcW w:w="953" w:type="dxa"/>
            <w:tcBorders>
              <w:top w:val="single" w:color="auto" w:sz="4" w:space="0"/>
            </w:tcBorders>
            <w:vAlign w:val="center"/>
          </w:tcPr>
          <w:p>
            <w:pPr>
              <w:widowControl/>
              <w:jc w:val="center"/>
              <w:rPr>
                <w:rFonts w:hint="default"/>
                <w:szCs w:val="21"/>
                <w:lang w:val="en-US" w:eastAsia="zh-CN"/>
              </w:rPr>
            </w:pPr>
            <w:r>
              <w:rPr>
                <w:rFonts w:hint="eastAsia"/>
                <w:szCs w:val="21"/>
                <w:lang w:val="en-US" w:eastAsia="zh-CN"/>
              </w:rPr>
              <w:t>0.</w:t>
            </w:r>
            <w:r>
              <w:rPr>
                <w:rFonts w:hint="eastAsia"/>
                <w:b w:val="0"/>
                <w:bCs w:val="0"/>
                <w:szCs w:val="21"/>
                <w:lang w:val="en-US" w:eastAsia="zh-CN"/>
              </w:rPr>
              <w:t>25kg/a</w:t>
            </w:r>
          </w:p>
        </w:tc>
        <w:tc>
          <w:tcPr>
            <w:tcW w:w="1283" w:type="dxa"/>
            <w:tcBorders>
              <w:top w:val="single" w:color="auto" w:sz="4" w:space="0"/>
            </w:tcBorders>
            <w:vAlign w:val="center"/>
          </w:tcPr>
          <w:p>
            <w:pPr>
              <w:widowControl/>
              <w:jc w:val="center"/>
              <w:rPr>
                <w:rFonts w:hint="default"/>
                <w:szCs w:val="21"/>
                <w:lang w:val="en-US" w:eastAsia="zh-CN"/>
              </w:rPr>
            </w:pPr>
            <w:r>
              <w:rPr>
                <w:rFonts w:hint="eastAsia"/>
                <w:szCs w:val="21"/>
                <w:lang w:val="en-US" w:eastAsia="zh-CN"/>
              </w:rPr>
              <w:t>1.0</w:t>
            </w:r>
          </w:p>
        </w:tc>
        <w:tc>
          <w:tcPr>
            <w:tcW w:w="1216" w:type="dxa"/>
            <w:tcBorders>
              <w:top w:val="single" w:color="auto" w:sz="4" w:space="0"/>
            </w:tcBorders>
            <w:vAlign w:val="center"/>
          </w:tcPr>
          <w:p>
            <w:pPr>
              <w:widowControl/>
              <w:jc w:val="center"/>
              <w:rPr>
                <w:rFonts w:hint="default"/>
                <w:szCs w:val="21"/>
                <w:lang w:val="en-US" w:eastAsia="zh-CN"/>
              </w:rPr>
            </w:pPr>
            <w:r>
              <w:rPr>
                <w:rFonts w:hint="eastAsia"/>
                <w:b w:val="0"/>
                <w:bCs w:val="0"/>
                <w:szCs w:val="21"/>
                <w:lang w:val="en-US" w:eastAsia="zh-CN"/>
              </w:rPr>
              <w:t>0.05</w:t>
            </w:r>
            <w:r>
              <w:rPr>
                <w:rFonts w:hint="eastAsia"/>
                <w:b w:val="0"/>
                <w:bCs w:val="0"/>
                <w:lang w:val="en-US" w:eastAsia="zh-CN"/>
              </w:rPr>
              <w:t>kg</w:t>
            </w:r>
            <w:r>
              <w:rPr>
                <w:b w:val="0"/>
                <w:bCs w:val="0"/>
              </w:rPr>
              <w:t>/a</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400" w:hRule="atLeast"/>
          <w:jc w:val="center"/>
        </w:trPr>
        <w:tc>
          <w:tcPr>
            <w:tcW w:w="1011" w:type="dxa"/>
            <w:vMerge w:val="continue"/>
            <w:vAlign w:val="center"/>
          </w:tcPr>
          <w:p>
            <w:pPr>
              <w:snapToGrid w:val="0"/>
              <w:jc w:val="center"/>
              <w:rPr>
                <w:szCs w:val="21"/>
              </w:rPr>
            </w:pPr>
          </w:p>
        </w:tc>
        <w:tc>
          <w:tcPr>
            <w:tcW w:w="640" w:type="dxa"/>
            <w:vMerge w:val="continue"/>
            <w:vAlign w:val="center"/>
          </w:tcPr>
          <w:p>
            <w:pPr>
              <w:snapToGrid w:val="0"/>
              <w:spacing w:line="320" w:lineRule="exact"/>
              <w:jc w:val="center"/>
              <w:rPr>
                <w:rFonts w:hint="eastAsia"/>
                <w:szCs w:val="21"/>
              </w:rPr>
            </w:pPr>
          </w:p>
        </w:tc>
        <w:tc>
          <w:tcPr>
            <w:tcW w:w="975" w:type="dxa"/>
            <w:vMerge w:val="continue"/>
            <w:vAlign w:val="center"/>
          </w:tcPr>
          <w:p>
            <w:pPr>
              <w:snapToGrid w:val="0"/>
              <w:spacing w:line="320" w:lineRule="exact"/>
              <w:jc w:val="center"/>
              <w:rPr>
                <w:rFonts w:hint="eastAsia"/>
                <w:szCs w:val="21"/>
              </w:rPr>
            </w:pPr>
          </w:p>
        </w:tc>
        <w:tc>
          <w:tcPr>
            <w:tcW w:w="1185" w:type="dxa"/>
            <w:tcBorders>
              <w:top w:val="single" w:color="auto" w:sz="4" w:space="0"/>
            </w:tcBorders>
            <w:vAlign w:val="center"/>
          </w:tcPr>
          <w:p>
            <w:pPr>
              <w:spacing w:line="320" w:lineRule="exact"/>
              <w:jc w:val="center"/>
              <w:rPr>
                <w:rFonts w:hint="eastAsia"/>
                <w:szCs w:val="21"/>
                <w:lang w:val="en-US" w:eastAsia="zh-CN"/>
              </w:rPr>
            </w:pPr>
            <w:r>
              <w:rPr>
                <w:rFonts w:hint="eastAsia"/>
                <w:szCs w:val="21"/>
                <w:lang w:val="en-US" w:eastAsia="zh-CN"/>
              </w:rPr>
              <w:t>氯化氢</w:t>
            </w:r>
          </w:p>
        </w:tc>
        <w:tc>
          <w:tcPr>
            <w:tcW w:w="2173" w:type="dxa"/>
            <w:gridSpan w:val="2"/>
            <w:tcBorders>
              <w:top w:val="single" w:color="auto" w:sz="4" w:space="0"/>
            </w:tcBorders>
            <w:vAlign w:val="center"/>
          </w:tcPr>
          <w:p>
            <w:pPr>
              <w:widowControl/>
              <w:jc w:val="center"/>
              <w:rPr>
                <w:rFonts w:hint="default"/>
                <w:szCs w:val="21"/>
                <w:lang w:val="en-US" w:eastAsia="zh-CN"/>
              </w:rPr>
            </w:pPr>
            <w:r>
              <w:rPr>
                <w:rFonts w:hint="eastAsia"/>
                <w:szCs w:val="21"/>
                <w:lang w:val="en-US" w:eastAsia="zh-CN"/>
              </w:rPr>
              <w:t>极少量</w:t>
            </w:r>
          </w:p>
        </w:tc>
        <w:tc>
          <w:tcPr>
            <w:tcW w:w="2499" w:type="dxa"/>
            <w:gridSpan w:val="2"/>
            <w:tcBorders>
              <w:top w:val="single" w:color="auto" w:sz="4" w:space="0"/>
            </w:tcBorders>
            <w:vAlign w:val="center"/>
          </w:tcPr>
          <w:p>
            <w:pPr>
              <w:widowControl/>
              <w:jc w:val="center"/>
              <w:rPr>
                <w:rFonts w:hint="eastAsia"/>
                <w:color w:val="0000FF"/>
                <w:szCs w:val="21"/>
                <w:lang w:val="en-US" w:eastAsia="zh-CN"/>
              </w:rPr>
            </w:pPr>
            <w:r>
              <w:rPr>
                <w:rFonts w:hint="eastAsia"/>
                <w:szCs w:val="21"/>
                <w:lang w:val="en-US" w:eastAsia="zh-CN"/>
              </w:rPr>
              <w:t>极少量</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60" w:hRule="atLeast"/>
          <w:jc w:val="center"/>
        </w:trPr>
        <w:tc>
          <w:tcPr>
            <w:tcW w:w="1011" w:type="dxa"/>
            <w:vMerge w:val="continue"/>
            <w:vAlign w:val="center"/>
          </w:tcPr>
          <w:p>
            <w:pPr>
              <w:snapToGrid w:val="0"/>
              <w:jc w:val="center"/>
              <w:rPr>
                <w:szCs w:val="21"/>
              </w:rPr>
            </w:pPr>
          </w:p>
        </w:tc>
        <w:tc>
          <w:tcPr>
            <w:tcW w:w="640" w:type="dxa"/>
            <w:vMerge w:val="restart"/>
            <w:tcBorders>
              <w:top w:val="single" w:color="auto" w:sz="4" w:space="0"/>
            </w:tcBorders>
            <w:vAlign w:val="center"/>
          </w:tcPr>
          <w:p>
            <w:pPr>
              <w:snapToGrid w:val="0"/>
              <w:spacing w:line="320" w:lineRule="exact"/>
              <w:jc w:val="center"/>
              <w:rPr>
                <w:szCs w:val="21"/>
              </w:rPr>
            </w:pPr>
            <w:r>
              <w:rPr>
                <w:rFonts w:hint="eastAsia"/>
                <w:szCs w:val="21"/>
              </w:rPr>
              <w:t>无组织</w:t>
            </w:r>
          </w:p>
        </w:tc>
        <w:tc>
          <w:tcPr>
            <w:tcW w:w="975" w:type="dxa"/>
            <w:vMerge w:val="restart"/>
            <w:tcBorders>
              <w:top w:val="single" w:color="auto" w:sz="4" w:space="0"/>
            </w:tcBorders>
            <w:vAlign w:val="center"/>
          </w:tcPr>
          <w:p>
            <w:pPr>
              <w:snapToGrid w:val="0"/>
              <w:spacing w:line="320" w:lineRule="exact"/>
              <w:jc w:val="center"/>
              <w:rPr>
                <w:szCs w:val="21"/>
              </w:rPr>
            </w:pPr>
            <w:r>
              <w:rPr>
                <w:rFonts w:hint="eastAsia"/>
                <w:szCs w:val="21"/>
              </w:rPr>
              <w:t>生产车间</w:t>
            </w:r>
          </w:p>
        </w:tc>
        <w:tc>
          <w:tcPr>
            <w:tcW w:w="1185" w:type="dxa"/>
            <w:vMerge w:val="restart"/>
            <w:tcBorders>
              <w:top w:val="single" w:color="auto" w:sz="4" w:space="0"/>
            </w:tcBorders>
            <w:vAlign w:val="center"/>
          </w:tcPr>
          <w:p>
            <w:pPr>
              <w:spacing w:line="320" w:lineRule="exact"/>
              <w:jc w:val="center"/>
              <w:rPr>
                <w:rFonts w:hint="eastAsia" w:eastAsia="宋体"/>
                <w:szCs w:val="21"/>
                <w:lang w:eastAsia="zh-CN"/>
              </w:rPr>
            </w:pPr>
            <w:r>
              <w:rPr>
                <w:rFonts w:hint="eastAsia"/>
                <w:szCs w:val="21"/>
                <w:lang w:eastAsia="zh-CN"/>
              </w:rPr>
              <w:t>粉尘</w:t>
            </w:r>
          </w:p>
        </w:tc>
        <w:tc>
          <w:tcPr>
            <w:tcW w:w="1220" w:type="dxa"/>
            <w:tcBorders>
              <w:top w:val="single" w:color="auto" w:sz="4" w:space="0"/>
            </w:tcBorders>
            <w:vAlign w:val="center"/>
          </w:tcPr>
          <w:p>
            <w:pPr>
              <w:jc w:val="center"/>
              <w:rPr>
                <w:szCs w:val="21"/>
              </w:rPr>
            </w:pPr>
            <w:r>
              <w:rPr>
                <w:b/>
              </w:rPr>
              <w:t>产生</w:t>
            </w:r>
            <w:r>
              <w:rPr>
                <w:rFonts w:hint="eastAsia"/>
                <w:b/>
              </w:rPr>
              <w:t>速率kg/h</w:t>
            </w:r>
          </w:p>
        </w:tc>
        <w:tc>
          <w:tcPr>
            <w:tcW w:w="953" w:type="dxa"/>
            <w:tcBorders>
              <w:top w:val="single" w:color="auto" w:sz="4" w:space="0"/>
            </w:tcBorders>
            <w:vAlign w:val="center"/>
          </w:tcPr>
          <w:p>
            <w:pPr>
              <w:jc w:val="center"/>
              <w:rPr>
                <w:szCs w:val="21"/>
              </w:rPr>
            </w:pPr>
            <w:r>
              <w:rPr>
                <w:b/>
              </w:rPr>
              <w:t>产生量</w:t>
            </w:r>
            <w:r>
              <w:rPr>
                <w:rFonts w:hint="eastAsia"/>
                <w:b/>
                <w:lang w:val="en-US" w:eastAsia="zh-CN"/>
              </w:rPr>
              <w:t>t</w:t>
            </w:r>
            <w:r>
              <w:rPr>
                <w:b/>
              </w:rPr>
              <w:t>/a</w:t>
            </w:r>
          </w:p>
        </w:tc>
        <w:tc>
          <w:tcPr>
            <w:tcW w:w="1283" w:type="dxa"/>
            <w:tcBorders>
              <w:top w:val="single" w:color="auto" w:sz="4" w:space="0"/>
            </w:tcBorders>
            <w:vAlign w:val="center"/>
          </w:tcPr>
          <w:p>
            <w:pPr>
              <w:jc w:val="center"/>
              <w:rPr>
                <w:szCs w:val="21"/>
              </w:rPr>
            </w:pPr>
            <w:r>
              <w:rPr>
                <w:b/>
              </w:rPr>
              <w:t>排放</w:t>
            </w:r>
            <w:r>
              <w:rPr>
                <w:rFonts w:hint="eastAsia"/>
                <w:b/>
              </w:rPr>
              <w:t>速率kg/h</w:t>
            </w:r>
          </w:p>
        </w:tc>
        <w:tc>
          <w:tcPr>
            <w:tcW w:w="1216" w:type="dxa"/>
            <w:tcBorders>
              <w:top w:val="single" w:color="auto" w:sz="4" w:space="0"/>
            </w:tcBorders>
            <w:vAlign w:val="center"/>
          </w:tcPr>
          <w:p>
            <w:pPr>
              <w:jc w:val="center"/>
              <w:rPr>
                <w:szCs w:val="21"/>
              </w:rPr>
            </w:pPr>
            <w:r>
              <w:rPr>
                <w:b/>
              </w:rPr>
              <w:t>排放量</w:t>
            </w:r>
            <w:r>
              <w:rPr>
                <w:rFonts w:hint="eastAsia"/>
                <w:b/>
                <w:lang w:val="en-US" w:eastAsia="zh-CN"/>
              </w:rPr>
              <w:t>t</w:t>
            </w:r>
            <w:r>
              <w:rPr>
                <w:b/>
              </w:rPr>
              <w:t>/a</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PrEx>
        <w:trPr>
          <w:cantSplit/>
          <w:trHeight w:val="360" w:hRule="atLeast"/>
          <w:jc w:val="center"/>
        </w:trPr>
        <w:tc>
          <w:tcPr>
            <w:tcW w:w="1011" w:type="dxa"/>
            <w:vMerge w:val="continue"/>
            <w:vAlign w:val="center"/>
          </w:tcPr>
          <w:p>
            <w:pPr>
              <w:snapToGrid w:val="0"/>
              <w:jc w:val="center"/>
              <w:rPr>
                <w:szCs w:val="21"/>
              </w:rPr>
            </w:pPr>
          </w:p>
        </w:tc>
        <w:tc>
          <w:tcPr>
            <w:tcW w:w="640" w:type="dxa"/>
            <w:vMerge w:val="continue"/>
            <w:vAlign w:val="center"/>
          </w:tcPr>
          <w:p>
            <w:pPr>
              <w:snapToGrid w:val="0"/>
              <w:spacing w:line="320" w:lineRule="exact"/>
              <w:jc w:val="center"/>
              <w:rPr>
                <w:szCs w:val="21"/>
              </w:rPr>
            </w:pPr>
          </w:p>
        </w:tc>
        <w:tc>
          <w:tcPr>
            <w:tcW w:w="975" w:type="dxa"/>
            <w:vMerge w:val="continue"/>
            <w:vAlign w:val="center"/>
          </w:tcPr>
          <w:p>
            <w:pPr>
              <w:snapToGrid w:val="0"/>
              <w:spacing w:line="320" w:lineRule="exact"/>
              <w:jc w:val="center"/>
              <w:rPr>
                <w:szCs w:val="21"/>
              </w:rPr>
            </w:pPr>
          </w:p>
        </w:tc>
        <w:tc>
          <w:tcPr>
            <w:tcW w:w="1185" w:type="dxa"/>
            <w:vMerge w:val="continue"/>
            <w:vAlign w:val="center"/>
          </w:tcPr>
          <w:p>
            <w:pPr>
              <w:spacing w:line="320" w:lineRule="exact"/>
              <w:jc w:val="center"/>
              <w:rPr>
                <w:rFonts w:hint="eastAsia"/>
                <w:szCs w:val="21"/>
                <w:lang w:val="en-US" w:eastAsia="zh-CN"/>
              </w:rPr>
            </w:pPr>
          </w:p>
        </w:tc>
        <w:tc>
          <w:tcPr>
            <w:tcW w:w="1220" w:type="dxa"/>
            <w:tcBorders>
              <w:top w:val="single" w:color="auto" w:sz="4" w:space="0"/>
            </w:tcBorders>
            <w:vAlign w:val="center"/>
          </w:tcPr>
          <w:p>
            <w:pPr>
              <w:widowControl/>
              <w:jc w:val="center"/>
              <w:rPr>
                <w:rFonts w:hint="default" w:eastAsia="宋体"/>
                <w:szCs w:val="21"/>
                <w:lang w:val="en-US" w:eastAsia="zh-CN"/>
              </w:rPr>
            </w:pPr>
            <w:r>
              <w:rPr>
                <w:rFonts w:hint="eastAsia"/>
                <w:szCs w:val="21"/>
                <w:lang w:val="en-US" w:eastAsia="zh-CN"/>
              </w:rPr>
              <w:t>0.028</w:t>
            </w:r>
          </w:p>
        </w:tc>
        <w:tc>
          <w:tcPr>
            <w:tcW w:w="953" w:type="dxa"/>
            <w:tcBorders>
              <w:top w:val="single" w:color="auto" w:sz="4" w:space="0"/>
            </w:tcBorders>
            <w:vAlign w:val="center"/>
          </w:tcPr>
          <w:p>
            <w:pPr>
              <w:widowControl/>
              <w:jc w:val="center"/>
              <w:rPr>
                <w:rFonts w:hint="default" w:eastAsia="宋体"/>
                <w:szCs w:val="21"/>
                <w:lang w:val="en-US" w:eastAsia="zh-CN"/>
              </w:rPr>
            </w:pPr>
            <w:r>
              <w:rPr>
                <w:rFonts w:hint="eastAsia"/>
                <w:szCs w:val="21"/>
                <w:lang w:val="en-US" w:eastAsia="zh-CN"/>
              </w:rPr>
              <w:t>0.001</w:t>
            </w:r>
          </w:p>
        </w:tc>
        <w:tc>
          <w:tcPr>
            <w:tcW w:w="1283" w:type="dxa"/>
            <w:tcBorders>
              <w:top w:val="single" w:color="auto" w:sz="4" w:space="0"/>
            </w:tcBorders>
            <w:vAlign w:val="center"/>
          </w:tcPr>
          <w:p>
            <w:pPr>
              <w:widowControl/>
              <w:jc w:val="center"/>
              <w:rPr>
                <w:rFonts w:hint="eastAsia"/>
                <w:szCs w:val="21"/>
              </w:rPr>
            </w:pPr>
            <w:r>
              <w:rPr>
                <w:rFonts w:hint="eastAsia"/>
                <w:szCs w:val="21"/>
                <w:lang w:val="en-US" w:eastAsia="zh-CN"/>
              </w:rPr>
              <w:t>0.028</w:t>
            </w:r>
          </w:p>
        </w:tc>
        <w:tc>
          <w:tcPr>
            <w:tcW w:w="1216" w:type="dxa"/>
            <w:tcBorders>
              <w:top w:val="single" w:color="auto" w:sz="4" w:space="0"/>
            </w:tcBorders>
            <w:vAlign w:val="center"/>
          </w:tcPr>
          <w:p>
            <w:pPr>
              <w:widowControl/>
              <w:jc w:val="center"/>
              <w:rPr>
                <w:rFonts w:hint="eastAsia"/>
                <w:szCs w:val="21"/>
              </w:rPr>
            </w:pPr>
            <w:r>
              <w:rPr>
                <w:rFonts w:hint="eastAsia"/>
                <w:szCs w:val="21"/>
                <w:lang w:val="en-US" w:eastAsia="zh-CN"/>
              </w:rPr>
              <w:t>0.001</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60" w:hRule="atLeast"/>
          <w:jc w:val="center"/>
        </w:trPr>
        <w:tc>
          <w:tcPr>
            <w:tcW w:w="1011" w:type="dxa"/>
            <w:vMerge w:val="continue"/>
            <w:vAlign w:val="center"/>
          </w:tcPr>
          <w:p>
            <w:pPr>
              <w:snapToGrid w:val="0"/>
              <w:jc w:val="center"/>
              <w:rPr>
                <w:szCs w:val="21"/>
              </w:rPr>
            </w:pPr>
          </w:p>
        </w:tc>
        <w:tc>
          <w:tcPr>
            <w:tcW w:w="640" w:type="dxa"/>
            <w:vMerge w:val="continue"/>
            <w:vAlign w:val="center"/>
          </w:tcPr>
          <w:p>
            <w:pPr>
              <w:snapToGrid w:val="0"/>
              <w:spacing w:line="320" w:lineRule="exact"/>
              <w:jc w:val="center"/>
              <w:rPr>
                <w:szCs w:val="21"/>
              </w:rPr>
            </w:pPr>
          </w:p>
        </w:tc>
        <w:tc>
          <w:tcPr>
            <w:tcW w:w="975" w:type="dxa"/>
            <w:vMerge w:val="continue"/>
            <w:vAlign w:val="center"/>
          </w:tcPr>
          <w:p>
            <w:pPr>
              <w:snapToGrid w:val="0"/>
              <w:spacing w:line="320" w:lineRule="exact"/>
              <w:jc w:val="center"/>
              <w:rPr>
                <w:szCs w:val="21"/>
              </w:rPr>
            </w:pPr>
          </w:p>
        </w:tc>
        <w:tc>
          <w:tcPr>
            <w:tcW w:w="1185" w:type="dxa"/>
            <w:vAlign w:val="center"/>
          </w:tcPr>
          <w:p>
            <w:pPr>
              <w:spacing w:line="320" w:lineRule="exact"/>
              <w:jc w:val="center"/>
              <w:rPr>
                <w:szCs w:val="21"/>
              </w:rPr>
            </w:pPr>
            <w:r>
              <w:rPr>
                <w:rFonts w:hint="eastAsia"/>
                <w:szCs w:val="21"/>
                <w:lang w:val="en-US" w:eastAsia="zh-CN"/>
              </w:rPr>
              <w:t>非甲烷总烃</w:t>
            </w:r>
          </w:p>
        </w:tc>
        <w:tc>
          <w:tcPr>
            <w:tcW w:w="1220" w:type="dxa"/>
            <w:tcBorders>
              <w:top w:val="single" w:color="auto" w:sz="4" w:space="0"/>
            </w:tcBorders>
            <w:vAlign w:val="center"/>
          </w:tcPr>
          <w:p>
            <w:pPr>
              <w:widowControl/>
              <w:jc w:val="center"/>
              <w:rPr>
                <w:rFonts w:hint="default" w:eastAsia="宋体"/>
                <w:szCs w:val="21"/>
                <w:lang w:val="en-US" w:eastAsia="zh-CN"/>
              </w:rPr>
            </w:pPr>
            <w:r>
              <w:rPr>
                <w:rFonts w:hint="eastAsia"/>
                <w:szCs w:val="21"/>
              </w:rPr>
              <w:t>0.0</w:t>
            </w:r>
            <w:r>
              <w:rPr>
                <w:rFonts w:hint="eastAsia"/>
                <w:szCs w:val="21"/>
                <w:lang w:val="en-US" w:eastAsia="zh-CN"/>
              </w:rPr>
              <w:t>01</w:t>
            </w:r>
          </w:p>
        </w:tc>
        <w:tc>
          <w:tcPr>
            <w:tcW w:w="953" w:type="dxa"/>
            <w:tcBorders>
              <w:top w:val="single" w:color="auto" w:sz="4" w:space="0"/>
            </w:tcBorders>
            <w:vAlign w:val="center"/>
          </w:tcPr>
          <w:p>
            <w:pPr>
              <w:widowControl/>
              <w:jc w:val="center"/>
              <w:rPr>
                <w:rFonts w:hint="default" w:eastAsia="宋体"/>
                <w:szCs w:val="21"/>
                <w:lang w:val="en-US" w:eastAsia="zh-CN"/>
              </w:rPr>
            </w:pPr>
            <w:r>
              <w:rPr>
                <w:rFonts w:hint="eastAsia"/>
                <w:szCs w:val="21"/>
              </w:rPr>
              <w:t>0.</w:t>
            </w:r>
            <w:r>
              <w:rPr>
                <w:rFonts w:hint="eastAsia"/>
                <w:szCs w:val="21"/>
                <w:lang w:val="en-US" w:eastAsia="zh-CN"/>
              </w:rPr>
              <w:t>07kg/a</w:t>
            </w:r>
          </w:p>
        </w:tc>
        <w:tc>
          <w:tcPr>
            <w:tcW w:w="1283" w:type="dxa"/>
            <w:tcBorders>
              <w:top w:val="single" w:color="auto" w:sz="4" w:space="0"/>
            </w:tcBorders>
            <w:vAlign w:val="center"/>
          </w:tcPr>
          <w:p>
            <w:pPr>
              <w:widowControl/>
              <w:jc w:val="center"/>
              <w:rPr>
                <w:szCs w:val="21"/>
              </w:rPr>
            </w:pPr>
            <w:r>
              <w:rPr>
                <w:rFonts w:hint="eastAsia"/>
                <w:szCs w:val="21"/>
              </w:rPr>
              <w:t>0.0</w:t>
            </w:r>
            <w:r>
              <w:rPr>
                <w:rFonts w:hint="eastAsia"/>
                <w:szCs w:val="21"/>
                <w:lang w:val="en-US" w:eastAsia="zh-CN"/>
              </w:rPr>
              <w:t>01</w:t>
            </w:r>
          </w:p>
        </w:tc>
        <w:tc>
          <w:tcPr>
            <w:tcW w:w="1216" w:type="dxa"/>
            <w:tcBorders>
              <w:top w:val="single" w:color="auto" w:sz="4" w:space="0"/>
            </w:tcBorders>
            <w:vAlign w:val="center"/>
          </w:tcPr>
          <w:p>
            <w:pPr>
              <w:widowControl/>
              <w:jc w:val="center"/>
              <w:rPr>
                <w:szCs w:val="21"/>
              </w:rPr>
            </w:pPr>
            <w:r>
              <w:rPr>
                <w:rFonts w:hint="eastAsia"/>
                <w:szCs w:val="21"/>
              </w:rPr>
              <w:t>0.</w:t>
            </w:r>
            <w:r>
              <w:rPr>
                <w:rFonts w:hint="eastAsia"/>
                <w:szCs w:val="21"/>
                <w:lang w:val="en-US" w:eastAsia="zh-CN"/>
              </w:rPr>
              <w:t>07kg/a</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60" w:hRule="atLeast"/>
          <w:jc w:val="center"/>
        </w:trPr>
        <w:tc>
          <w:tcPr>
            <w:tcW w:w="1011" w:type="dxa"/>
            <w:vMerge w:val="continue"/>
            <w:vAlign w:val="center"/>
          </w:tcPr>
          <w:p>
            <w:pPr>
              <w:snapToGrid w:val="0"/>
              <w:jc w:val="center"/>
              <w:rPr>
                <w:szCs w:val="21"/>
              </w:rPr>
            </w:pPr>
          </w:p>
        </w:tc>
        <w:tc>
          <w:tcPr>
            <w:tcW w:w="640" w:type="dxa"/>
            <w:vMerge w:val="continue"/>
            <w:vAlign w:val="center"/>
          </w:tcPr>
          <w:p>
            <w:pPr>
              <w:snapToGrid w:val="0"/>
              <w:spacing w:line="320" w:lineRule="exact"/>
              <w:jc w:val="center"/>
              <w:rPr>
                <w:szCs w:val="21"/>
              </w:rPr>
            </w:pPr>
          </w:p>
        </w:tc>
        <w:tc>
          <w:tcPr>
            <w:tcW w:w="975" w:type="dxa"/>
            <w:vMerge w:val="continue"/>
            <w:vAlign w:val="center"/>
          </w:tcPr>
          <w:p>
            <w:pPr>
              <w:snapToGrid w:val="0"/>
              <w:spacing w:line="320" w:lineRule="exact"/>
              <w:jc w:val="center"/>
              <w:rPr>
                <w:szCs w:val="21"/>
              </w:rPr>
            </w:pPr>
          </w:p>
        </w:tc>
        <w:tc>
          <w:tcPr>
            <w:tcW w:w="1185" w:type="dxa"/>
            <w:vAlign w:val="center"/>
          </w:tcPr>
          <w:p>
            <w:pPr>
              <w:spacing w:line="320" w:lineRule="exact"/>
              <w:jc w:val="center"/>
              <w:rPr>
                <w:rFonts w:hint="eastAsia" w:eastAsia="宋体"/>
                <w:szCs w:val="21"/>
                <w:lang w:eastAsia="zh-CN"/>
              </w:rPr>
            </w:pPr>
            <w:r>
              <w:rPr>
                <w:rFonts w:hint="eastAsia"/>
                <w:szCs w:val="21"/>
                <w:lang w:eastAsia="zh-CN"/>
              </w:rPr>
              <w:t>氯化氢</w:t>
            </w:r>
          </w:p>
        </w:tc>
        <w:tc>
          <w:tcPr>
            <w:tcW w:w="2173" w:type="dxa"/>
            <w:gridSpan w:val="2"/>
            <w:tcBorders>
              <w:top w:val="single" w:color="auto" w:sz="4" w:space="0"/>
            </w:tcBorders>
            <w:vAlign w:val="center"/>
          </w:tcPr>
          <w:p>
            <w:pPr>
              <w:widowControl/>
              <w:jc w:val="center"/>
              <w:rPr>
                <w:rFonts w:hint="eastAsia"/>
                <w:szCs w:val="21"/>
              </w:rPr>
            </w:pPr>
            <w:r>
              <w:rPr>
                <w:rFonts w:hint="eastAsia"/>
                <w:szCs w:val="21"/>
                <w:lang w:val="en-US" w:eastAsia="zh-CN"/>
              </w:rPr>
              <w:t>极少量</w:t>
            </w:r>
          </w:p>
        </w:tc>
        <w:tc>
          <w:tcPr>
            <w:tcW w:w="2499" w:type="dxa"/>
            <w:gridSpan w:val="2"/>
            <w:tcBorders>
              <w:top w:val="single" w:color="auto" w:sz="4" w:space="0"/>
            </w:tcBorders>
            <w:vAlign w:val="center"/>
          </w:tcPr>
          <w:p>
            <w:pPr>
              <w:widowControl/>
              <w:jc w:val="center"/>
              <w:rPr>
                <w:rFonts w:hint="eastAsia"/>
                <w:szCs w:val="21"/>
              </w:rPr>
            </w:pPr>
            <w:r>
              <w:rPr>
                <w:rFonts w:hint="eastAsia"/>
                <w:szCs w:val="21"/>
                <w:lang w:val="en-US" w:eastAsia="zh-CN"/>
              </w:rPr>
              <w:t>极少量</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454" w:hRule="atLeast"/>
          <w:jc w:val="center"/>
        </w:trPr>
        <w:tc>
          <w:tcPr>
            <w:tcW w:w="1011" w:type="dxa"/>
            <w:vMerge w:val="restart"/>
            <w:shd w:val="clear" w:color="auto" w:fill="auto"/>
            <w:vAlign w:val="center"/>
          </w:tcPr>
          <w:p>
            <w:pPr>
              <w:snapToGrid w:val="0"/>
              <w:jc w:val="center"/>
              <w:rPr>
                <w:szCs w:val="21"/>
              </w:rPr>
            </w:pPr>
            <w:r>
              <w:rPr>
                <w:szCs w:val="21"/>
              </w:rPr>
              <w:t>水</w:t>
            </w:r>
          </w:p>
          <w:p>
            <w:pPr>
              <w:snapToGrid w:val="0"/>
              <w:jc w:val="center"/>
              <w:rPr>
                <w:szCs w:val="21"/>
              </w:rPr>
            </w:pPr>
            <w:r>
              <w:rPr>
                <w:szCs w:val="21"/>
              </w:rPr>
              <w:t>污</w:t>
            </w:r>
          </w:p>
          <w:p>
            <w:pPr>
              <w:snapToGrid w:val="0"/>
              <w:jc w:val="center"/>
              <w:rPr>
                <w:szCs w:val="21"/>
              </w:rPr>
            </w:pPr>
            <w:r>
              <w:rPr>
                <w:szCs w:val="21"/>
              </w:rPr>
              <w:t>染</w:t>
            </w:r>
          </w:p>
          <w:p>
            <w:pPr>
              <w:snapToGrid w:val="0"/>
              <w:jc w:val="center"/>
              <w:rPr>
                <w:szCs w:val="21"/>
              </w:rPr>
            </w:pPr>
            <w:r>
              <w:rPr>
                <w:szCs w:val="21"/>
              </w:rPr>
              <w:t>物</w:t>
            </w:r>
          </w:p>
        </w:tc>
        <w:tc>
          <w:tcPr>
            <w:tcW w:w="1615" w:type="dxa"/>
            <w:gridSpan w:val="2"/>
            <w:vMerge w:val="restart"/>
            <w:shd w:val="clear" w:color="auto" w:fill="FFFFFF"/>
            <w:vAlign w:val="center"/>
          </w:tcPr>
          <w:p>
            <w:pPr>
              <w:snapToGrid w:val="0"/>
              <w:spacing w:line="320" w:lineRule="exact"/>
              <w:jc w:val="center"/>
              <w:rPr>
                <w:szCs w:val="21"/>
              </w:rPr>
            </w:pPr>
            <w:r>
              <w:rPr>
                <w:szCs w:val="21"/>
              </w:rPr>
              <w:t>生活污水</w:t>
            </w:r>
          </w:p>
          <w:p>
            <w:pPr>
              <w:snapToGrid w:val="0"/>
              <w:spacing w:line="320" w:lineRule="exact"/>
              <w:jc w:val="center"/>
              <w:rPr>
                <w:szCs w:val="21"/>
              </w:rPr>
            </w:pPr>
            <w:r>
              <w:rPr>
                <w:rFonts w:hint="eastAsia"/>
                <w:szCs w:val="21"/>
              </w:rPr>
              <w:t>3</w:t>
            </w:r>
            <w:r>
              <w:rPr>
                <w:rFonts w:hint="eastAsia"/>
                <w:szCs w:val="21"/>
                <w:lang w:val="en-US" w:eastAsia="zh-CN"/>
              </w:rPr>
              <w:t>6</w:t>
            </w:r>
            <w:r>
              <w:rPr>
                <w:rFonts w:hint="eastAsia"/>
                <w:szCs w:val="21"/>
              </w:rPr>
              <w:t>0</w:t>
            </w:r>
            <w:r>
              <w:rPr>
                <w:szCs w:val="21"/>
              </w:rPr>
              <w:t>m</w:t>
            </w:r>
            <w:r>
              <w:rPr>
                <w:szCs w:val="21"/>
                <w:vertAlign w:val="superscript"/>
              </w:rPr>
              <w:t>3</w:t>
            </w:r>
            <w:r>
              <w:rPr>
                <w:szCs w:val="21"/>
              </w:rPr>
              <w:t>/a</w:t>
            </w:r>
          </w:p>
        </w:tc>
        <w:tc>
          <w:tcPr>
            <w:tcW w:w="1185" w:type="dxa"/>
            <w:tcBorders>
              <w:bottom w:val="single" w:color="auto" w:sz="4" w:space="0"/>
            </w:tcBorders>
            <w:shd w:val="clear" w:color="auto" w:fill="FFFFFF"/>
            <w:vAlign w:val="center"/>
          </w:tcPr>
          <w:p>
            <w:pPr>
              <w:snapToGrid w:val="0"/>
              <w:jc w:val="center"/>
              <w:rPr>
                <w:b/>
                <w:spacing w:val="-4"/>
                <w:szCs w:val="21"/>
              </w:rPr>
            </w:pPr>
            <w:r>
              <w:rPr>
                <w:b/>
                <w:spacing w:val="-4"/>
                <w:szCs w:val="21"/>
              </w:rPr>
              <w:t>污染物名称</w:t>
            </w:r>
          </w:p>
        </w:tc>
        <w:tc>
          <w:tcPr>
            <w:tcW w:w="1220" w:type="dxa"/>
            <w:tcBorders>
              <w:bottom w:val="single" w:color="auto" w:sz="4" w:space="0"/>
            </w:tcBorders>
            <w:shd w:val="clear" w:color="auto" w:fill="FFFFFF"/>
            <w:vAlign w:val="center"/>
          </w:tcPr>
          <w:p>
            <w:pPr>
              <w:jc w:val="center"/>
              <w:rPr>
                <w:b/>
                <w:szCs w:val="21"/>
              </w:rPr>
            </w:pPr>
            <w:r>
              <w:rPr>
                <w:b/>
                <w:szCs w:val="21"/>
              </w:rPr>
              <w:t>产生浓度mg/L</w:t>
            </w:r>
          </w:p>
        </w:tc>
        <w:tc>
          <w:tcPr>
            <w:tcW w:w="953" w:type="dxa"/>
            <w:tcBorders>
              <w:bottom w:val="single" w:color="auto" w:sz="4" w:space="0"/>
            </w:tcBorders>
            <w:shd w:val="clear" w:color="auto" w:fill="FFFFFF"/>
            <w:vAlign w:val="center"/>
          </w:tcPr>
          <w:p>
            <w:pPr>
              <w:snapToGrid w:val="0"/>
              <w:jc w:val="center"/>
              <w:rPr>
                <w:b/>
                <w:szCs w:val="21"/>
              </w:rPr>
            </w:pPr>
            <w:r>
              <w:rPr>
                <w:b/>
                <w:szCs w:val="21"/>
              </w:rPr>
              <w:t>产生</w:t>
            </w:r>
            <w:r>
              <w:rPr>
                <w:b/>
              </w:rPr>
              <w:t>t/a</w:t>
            </w:r>
          </w:p>
        </w:tc>
        <w:tc>
          <w:tcPr>
            <w:tcW w:w="1283" w:type="dxa"/>
            <w:tcBorders>
              <w:bottom w:val="single" w:color="auto" w:sz="4" w:space="0"/>
            </w:tcBorders>
            <w:shd w:val="clear" w:color="auto" w:fill="FFFFFF"/>
            <w:vAlign w:val="center"/>
          </w:tcPr>
          <w:p>
            <w:pPr>
              <w:snapToGrid w:val="0"/>
              <w:jc w:val="center"/>
              <w:rPr>
                <w:b/>
                <w:szCs w:val="21"/>
              </w:rPr>
            </w:pPr>
            <w:r>
              <w:rPr>
                <w:b/>
                <w:szCs w:val="21"/>
              </w:rPr>
              <w:t>排放浓度mg/L</w:t>
            </w:r>
          </w:p>
        </w:tc>
        <w:tc>
          <w:tcPr>
            <w:tcW w:w="1216" w:type="dxa"/>
            <w:tcBorders>
              <w:bottom w:val="single" w:color="auto" w:sz="4" w:space="0"/>
            </w:tcBorders>
            <w:shd w:val="clear" w:color="auto" w:fill="FFFFFF"/>
            <w:vAlign w:val="center"/>
          </w:tcPr>
          <w:p>
            <w:pPr>
              <w:snapToGrid w:val="0"/>
              <w:jc w:val="center"/>
              <w:rPr>
                <w:b/>
                <w:szCs w:val="21"/>
              </w:rPr>
            </w:pPr>
            <w:r>
              <w:rPr>
                <w:rFonts w:hint="eastAsia"/>
                <w:b/>
                <w:szCs w:val="21"/>
              </w:rPr>
              <w:t>排放量</w:t>
            </w:r>
            <w:r>
              <w:rPr>
                <w:b/>
              </w:rPr>
              <w:t>t/a</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454" w:hRule="atLeast"/>
          <w:jc w:val="center"/>
        </w:trPr>
        <w:tc>
          <w:tcPr>
            <w:tcW w:w="1011" w:type="dxa"/>
            <w:vMerge w:val="continue"/>
            <w:shd w:val="clear" w:color="auto" w:fill="auto"/>
            <w:vAlign w:val="center"/>
          </w:tcPr>
          <w:p>
            <w:pPr>
              <w:snapToGrid w:val="0"/>
              <w:jc w:val="center"/>
              <w:rPr>
                <w:szCs w:val="21"/>
              </w:rPr>
            </w:pPr>
          </w:p>
        </w:tc>
        <w:tc>
          <w:tcPr>
            <w:tcW w:w="1615" w:type="dxa"/>
            <w:gridSpan w:val="2"/>
            <w:vMerge w:val="continue"/>
            <w:shd w:val="clear" w:color="auto" w:fill="FFFFFF"/>
            <w:vAlign w:val="center"/>
          </w:tcPr>
          <w:p>
            <w:pPr>
              <w:snapToGrid w:val="0"/>
              <w:spacing w:line="320" w:lineRule="exact"/>
              <w:jc w:val="center"/>
              <w:rPr>
                <w:szCs w:val="21"/>
              </w:rPr>
            </w:pPr>
          </w:p>
        </w:tc>
        <w:tc>
          <w:tcPr>
            <w:tcW w:w="1185" w:type="dxa"/>
            <w:tcBorders>
              <w:bottom w:val="single" w:color="auto" w:sz="4" w:space="0"/>
            </w:tcBorders>
            <w:shd w:val="clear" w:color="auto" w:fill="FFFFFF"/>
            <w:vAlign w:val="center"/>
          </w:tcPr>
          <w:p>
            <w:pPr>
              <w:spacing w:line="320" w:lineRule="exact"/>
              <w:jc w:val="center"/>
              <w:rPr>
                <w:szCs w:val="21"/>
              </w:rPr>
            </w:pPr>
            <w:r>
              <w:rPr>
                <w:szCs w:val="21"/>
              </w:rPr>
              <w:t>COD</w:t>
            </w:r>
          </w:p>
        </w:tc>
        <w:tc>
          <w:tcPr>
            <w:tcW w:w="1220" w:type="dxa"/>
            <w:tcBorders>
              <w:bottom w:val="single" w:color="auto" w:sz="4" w:space="0"/>
            </w:tcBorders>
            <w:shd w:val="clear" w:color="auto" w:fill="FFFFFF"/>
            <w:vAlign w:val="center"/>
          </w:tcPr>
          <w:p>
            <w:pPr>
              <w:jc w:val="center"/>
              <w:rPr>
                <w:szCs w:val="21"/>
              </w:rPr>
            </w:pPr>
            <w:r>
              <w:rPr>
                <w:rFonts w:hint="eastAsia"/>
                <w:szCs w:val="21"/>
              </w:rPr>
              <w:t>400</w:t>
            </w:r>
          </w:p>
        </w:tc>
        <w:tc>
          <w:tcPr>
            <w:tcW w:w="953" w:type="dxa"/>
            <w:tcBorders>
              <w:bottom w:val="single" w:color="auto" w:sz="4" w:space="0"/>
            </w:tcBorders>
            <w:shd w:val="clear" w:color="auto" w:fill="FFFFFF"/>
            <w:vAlign w:val="center"/>
          </w:tcPr>
          <w:p>
            <w:pPr>
              <w:jc w:val="center"/>
              <w:rPr>
                <w:szCs w:val="21"/>
              </w:rPr>
            </w:pPr>
            <w:r>
              <w:rPr>
                <w:rFonts w:hint="eastAsia"/>
                <w:szCs w:val="21"/>
                <w:lang w:val="en-US" w:eastAsia="zh-CN"/>
              </w:rPr>
              <w:t>0.144</w:t>
            </w:r>
          </w:p>
        </w:tc>
        <w:tc>
          <w:tcPr>
            <w:tcW w:w="1283" w:type="dxa"/>
            <w:tcBorders>
              <w:bottom w:val="single" w:color="auto" w:sz="4" w:space="0"/>
            </w:tcBorders>
            <w:shd w:val="clear" w:color="auto" w:fill="FFFFFF"/>
            <w:vAlign w:val="center"/>
          </w:tcPr>
          <w:p>
            <w:pPr>
              <w:spacing w:line="320" w:lineRule="exact"/>
              <w:jc w:val="center"/>
              <w:rPr>
                <w:szCs w:val="21"/>
              </w:rPr>
            </w:pPr>
            <w:r>
              <w:rPr>
                <w:rFonts w:hint="eastAsia"/>
                <w:szCs w:val="21"/>
              </w:rPr>
              <w:t>340</w:t>
            </w:r>
          </w:p>
        </w:tc>
        <w:tc>
          <w:tcPr>
            <w:tcW w:w="1216" w:type="dxa"/>
            <w:tcBorders>
              <w:bottom w:val="single" w:color="auto" w:sz="4" w:space="0"/>
            </w:tcBorders>
            <w:shd w:val="clear" w:color="auto" w:fill="FFFFFF"/>
            <w:vAlign w:val="center"/>
          </w:tcPr>
          <w:p>
            <w:pPr>
              <w:jc w:val="center"/>
              <w:rPr>
                <w:szCs w:val="21"/>
              </w:rPr>
            </w:pPr>
            <w:r>
              <w:rPr>
                <w:rFonts w:hint="eastAsia"/>
                <w:szCs w:val="21"/>
                <w:lang w:val="en-US" w:eastAsia="zh-CN"/>
              </w:rPr>
              <w:t>0.122</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454" w:hRule="atLeast"/>
          <w:jc w:val="center"/>
        </w:trPr>
        <w:tc>
          <w:tcPr>
            <w:tcW w:w="1011" w:type="dxa"/>
            <w:vMerge w:val="continue"/>
            <w:shd w:val="clear" w:color="auto" w:fill="auto"/>
            <w:vAlign w:val="center"/>
          </w:tcPr>
          <w:p>
            <w:pPr>
              <w:snapToGrid w:val="0"/>
              <w:jc w:val="center"/>
              <w:rPr>
                <w:szCs w:val="21"/>
              </w:rPr>
            </w:pPr>
          </w:p>
        </w:tc>
        <w:tc>
          <w:tcPr>
            <w:tcW w:w="1615" w:type="dxa"/>
            <w:gridSpan w:val="2"/>
            <w:vMerge w:val="continue"/>
            <w:shd w:val="clear" w:color="auto" w:fill="FFFFFF"/>
            <w:vAlign w:val="center"/>
          </w:tcPr>
          <w:p>
            <w:pPr>
              <w:snapToGrid w:val="0"/>
              <w:spacing w:line="320" w:lineRule="exact"/>
              <w:jc w:val="center"/>
              <w:rPr>
                <w:szCs w:val="21"/>
              </w:rPr>
            </w:pPr>
          </w:p>
        </w:tc>
        <w:tc>
          <w:tcPr>
            <w:tcW w:w="1185" w:type="dxa"/>
            <w:tcBorders>
              <w:top w:val="single" w:color="auto" w:sz="4" w:space="0"/>
              <w:bottom w:val="single" w:color="auto" w:sz="4" w:space="0"/>
            </w:tcBorders>
            <w:shd w:val="clear" w:color="auto" w:fill="FFFFFF"/>
            <w:vAlign w:val="center"/>
          </w:tcPr>
          <w:p>
            <w:pPr>
              <w:spacing w:line="320" w:lineRule="exact"/>
              <w:jc w:val="center"/>
              <w:rPr>
                <w:szCs w:val="21"/>
              </w:rPr>
            </w:pPr>
            <w:r>
              <w:rPr>
                <w:szCs w:val="21"/>
              </w:rPr>
              <w:t>SS</w:t>
            </w:r>
          </w:p>
        </w:tc>
        <w:tc>
          <w:tcPr>
            <w:tcW w:w="1220" w:type="dxa"/>
            <w:tcBorders>
              <w:top w:val="single" w:color="auto" w:sz="4" w:space="0"/>
              <w:bottom w:val="single" w:color="auto" w:sz="4" w:space="0"/>
            </w:tcBorders>
            <w:shd w:val="clear" w:color="auto" w:fill="FFFFFF"/>
            <w:vAlign w:val="center"/>
          </w:tcPr>
          <w:p>
            <w:pPr>
              <w:jc w:val="center"/>
              <w:rPr>
                <w:szCs w:val="21"/>
              </w:rPr>
            </w:pPr>
            <w:r>
              <w:rPr>
                <w:rFonts w:hint="eastAsia"/>
                <w:szCs w:val="21"/>
              </w:rPr>
              <w:t>200</w:t>
            </w:r>
          </w:p>
        </w:tc>
        <w:tc>
          <w:tcPr>
            <w:tcW w:w="953" w:type="dxa"/>
            <w:tcBorders>
              <w:top w:val="single" w:color="auto" w:sz="4" w:space="0"/>
              <w:bottom w:val="single" w:color="auto" w:sz="4" w:space="0"/>
            </w:tcBorders>
            <w:shd w:val="clear" w:color="auto" w:fill="FFFFFF"/>
            <w:vAlign w:val="center"/>
          </w:tcPr>
          <w:p>
            <w:pPr>
              <w:jc w:val="center"/>
              <w:rPr>
                <w:szCs w:val="21"/>
              </w:rPr>
            </w:pPr>
            <w:r>
              <w:rPr>
                <w:rFonts w:hint="eastAsia"/>
                <w:color w:val="auto"/>
                <w:szCs w:val="21"/>
                <w:lang w:val="en-US" w:eastAsia="zh-CN"/>
              </w:rPr>
              <w:t>0.072</w:t>
            </w:r>
          </w:p>
        </w:tc>
        <w:tc>
          <w:tcPr>
            <w:tcW w:w="1283" w:type="dxa"/>
            <w:tcBorders>
              <w:top w:val="single" w:color="auto" w:sz="4" w:space="0"/>
              <w:bottom w:val="single" w:color="auto" w:sz="4" w:space="0"/>
            </w:tcBorders>
            <w:shd w:val="clear" w:color="auto" w:fill="FFFFFF"/>
            <w:vAlign w:val="center"/>
          </w:tcPr>
          <w:p>
            <w:pPr>
              <w:spacing w:line="320" w:lineRule="exact"/>
              <w:jc w:val="center"/>
              <w:rPr>
                <w:szCs w:val="21"/>
              </w:rPr>
            </w:pPr>
            <w:r>
              <w:rPr>
                <w:rFonts w:hint="eastAsia"/>
                <w:szCs w:val="21"/>
              </w:rPr>
              <w:t>160</w:t>
            </w:r>
          </w:p>
        </w:tc>
        <w:tc>
          <w:tcPr>
            <w:tcW w:w="1216" w:type="dxa"/>
            <w:tcBorders>
              <w:top w:val="single" w:color="auto" w:sz="4" w:space="0"/>
              <w:bottom w:val="single" w:color="auto" w:sz="4" w:space="0"/>
            </w:tcBorders>
            <w:shd w:val="clear" w:color="auto" w:fill="FFFFFF"/>
            <w:vAlign w:val="center"/>
          </w:tcPr>
          <w:p>
            <w:pPr>
              <w:jc w:val="center"/>
              <w:rPr>
                <w:szCs w:val="21"/>
              </w:rPr>
            </w:pPr>
            <w:r>
              <w:rPr>
                <w:rFonts w:hint="eastAsia"/>
                <w:color w:val="auto"/>
                <w:szCs w:val="21"/>
                <w:lang w:val="en-US" w:eastAsia="zh-CN"/>
              </w:rPr>
              <w:t>0.058</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454" w:hRule="atLeast"/>
          <w:jc w:val="center"/>
        </w:trPr>
        <w:tc>
          <w:tcPr>
            <w:tcW w:w="1011" w:type="dxa"/>
            <w:vMerge w:val="continue"/>
            <w:shd w:val="clear" w:color="auto" w:fill="auto"/>
            <w:vAlign w:val="center"/>
          </w:tcPr>
          <w:p>
            <w:pPr>
              <w:snapToGrid w:val="0"/>
              <w:jc w:val="center"/>
              <w:rPr>
                <w:szCs w:val="21"/>
              </w:rPr>
            </w:pPr>
          </w:p>
        </w:tc>
        <w:tc>
          <w:tcPr>
            <w:tcW w:w="1615" w:type="dxa"/>
            <w:gridSpan w:val="2"/>
            <w:vMerge w:val="continue"/>
            <w:shd w:val="clear" w:color="auto" w:fill="FFFFFF"/>
            <w:vAlign w:val="center"/>
          </w:tcPr>
          <w:p>
            <w:pPr>
              <w:snapToGrid w:val="0"/>
              <w:spacing w:line="320" w:lineRule="exact"/>
              <w:jc w:val="center"/>
              <w:rPr>
                <w:szCs w:val="21"/>
              </w:rPr>
            </w:pPr>
          </w:p>
        </w:tc>
        <w:tc>
          <w:tcPr>
            <w:tcW w:w="1185" w:type="dxa"/>
            <w:tcBorders>
              <w:top w:val="single" w:color="auto" w:sz="4" w:space="0"/>
            </w:tcBorders>
            <w:shd w:val="clear" w:color="auto" w:fill="FFFFFF"/>
            <w:vAlign w:val="center"/>
          </w:tcPr>
          <w:p>
            <w:pPr>
              <w:spacing w:line="320" w:lineRule="exact"/>
              <w:jc w:val="center"/>
              <w:rPr>
                <w:szCs w:val="21"/>
              </w:rPr>
            </w:pPr>
            <w:r>
              <w:rPr>
                <w:szCs w:val="21"/>
              </w:rPr>
              <w:t>氨氮</w:t>
            </w:r>
          </w:p>
        </w:tc>
        <w:tc>
          <w:tcPr>
            <w:tcW w:w="1220" w:type="dxa"/>
            <w:tcBorders>
              <w:top w:val="single" w:color="auto" w:sz="4" w:space="0"/>
            </w:tcBorders>
            <w:shd w:val="clear" w:color="auto" w:fill="FFFFFF"/>
            <w:vAlign w:val="center"/>
          </w:tcPr>
          <w:p>
            <w:pPr>
              <w:jc w:val="center"/>
              <w:rPr>
                <w:szCs w:val="21"/>
              </w:rPr>
            </w:pPr>
            <w:r>
              <w:rPr>
                <w:szCs w:val="21"/>
              </w:rPr>
              <w:t>3</w:t>
            </w:r>
            <w:r>
              <w:rPr>
                <w:rFonts w:hint="eastAsia"/>
                <w:szCs w:val="21"/>
              </w:rPr>
              <w:t>5</w:t>
            </w:r>
          </w:p>
        </w:tc>
        <w:tc>
          <w:tcPr>
            <w:tcW w:w="953" w:type="dxa"/>
            <w:tcBorders>
              <w:top w:val="single" w:color="auto" w:sz="4" w:space="0"/>
            </w:tcBorders>
            <w:shd w:val="clear" w:color="auto" w:fill="FFFFFF"/>
            <w:vAlign w:val="center"/>
          </w:tcPr>
          <w:p>
            <w:pPr>
              <w:jc w:val="center"/>
              <w:rPr>
                <w:szCs w:val="21"/>
              </w:rPr>
            </w:pPr>
            <w:r>
              <w:rPr>
                <w:rFonts w:hint="eastAsia"/>
                <w:color w:val="auto"/>
                <w:szCs w:val="21"/>
                <w:lang w:val="en-US" w:eastAsia="zh-CN"/>
              </w:rPr>
              <w:t>0.0126</w:t>
            </w:r>
          </w:p>
        </w:tc>
        <w:tc>
          <w:tcPr>
            <w:tcW w:w="1283" w:type="dxa"/>
            <w:tcBorders>
              <w:top w:val="single" w:color="auto" w:sz="4" w:space="0"/>
            </w:tcBorders>
            <w:shd w:val="clear" w:color="auto" w:fill="FFFFFF"/>
            <w:vAlign w:val="center"/>
          </w:tcPr>
          <w:p>
            <w:pPr>
              <w:spacing w:line="320" w:lineRule="exact"/>
              <w:jc w:val="center"/>
              <w:rPr>
                <w:szCs w:val="21"/>
              </w:rPr>
            </w:pPr>
            <w:r>
              <w:rPr>
                <w:szCs w:val="21"/>
              </w:rPr>
              <w:t>3</w:t>
            </w:r>
            <w:r>
              <w:rPr>
                <w:rFonts w:hint="eastAsia"/>
                <w:szCs w:val="21"/>
              </w:rPr>
              <w:t>5</w:t>
            </w:r>
          </w:p>
        </w:tc>
        <w:tc>
          <w:tcPr>
            <w:tcW w:w="1216" w:type="dxa"/>
            <w:tcBorders>
              <w:top w:val="single" w:color="auto" w:sz="4" w:space="0"/>
            </w:tcBorders>
            <w:shd w:val="clear" w:color="auto" w:fill="FFFFFF"/>
            <w:vAlign w:val="center"/>
          </w:tcPr>
          <w:p>
            <w:pPr>
              <w:jc w:val="center"/>
              <w:rPr>
                <w:szCs w:val="21"/>
              </w:rPr>
            </w:pPr>
            <w:r>
              <w:rPr>
                <w:rFonts w:hint="eastAsia"/>
                <w:color w:val="auto"/>
                <w:szCs w:val="21"/>
                <w:lang w:val="en-US" w:eastAsia="zh-CN"/>
              </w:rPr>
              <w:t>0.0126</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454" w:hRule="atLeast"/>
          <w:jc w:val="center"/>
        </w:trPr>
        <w:tc>
          <w:tcPr>
            <w:tcW w:w="1011" w:type="dxa"/>
            <w:vMerge w:val="continue"/>
            <w:shd w:val="clear" w:color="auto" w:fill="auto"/>
            <w:vAlign w:val="center"/>
          </w:tcPr>
          <w:p>
            <w:pPr>
              <w:snapToGrid w:val="0"/>
              <w:jc w:val="center"/>
              <w:rPr>
                <w:szCs w:val="21"/>
              </w:rPr>
            </w:pPr>
          </w:p>
        </w:tc>
        <w:tc>
          <w:tcPr>
            <w:tcW w:w="1615" w:type="dxa"/>
            <w:gridSpan w:val="2"/>
            <w:vMerge w:val="continue"/>
            <w:shd w:val="clear" w:color="auto" w:fill="FFFFFF"/>
            <w:vAlign w:val="center"/>
          </w:tcPr>
          <w:p>
            <w:pPr>
              <w:snapToGrid w:val="0"/>
              <w:spacing w:line="320" w:lineRule="exact"/>
              <w:jc w:val="center"/>
              <w:rPr>
                <w:szCs w:val="21"/>
              </w:rPr>
            </w:pPr>
          </w:p>
        </w:tc>
        <w:tc>
          <w:tcPr>
            <w:tcW w:w="1185" w:type="dxa"/>
            <w:tcBorders>
              <w:top w:val="single" w:color="auto" w:sz="4" w:space="0"/>
            </w:tcBorders>
            <w:shd w:val="clear" w:color="auto" w:fill="FFFFFF"/>
            <w:vAlign w:val="center"/>
          </w:tcPr>
          <w:p>
            <w:pPr>
              <w:spacing w:line="320" w:lineRule="exact"/>
              <w:jc w:val="center"/>
              <w:rPr>
                <w:szCs w:val="21"/>
              </w:rPr>
            </w:pPr>
            <w:r>
              <w:rPr>
                <w:szCs w:val="21"/>
              </w:rPr>
              <w:t>TP</w:t>
            </w:r>
          </w:p>
        </w:tc>
        <w:tc>
          <w:tcPr>
            <w:tcW w:w="1220" w:type="dxa"/>
            <w:shd w:val="clear" w:color="auto" w:fill="FFFFFF"/>
            <w:vAlign w:val="center"/>
          </w:tcPr>
          <w:p>
            <w:pPr>
              <w:jc w:val="center"/>
              <w:rPr>
                <w:szCs w:val="21"/>
              </w:rPr>
            </w:pPr>
            <w:r>
              <w:rPr>
                <w:szCs w:val="21"/>
              </w:rPr>
              <w:t>3</w:t>
            </w:r>
          </w:p>
        </w:tc>
        <w:tc>
          <w:tcPr>
            <w:tcW w:w="953" w:type="dxa"/>
            <w:shd w:val="clear" w:color="auto" w:fill="FFFFFF"/>
            <w:vAlign w:val="center"/>
          </w:tcPr>
          <w:p>
            <w:pPr>
              <w:jc w:val="center"/>
              <w:rPr>
                <w:szCs w:val="21"/>
              </w:rPr>
            </w:pPr>
            <w:r>
              <w:rPr>
                <w:rFonts w:hint="eastAsia"/>
                <w:color w:val="auto"/>
                <w:szCs w:val="21"/>
                <w:lang w:val="en-US" w:eastAsia="zh-CN"/>
              </w:rPr>
              <w:t>0.0011</w:t>
            </w:r>
          </w:p>
        </w:tc>
        <w:tc>
          <w:tcPr>
            <w:tcW w:w="1283" w:type="dxa"/>
            <w:shd w:val="clear" w:color="auto" w:fill="FFFFFF"/>
            <w:vAlign w:val="center"/>
          </w:tcPr>
          <w:p>
            <w:pPr>
              <w:spacing w:line="320" w:lineRule="exact"/>
              <w:jc w:val="center"/>
              <w:rPr>
                <w:szCs w:val="21"/>
              </w:rPr>
            </w:pPr>
            <w:r>
              <w:rPr>
                <w:szCs w:val="21"/>
              </w:rPr>
              <w:t>3</w:t>
            </w:r>
          </w:p>
        </w:tc>
        <w:tc>
          <w:tcPr>
            <w:tcW w:w="1216" w:type="dxa"/>
            <w:shd w:val="clear" w:color="auto" w:fill="FFFFFF"/>
            <w:vAlign w:val="center"/>
          </w:tcPr>
          <w:p>
            <w:pPr>
              <w:jc w:val="center"/>
              <w:rPr>
                <w:szCs w:val="21"/>
              </w:rPr>
            </w:pPr>
            <w:r>
              <w:rPr>
                <w:rFonts w:hint="eastAsia"/>
                <w:color w:val="auto"/>
                <w:szCs w:val="21"/>
                <w:lang w:val="en-US" w:eastAsia="zh-CN"/>
              </w:rPr>
              <w:t>0.0011</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454" w:hRule="atLeast"/>
          <w:jc w:val="center"/>
        </w:trPr>
        <w:tc>
          <w:tcPr>
            <w:tcW w:w="1011" w:type="dxa"/>
            <w:vMerge w:val="continue"/>
            <w:shd w:val="clear" w:color="auto" w:fill="auto"/>
            <w:vAlign w:val="center"/>
          </w:tcPr>
          <w:p>
            <w:pPr>
              <w:snapToGrid w:val="0"/>
              <w:jc w:val="center"/>
              <w:rPr>
                <w:szCs w:val="21"/>
              </w:rPr>
            </w:pPr>
          </w:p>
        </w:tc>
        <w:tc>
          <w:tcPr>
            <w:tcW w:w="1615" w:type="dxa"/>
            <w:gridSpan w:val="2"/>
            <w:vMerge w:val="continue"/>
            <w:shd w:val="clear" w:color="auto" w:fill="FFFFFF"/>
            <w:vAlign w:val="center"/>
          </w:tcPr>
          <w:p>
            <w:pPr>
              <w:snapToGrid w:val="0"/>
              <w:spacing w:line="320" w:lineRule="exact"/>
              <w:jc w:val="center"/>
              <w:rPr>
                <w:szCs w:val="21"/>
              </w:rPr>
            </w:pPr>
          </w:p>
        </w:tc>
        <w:tc>
          <w:tcPr>
            <w:tcW w:w="1185" w:type="dxa"/>
            <w:tcBorders>
              <w:top w:val="single" w:color="auto" w:sz="4" w:space="0"/>
            </w:tcBorders>
            <w:shd w:val="clear" w:color="auto" w:fill="FFFFFF"/>
            <w:vAlign w:val="center"/>
          </w:tcPr>
          <w:p>
            <w:pPr>
              <w:spacing w:line="320" w:lineRule="exact"/>
              <w:jc w:val="center"/>
              <w:rPr>
                <w:szCs w:val="21"/>
              </w:rPr>
            </w:pPr>
            <w:r>
              <w:rPr>
                <w:rFonts w:hint="eastAsia"/>
                <w:szCs w:val="21"/>
              </w:rPr>
              <w:t>TN</w:t>
            </w:r>
          </w:p>
        </w:tc>
        <w:tc>
          <w:tcPr>
            <w:tcW w:w="1220" w:type="dxa"/>
            <w:shd w:val="clear" w:color="auto" w:fill="FFFFFF"/>
            <w:vAlign w:val="center"/>
          </w:tcPr>
          <w:p>
            <w:pPr>
              <w:jc w:val="center"/>
              <w:rPr>
                <w:szCs w:val="21"/>
              </w:rPr>
            </w:pPr>
            <w:r>
              <w:rPr>
                <w:rFonts w:hint="eastAsia"/>
                <w:szCs w:val="21"/>
              </w:rPr>
              <w:t>50</w:t>
            </w:r>
          </w:p>
        </w:tc>
        <w:tc>
          <w:tcPr>
            <w:tcW w:w="953" w:type="dxa"/>
            <w:shd w:val="clear" w:color="auto" w:fill="FFFFFF"/>
            <w:vAlign w:val="center"/>
          </w:tcPr>
          <w:p>
            <w:pPr>
              <w:jc w:val="center"/>
              <w:rPr>
                <w:szCs w:val="21"/>
              </w:rPr>
            </w:pPr>
            <w:r>
              <w:rPr>
                <w:rFonts w:hint="eastAsia"/>
                <w:color w:val="auto"/>
                <w:szCs w:val="21"/>
                <w:lang w:val="en-US" w:eastAsia="zh-CN"/>
              </w:rPr>
              <w:t>0.018</w:t>
            </w:r>
          </w:p>
        </w:tc>
        <w:tc>
          <w:tcPr>
            <w:tcW w:w="1283" w:type="dxa"/>
            <w:shd w:val="clear" w:color="auto" w:fill="FFFFFF"/>
            <w:vAlign w:val="center"/>
          </w:tcPr>
          <w:p>
            <w:pPr>
              <w:spacing w:line="320" w:lineRule="exact"/>
              <w:jc w:val="center"/>
              <w:rPr>
                <w:szCs w:val="21"/>
              </w:rPr>
            </w:pPr>
            <w:r>
              <w:rPr>
                <w:rFonts w:hint="eastAsia"/>
                <w:szCs w:val="21"/>
              </w:rPr>
              <w:t>50</w:t>
            </w:r>
          </w:p>
        </w:tc>
        <w:tc>
          <w:tcPr>
            <w:tcW w:w="1216" w:type="dxa"/>
            <w:shd w:val="clear" w:color="auto" w:fill="FFFFFF"/>
            <w:vAlign w:val="center"/>
          </w:tcPr>
          <w:p>
            <w:pPr>
              <w:jc w:val="center"/>
              <w:rPr>
                <w:szCs w:val="21"/>
              </w:rPr>
            </w:pPr>
            <w:r>
              <w:rPr>
                <w:rFonts w:hint="eastAsia"/>
                <w:color w:val="auto"/>
                <w:szCs w:val="21"/>
                <w:lang w:val="en-US" w:eastAsia="zh-CN"/>
              </w:rPr>
              <w:t>0.018</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16" w:hRule="atLeast"/>
          <w:jc w:val="center"/>
        </w:trPr>
        <w:tc>
          <w:tcPr>
            <w:tcW w:w="1011" w:type="dxa"/>
            <w:vMerge w:val="restart"/>
            <w:vAlign w:val="center"/>
          </w:tcPr>
          <w:p>
            <w:pPr>
              <w:jc w:val="center"/>
              <w:rPr>
                <w:szCs w:val="21"/>
              </w:rPr>
            </w:pPr>
            <w:r>
              <w:rPr>
                <w:szCs w:val="21"/>
              </w:rPr>
              <w:t>固废</w:t>
            </w:r>
          </w:p>
          <w:p>
            <w:pPr>
              <w:jc w:val="center"/>
              <w:rPr>
                <w:szCs w:val="21"/>
              </w:rPr>
            </w:pPr>
          </w:p>
        </w:tc>
        <w:tc>
          <w:tcPr>
            <w:tcW w:w="2800" w:type="dxa"/>
            <w:gridSpan w:val="3"/>
            <w:tcBorders>
              <w:top w:val="single" w:color="auto" w:sz="4" w:space="0"/>
            </w:tcBorders>
            <w:vAlign w:val="center"/>
          </w:tcPr>
          <w:p>
            <w:pPr>
              <w:jc w:val="center"/>
              <w:rPr>
                <w:b/>
                <w:bCs/>
              </w:rPr>
            </w:pPr>
            <w:r>
              <w:rPr>
                <w:rFonts w:hint="eastAsia"/>
                <w:b/>
                <w:bCs/>
              </w:rPr>
              <w:t>污染物名称</w:t>
            </w:r>
          </w:p>
        </w:tc>
        <w:tc>
          <w:tcPr>
            <w:tcW w:w="2173" w:type="dxa"/>
            <w:gridSpan w:val="2"/>
            <w:tcBorders>
              <w:top w:val="single" w:color="auto" w:sz="4" w:space="0"/>
              <w:bottom w:val="single" w:color="auto" w:sz="4" w:space="0"/>
            </w:tcBorders>
            <w:vAlign w:val="center"/>
          </w:tcPr>
          <w:p>
            <w:pPr>
              <w:jc w:val="center"/>
              <w:rPr>
                <w:b/>
                <w:bCs/>
              </w:rPr>
            </w:pPr>
            <w:r>
              <w:rPr>
                <w:rFonts w:hint="eastAsia"/>
                <w:b/>
                <w:bCs/>
              </w:rPr>
              <w:t>产生量</w:t>
            </w:r>
            <w:r>
              <w:rPr>
                <w:b/>
                <w:bCs/>
              </w:rPr>
              <w:t>t/a</w:t>
            </w:r>
          </w:p>
        </w:tc>
        <w:tc>
          <w:tcPr>
            <w:tcW w:w="2499" w:type="dxa"/>
            <w:gridSpan w:val="2"/>
            <w:tcBorders>
              <w:top w:val="single" w:color="auto" w:sz="4" w:space="0"/>
              <w:bottom w:val="single" w:color="auto" w:sz="4" w:space="0"/>
            </w:tcBorders>
            <w:vAlign w:val="center"/>
          </w:tcPr>
          <w:p>
            <w:pPr>
              <w:spacing w:line="320" w:lineRule="exact"/>
              <w:jc w:val="center"/>
              <w:rPr>
                <w:b/>
                <w:bCs/>
                <w:szCs w:val="21"/>
              </w:rPr>
            </w:pPr>
            <w:r>
              <w:rPr>
                <w:rFonts w:hint="eastAsia"/>
                <w:b/>
                <w:bCs/>
                <w:szCs w:val="21"/>
              </w:rPr>
              <w:t>排放量</w:t>
            </w:r>
            <w:r>
              <w:rPr>
                <w:b/>
                <w:bCs/>
              </w:rPr>
              <w:t>t/a</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16" w:hRule="atLeast"/>
          <w:jc w:val="center"/>
        </w:trPr>
        <w:tc>
          <w:tcPr>
            <w:tcW w:w="1011" w:type="dxa"/>
            <w:vMerge w:val="continue"/>
            <w:vAlign w:val="center"/>
          </w:tcPr>
          <w:p>
            <w:pPr>
              <w:jc w:val="center"/>
              <w:rPr>
                <w:szCs w:val="21"/>
              </w:rPr>
            </w:pPr>
          </w:p>
        </w:tc>
        <w:tc>
          <w:tcPr>
            <w:tcW w:w="1615" w:type="dxa"/>
            <w:gridSpan w:val="2"/>
            <w:tcBorders>
              <w:top w:val="single" w:color="auto" w:sz="4" w:space="0"/>
            </w:tcBorders>
            <w:vAlign w:val="center"/>
          </w:tcPr>
          <w:p>
            <w:pPr>
              <w:adjustRightInd w:val="0"/>
              <w:snapToGrid w:val="0"/>
              <w:jc w:val="center"/>
              <w:rPr>
                <w:bCs/>
              </w:rPr>
            </w:pPr>
            <w:r>
              <w:rPr>
                <w:rFonts w:hint="eastAsia"/>
                <w:szCs w:val="21"/>
              </w:rPr>
              <w:t>原料拆封、成品包装</w:t>
            </w:r>
          </w:p>
        </w:tc>
        <w:tc>
          <w:tcPr>
            <w:tcW w:w="1185" w:type="dxa"/>
            <w:tcBorders>
              <w:top w:val="single" w:color="auto" w:sz="4" w:space="0"/>
            </w:tcBorders>
            <w:vAlign w:val="center"/>
          </w:tcPr>
          <w:p>
            <w:pPr>
              <w:adjustRightInd w:val="0"/>
              <w:snapToGrid w:val="0"/>
              <w:jc w:val="center"/>
              <w:rPr>
                <w:szCs w:val="21"/>
              </w:rPr>
            </w:pPr>
            <w:r>
              <w:rPr>
                <w:rFonts w:hint="eastAsia"/>
                <w:szCs w:val="21"/>
              </w:rPr>
              <w:t>废包装材料</w:t>
            </w:r>
          </w:p>
        </w:tc>
        <w:tc>
          <w:tcPr>
            <w:tcW w:w="2173" w:type="dxa"/>
            <w:gridSpan w:val="2"/>
            <w:tcBorders>
              <w:top w:val="single" w:color="auto" w:sz="4" w:space="0"/>
              <w:bottom w:val="single" w:color="auto" w:sz="4" w:space="0"/>
            </w:tcBorders>
            <w:vAlign w:val="center"/>
          </w:tcPr>
          <w:p>
            <w:pPr>
              <w:jc w:val="center"/>
              <w:rPr>
                <w:szCs w:val="22"/>
              </w:rPr>
            </w:pPr>
            <w:r>
              <w:rPr>
                <w:rFonts w:hint="eastAsia"/>
                <w:szCs w:val="21"/>
              </w:rPr>
              <w:t>0.</w:t>
            </w:r>
            <w:r>
              <w:rPr>
                <w:rFonts w:hint="eastAsia"/>
                <w:szCs w:val="21"/>
                <w:lang w:val="en-US" w:eastAsia="zh-CN"/>
              </w:rPr>
              <w:t>0</w:t>
            </w:r>
            <w:r>
              <w:rPr>
                <w:rFonts w:hint="eastAsia"/>
                <w:szCs w:val="21"/>
              </w:rPr>
              <w:t>1</w:t>
            </w:r>
          </w:p>
        </w:tc>
        <w:tc>
          <w:tcPr>
            <w:tcW w:w="2499" w:type="dxa"/>
            <w:gridSpan w:val="2"/>
            <w:tcBorders>
              <w:top w:val="single" w:color="auto" w:sz="4" w:space="0"/>
              <w:bottom w:val="single" w:color="auto" w:sz="4" w:space="0"/>
            </w:tcBorders>
            <w:vAlign w:val="center"/>
          </w:tcPr>
          <w:p>
            <w:pPr>
              <w:jc w:val="center"/>
            </w:pPr>
            <w:r>
              <w:rPr>
                <w:rFonts w:hint="eastAsia"/>
              </w:rPr>
              <w:t>0</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16" w:hRule="atLeast"/>
          <w:jc w:val="center"/>
        </w:trPr>
        <w:tc>
          <w:tcPr>
            <w:tcW w:w="1011" w:type="dxa"/>
            <w:vMerge w:val="continue"/>
            <w:vAlign w:val="center"/>
          </w:tcPr>
          <w:p>
            <w:pPr>
              <w:jc w:val="center"/>
              <w:rPr>
                <w:szCs w:val="21"/>
              </w:rPr>
            </w:pPr>
          </w:p>
        </w:tc>
        <w:tc>
          <w:tcPr>
            <w:tcW w:w="1615" w:type="dxa"/>
            <w:gridSpan w:val="2"/>
            <w:tcBorders>
              <w:top w:val="single" w:color="auto" w:sz="4" w:space="0"/>
            </w:tcBorders>
            <w:vAlign w:val="center"/>
          </w:tcPr>
          <w:p>
            <w:pPr>
              <w:adjustRightInd w:val="0"/>
              <w:snapToGrid w:val="0"/>
              <w:jc w:val="center"/>
              <w:rPr>
                <w:bCs/>
              </w:rPr>
            </w:pPr>
            <w:r>
              <w:rPr>
                <w:rFonts w:hint="eastAsia"/>
                <w:szCs w:val="21"/>
                <w:lang w:eastAsia="zh-CN"/>
              </w:rPr>
              <w:t>注塑工序</w:t>
            </w:r>
          </w:p>
        </w:tc>
        <w:tc>
          <w:tcPr>
            <w:tcW w:w="1185" w:type="dxa"/>
            <w:tcBorders>
              <w:top w:val="single" w:color="auto" w:sz="4" w:space="0"/>
            </w:tcBorders>
            <w:vAlign w:val="center"/>
          </w:tcPr>
          <w:p>
            <w:pPr>
              <w:adjustRightInd w:val="0"/>
              <w:snapToGrid w:val="0"/>
              <w:jc w:val="center"/>
              <w:rPr>
                <w:szCs w:val="21"/>
              </w:rPr>
            </w:pPr>
            <w:r>
              <w:rPr>
                <w:rFonts w:hint="eastAsia"/>
                <w:szCs w:val="21"/>
                <w:lang w:eastAsia="zh-CN"/>
              </w:rPr>
              <w:t>不合格产品</w:t>
            </w:r>
          </w:p>
        </w:tc>
        <w:tc>
          <w:tcPr>
            <w:tcW w:w="2173" w:type="dxa"/>
            <w:gridSpan w:val="2"/>
            <w:tcBorders>
              <w:top w:val="single" w:color="auto" w:sz="4" w:space="0"/>
              <w:bottom w:val="single" w:color="auto" w:sz="4" w:space="0"/>
            </w:tcBorders>
            <w:vAlign w:val="center"/>
          </w:tcPr>
          <w:p>
            <w:pPr>
              <w:jc w:val="center"/>
              <w:rPr>
                <w:szCs w:val="22"/>
              </w:rPr>
            </w:pPr>
            <w:r>
              <w:rPr>
                <w:rFonts w:hint="eastAsia"/>
                <w:szCs w:val="21"/>
                <w:lang w:val="en-US" w:eastAsia="zh-CN"/>
              </w:rPr>
              <w:t>0.05</w:t>
            </w:r>
          </w:p>
        </w:tc>
        <w:tc>
          <w:tcPr>
            <w:tcW w:w="2499" w:type="dxa"/>
            <w:gridSpan w:val="2"/>
            <w:tcBorders>
              <w:top w:val="single" w:color="auto" w:sz="4" w:space="0"/>
              <w:bottom w:val="single" w:color="auto" w:sz="4" w:space="0"/>
            </w:tcBorders>
            <w:vAlign w:val="center"/>
          </w:tcPr>
          <w:p>
            <w:pPr>
              <w:jc w:val="center"/>
            </w:pPr>
            <w:r>
              <w:rPr>
                <w:rFonts w:hint="eastAsia"/>
              </w:rPr>
              <w:t>0</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524" w:hRule="atLeast"/>
          <w:jc w:val="center"/>
        </w:trPr>
        <w:tc>
          <w:tcPr>
            <w:tcW w:w="1011" w:type="dxa"/>
            <w:vMerge w:val="continue"/>
            <w:vAlign w:val="center"/>
          </w:tcPr>
          <w:p>
            <w:pPr>
              <w:jc w:val="center"/>
              <w:rPr>
                <w:szCs w:val="21"/>
              </w:rPr>
            </w:pPr>
          </w:p>
        </w:tc>
        <w:tc>
          <w:tcPr>
            <w:tcW w:w="1615" w:type="dxa"/>
            <w:gridSpan w:val="2"/>
            <w:tcBorders>
              <w:top w:val="single" w:color="auto" w:sz="4" w:space="0"/>
            </w:tcBorders>
            <w:vAlign w:val="center"/>
          </w:tcPr>
          <w:p>
            <w:pPr>
              <w:adjustRightInd w:val="0"/>
              <w:snapToGrid w:val="0"/>
              <w:jc w:val="center"/>
              <w:rPr>
                <w:rFonts w:hint="eastAsia"/>
                <w:szCs w:val="21"/>
              </w:rPr>
            </w:pPr>
            <w:r>
              <w:rPr>
                <w:rFonts w:hint="eastAsia"/>
                <w:szCs w:val="21"/>
              </w:rPr>
              <w:t xml:space="preserve"> </w:t>
            </w:r>
            <w:r>
              <w:rPr>
                <w:rFonts w:hint="eastAsia"/>
                <w:szCs w:val="21"/>
                <w:lang w:eastAsia="zh-CN"/>
              </w:rPr>
              <w:t>成型工序</w:t>
            </w:r>
          </w:p>
        </w:tc>
        <w:tc>
          <w:tcPr>
            <w:tcW w:w="1185" w:type="dxa"/>
            <w:tcBorders>
              <w:top w:val="single" w:color="auto" w:sz="4" w:space="0"/>
            </w:tcBorders>
            <w:vAlign w:val="center"/>
          </w:tcPr>
          <w:p>
            <w:pPr>
              <w:adjustRightInd w:val="0"/>
              <w:snapToGrid w:val="0"/>
              <w:jc w:val="center"/>
              <w:rPr>
                <w:rFonts w:hint="eastAsia"/>
                <w:szCs w:val="21"/>
              </w:rPr>
            </w:pPr>
            <w:r>
              <w:rPr>
                <w:rFonts w:hint="eastAsia"/>
                <w:szCs w:val="21"/>
                <w:lang w:eastAsia="zh-CN"/>
              </w:rPr>
              <w:t>废金属碎屑</w:t>
            </w:r>
          </w:p>
        </w:tc>
        <w:tc>
          <w:tcPr>
            <w:tcW w:w="2173" w:type="dxa"/>
            <w:gridSpan w:val="2"/>
            <w:tcBorders>
              <w:top w:val="single" w:color="auto" w:sz="4" w:space="0"/>
              <w:bottom w:val="single" w:color="auto" w:sz="4" w:space="0"/>
            </w:tcBorders>
            <w:vAlign w:val="center"/>
          </w:tcPr>
          <w:p>
            <w:pPr>
              <w:jc w:val="center"/>
              <w:rPr>
                <w:rFonts w:hint="eastAsia"/>
                <w:szCs w:val="21"/>
              </w:rPr>
            </w:pPr>
            <w:r>
              <w:rPr>
                <w:rFonts w:hint="eastAsia"/>
                <w:szCs w:val="21"/>
                <w:lang w:val="en-US" w:eastAsia="zh-CN"/>
              </w:rPr>
              <w:t>0.05</w:t>
            </w:r>
          </w:p>
        </w:tc>
        <w:tc>
          <w:tcPr>
            <w:tcW w:w="2499" w:type="dxa"/>
            <w:gridSpan w:val="2"/>
            <w:tcBorders>
              <w:top w:val="single" w:color="auto" w:sz="4" w:space="0"/>
              <w:bottom w:val="single" w:color="auto" w:sz="4" w:space="0"/>
            </w:tcBorders>
            <w:vAlign w:val="center"/>
          </w:tcPr>
          <w:p>
            <w:pPr>
              <w:jc w:val="center"/>
              <w:rPr>
                <w:rFonts w:hint="eastAsia"/>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427" w:hRule="atLeast"/>
          <w:jc w:val="center"/>
        </w:trPr>
        <w:tc>
          <w:tcPr>
            <w:tcW w:w="1011" w:type="dxa"/>
            <w:vMerge w:val="continue"/>
            <w:vAlign w:val="center"/>
          </w:tcPr>
          <w:p>
            <w:pPr>
              <w:jc w:val="center"/>
              <w:rPr>
                <w:szCs w:val="21"/>
              </w:rPr>
            </w:pPr>
          </w:p>
        </w:tc>
        <w:tc>
          <w:tcPr>
            <w:tcW w:w="1615" w:type="dxa"/>
            <w:gridSpan w:val="2"/>
            <w:tcBorders>
              <w:top w:val="single" w:color="auto" w:sz="4" w:space="0"/>
            </w:tcBorders>
            <w:vAlign w:val="center"/>
          </w:tcPr>
          <w:p>
            <w:pPr>
              <w:adjustRightInd w:val="0"/>
              <w:snapToGrid w:val="0"/>
              <w:jc w:val="center"/>
              <w:rPr>
                <w:bCs/>
              </w:rPr>
            </w:pPr>
            <w:r>
              <w:rPr>
                <w:rFonts w:hint="eastAsia"/>
                <w:szCs w:val="21"/>
                <w:lang w:eastAsia="zh-CN"/>
              </w:rPr>
              <w:t>成型工序</w:t>
            </w:r>
          </w:p>
        </w:tc>
        <w:tc>
          <w:tcPr>
            <w:tcW w:w="1185" w:type="dxa"/>
            <w:tcBorders>
              <w:top w:val="single" w:color="auto" w:sz="4" w:space="0"/>
            </w:tcBorders>
            <w:vAlign w:val="center"/>
          </w:tcPr>
          <w:p>
            <w:pPr>
              <w:adjustRightInd w:val="0"/>
              <w:snapToGrid w:val="0"/>
              <w:jc w:val="center"/>
              <w:rPr>
                <w:szCs w:val="21"/>
              </w:rPr>
            </w:pPr>
            <w:r>
              <w:rPr>
                <w:rFonts w:hint="eastAsia"/>
                <w:szCs w:val="21"/>
                <w:lang w:eastAsia="zh-CN"/>
              </w:rPr>
              <w:t>废切削液</w:t>
            </w:r>
          </w:p>
        </w:tc>
        <w:tc>
          <w:tcPr>
            <w:tcW w:w="2173" w:type="dxa"/>
            <w:gridSpan w:val="2"/>
            <w:tcBorders>
              <w:top w:val="single" w:color="auto" w:sz="4" w:space="0"/>
              <w:bottom w:val="single" w:color="auto" w:sz="4" w:space="0"/>
            </w:tcBorders>
            <w:vAlign w:val="center"/>
          </w:tcPr>
          <w:p>
            <w:pPr>
              <w:jc w:val="center"/>
              <w:rPr>
                <w:rFonts w:hint="eastAsia"/>
                <w:szCs w:val="21"/>
                <w:lang w:val="en-US" w:eastAsia="zh-CN"/>
              </w:rPr>
            </w:pPr>
            <w:r>
              <w:rPr>
                <w:rFonts w:hint="eastAsia"/>
                <w:szCs w:val="21"/>
                <w:lang w:val="en-US" w:eastAsia="zh-CN"/>
              </w:rPr>
              <w:t>1.68</w:t>
            </w:r>
          </w:p>
        </w:tc>
        <w:tc>
          <w:tcPr>
            <w:tcW w:w="2499" w:type="dxa"/>
            <w:gridSpan w:val="2"/>
            <w:tcBorders>
              <w:top w:val="single" w:color="auto" w:sz="4" w:space="0"/>
              <w:bottom w:val="single" w:color="auto" w:sz="4" w:space="0"/>
            </w:tcBorders>
            <w:vAlign w:val="center"/>
          </w:tcPr>
          <w:p>
            <w:pPr>
              <w:jc w:val="center"/>
            </w:pPr>
            <w:r>
              <w:rPr>
                <w:rFonts w:hint="eastAsia"/>
              </w:rPr>
              <w:t>0</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34" w:hRule="atLeast"/>
          <w:jc w:val="center"/>
        </w:trPr>
        <w:tc>
          <w:tcPr>
            <w:tcW w:w="1011" w:type="dxa"/>
            <w:vMerge w:val="continue"/>
            <w:vAlign w:val="center"/>
          </w:tcPr>
          <w:p>
            <w:pPr>
              <w:jc w:val="center"/>
              <w:rPr>
                <w:szCs w:val="21"/>
              </w:rPr>
            </w:pPr>
          </w:p>
        </w:tc>
        <w:tc>
          <w:tcPr>
            <w:tcW w:w="1615" w:type="dxa"/>
            <w:gridSpan w:val="2"/>
            <w:vAlign w:val="center"/>
          </w:tcPr>
          <w:p>
            <w:pPr>
              <w:adjustRightInd w:val="0"/>
              <w:snapToGrid w:val="0"/>
              <w:jc w:val="center"/>
              <w:rPr>
                <w:bCs/>
              </w:rPr>
            </w:pPr>
            <w:r>
              <w:rPr>
                <w:rFonts w:hint="eastAsia"/>
                <w:szCs w:val="21"/>
                <w:lang w:eastAsia="zh-CN"/>
              </w:rPr>
              <w:t>废气处理</w:t>
            </w:r>
          </w:p>
        </w:tc>
        <w:tc>
          <w:tcPr>
            <w:tcW w:w="1185" w:type="dxa"/>
            <w:vAlign w:val="center"/>
          </w:tcPr>
          <w:p>
            <w:pPr>
              <w:adjustRightInd w:val="0"/>
              <w:snapToGrid w:val="0"/>
              <w:jc w:val="center"/>
              <w:rPr>
                <w:color w:val="0000FF"/>
                <w:szCs w:val="21"/>
              </w:rPr>
            </w:pPr>
            <w:r>
              <w:rPr>
                <w:rFonts w:hint="eastAsia"/>
                <w:szCs w:val="21"/>
                <w:lang w:eastAsia="zh-CN"/>
              </w:rPr>
              <w:t>废活性炭</w:t>
            </w:r>
          </w:p>
        </w:tc>
        <w:tc>
          <w:tcPr>
            <w:tcW w:w="2173" w:type="dxa"/>
            <w:gridSpan w:val="2"/>
            <w:tcBorders>
              <w:top w:val="single" w:color="auto" w:sz="4" w:space="0"/>
            </w:tcBorders>
            <w:vAlign w:val="center"/>
          </w:tcPr>
          <w:p>
            <w:pPr>
              <w:jc w:val="center"/>
              <w:rPr>
                <w:rFonts w:hint="default"/>
                <w:szCs w:val="21"/>
                <w:lang w:val="en-US" w:eastAsia="zh-CN"/>
              </w:rPr>
            </w:pPr>
            <w:r>
              <w:rPr>
                <w:rFonts w:hint="eastAsia"/>
                <w:szCs w:val="21"/>
                <w:lang w:val="en-US" w:eastAsia="zh-CN"/>
              </w:rPr>
              <w:t>0.002</w:t>
            </w:r>
          </w:p>
        </w:tc>
        <w:tc>
          <w:tcPr>
            <w:tcW w:w="2499" w:type="dxa"/>
            <w:gridSpan w:val="2"/>
            <w:tcBorders>
              <w:top w:val="single" w:color="auto" w:sz="4" w:space="0"/>
            </w:tcBorders>
            <w:vAlign w:val="center"/>
          </w:tcPr>
          <w:p>
            <w:pPr>
              <w:jc w:val="center"/>
            </w:pPr>
            <w:r>
              <w:rPr>
                <w:rFonts w:hint="eastAsia"/>
              </w:rPr>
              <w:t>0</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54" w:hRule="atLeast"/>
          <w:jc w:val="center"/>
        </w:trPr>
        <w:tc>
          <w:tcPr>
            <w:tcW w:w="1011" w:type="dxa"/>
            <w:vMerge w:val="continue"/>
            <w:vAlign w:val="center"/>
          </w:tcPr>
          <w:p>
            <w:pPr>
              <w:jc w:val="center"/>
              <w:rPr>
                <w:szCs w:val="21"/>
              </w:rPr>
            </w:pPr>
          </w:p>
        </w:tc>
        <w:tc>
          <w:tcPr>
            <w:tcW w:w="1615" w:type="dxa"/>
            <w:gridSpan w:val="2"/>
            <w:vAlign w:val="center"/>
          </w:tcPr>
          <w:p>
            <w:pPr>
              <w:adjustRightInd w:val="0"/>
              <w:snapToGrid w:val="0"/>
              <w:jc w:val="center"/>
              <w:rPr>
                <w:bCs/>
              </w:rPr>
            </w:pPr>
            <w:r>
              <w:rPr>
                <w:rFonts w:hint="eastAsia"/>
                <w:szCs w:val="21"/>
                <w:lang w:eastAsia="zh-CN"/>
              </w:rPr>
              <w:t>设备维护</w:t>
            </w:r>
          </w:p>
        </w:tc>
        <w:tc>
          <w:tcPr>
            <w:tcW w:w="1185" w:type="dxa"/>
            <w:vAlign w:val="center"/>
          </w:tcPr>
          <w:p>
            <w:pPr>
              <w:adjustRightInd w:val="0"/>
              <w:snapToGrid w:val="0"/>
              <w:jc w:val="center"/>
              <w:rPr>
                <w:szCs w:val="21"/>
              </w:rPr>
            </w:pPr>
            <w:r>
              <w:rPr>
                <w:rFonts w:hint="eastAsia"/>
                <w:szCs w:val="21"/>
                <w:lang w:eastAsia="zh-CN"/>
              </w:rPr>
              <w:t>废润滑油</w:t>
            </w:r>
          </w:p>
        </w:tc>
        <w:tc>
          <w:tcPr>
            <w:tcW w:w="2173" w:type="dxa"/>
            <w:gridSpan w:val="2"/>
            <w:tcBorders>
              <w:top w:val="single" w:color="auto" w:sz="4" w:space="0"/>
            </w:tcBorders>
            <w:vAlign w:val="center"/>
          </w:tcPr>
          <w:p>
            <w:pPr>
              <w:jc w:val="center"/>
              <w:rPr>
                <w:szCs w:val="22"/>
              </w:rPr>
            </w:pPr>
            <w:r>
              <w:rPr>
                <w:rFonts w:hint="eastAsia"/>
                <w:szCs w:val="21"/>
              </w:rPr>
              <w:t>0.</w:t>
            </w:r>
            <w:r>
              <w:rPr>
                <w:rFonts w:hint="eastAsia"/>
                <w:szCs w:val="21"/>
                <w:lang w:val="en-US" w:eastAsia="zh-CN"/>
              </w:rPr>
              <w:t>3</w:t>
            </w:r>
          </w:p>
        </w:tc>
        <w:tc>
          <w:tcPr>
            <w:tcW w:w="2499" w:type="dxa"/>
            <w:gridSpan w:val="2"/>
            <w:tcBorders>
              <w:top w:val="single" w:color="auto" w:sz="4" w:space="0"/>
            </w:tcBorders>
            <w:vAlign w:val="center"/>
          </w:tcPr>
          <w:p>
            <w:pPr>
              <w:spacing w:line="320" w:lineRule="exact"/>
              <w:jc w:val="center"/>
              <w:rPr>
                <w:szCs w:val="21"/>
              </w:rPr>
            </w:pPr>
            <w:r>
              <w:rPr>
                <w:rFonts w:hint="eastAsia"/>
              </w:rPr>
              <w:t>0</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29" w:hRule="atLeast"/>
          <w:jc w:val="center"/>
        </w:trPr>
        <w:tc>
          <w:tcPr>
            <w:tcW w:w="1011" w:type="dxa"/>
            <w:vMerge w:val="continue"/>
            <w:vAlign w:val="center"/>
          </w:tcPr>
          <w:p>
            <w:pPr>
              <w:jc w:val="center"/>
              <w:rPr>
                <w:szCs w:val="21"/>
              </w:rPr>
            </w:pPr>
          </w:p>
        </w:tc>
        <w:tc>
          <w:tcPr>
            <w:tcW w:w="1615" w:type="dxa"/>
            <w:gridSpan w:val="2"/>
            <w:vAlign w:val="center"/>
          </w:tcPr>
          <w:p>
            <w:pPr>
              <w:adjustRightInd w:val="0"/>
              <w:snapToGrid w:val="0"/>
              <w:jc w:val="center"/>
            </w:pPr>
            <w:r>
              <w:rPr>
                <w:rFonts w:hint="eastAsia"/>
                <w:szCs w:val="21"/>
                <w:lang w:eastAsia="zh-CN"/>
              </w:rPr>
              <w:t>原料拆封</w:t>
            </w:r>
          </w:p>
        </w:tc>
        <w:tc>
          <w:tcPr>
            <w:tcW w:w="1185" w:type="dxa"/>
            <w:vAlign w:val="center"/>
          </w:tcPr>
          <w:p>
            <w:pPr>
              <w:adjustRightInd w:val="0"/>
              <w:snapToGrid w:val="0"/>
              <w:jc w:val="center"/>
            </w:pPr>
            <w:r>
              <w:rPr>
                <w:rFonts w:hint="eastAsia"/>
                <w:szCs w:val="21"/>
                <w:lang w:eastAsia="zh-CN"/>
              </w:rPr>
              <w:t>废包装桶</w:t>
            </w:r>
          </w:p>
        </w:tc>
        <w:tc>
          <w:tcPr>
            <w:tcW w:w="2173" w:type="dxa"/>
            <w:gridSpan w:val="2"/>
            <w:tcBorders>
              <w:top w:val="single" w:color="auto" w:sz="4" w:space="0"/>
            </w:tcBorders>
            <w:vAlign w:val="center"/>
          </w:tcPr>
          <w:p>
            <w:pPr>
              <w:jc w:val="center"/>
              <w:rPr>
                <w:szCs w:val="22"/>
              </w:rPr>
            </w:pPr>
            <w:r>
              <w:rPr>
                <w:rFonts w:hint="eastAsia"/>
                <w:szCs w:val="21"/>
              </w:rPr>
              <w:t>0.</w:t>
            </w:r>
            <w:r>
              <w:rPr>
                <w:rFonts w:hint="eastAsia"/>
                <w:szCs w:val="21"/>
                <w:lang w:val="en-US" w:eastAsia="zh-CN"/>
              </w:rPr>
              <w:t>07</w:t>
            </w:r>
          </w:p>
        </w:tc>
        <w:tc>
          <w:tcPr>
            <w:tcW w:w="2499" w:type="dxa"/>
            <w:gridSpan w:val="2"/>
            <w:tcBorders>
              <w:top w:val="single" w:color="auto" w:sz="4" w:space="0"/>
            </w:tcBorders>
            <w:vAlign w:val="center"/>
          </w:tcPr>
          <w:p>
            <w:pPr>
              <w:spacing w:line="320" w:lineRule="exact"/>
              <w:jc w:val="center"/>
              <w:rPr>
                <w:szCs w:val="21"/>
              </w:rPr>
            </w:pPr>
            <w:r>
              <w:rPr>
                <w:rFonts w:hint="eastAsia"/>
              </w:rPr>
              <w:t>0</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99" w:hRule="atLeast"/>
          <w:jc w:val="center"/>
        </w:trPr>
        <w:tc>
          <w:tcPr>
            <w:tcW w:w="1011" w:type="dxa"/>
            <w:vMerge w:val="continue"/>
            <w:vAlign w:val="center"/>
          </w:tcPr>
          <w:p>
            <w:pPr>
              <w:jc w:val="center"/>
              <w:rPr>
                <w:szCs w:val="21"/>
              </w:rPr>
            </w:pPr>
          </w:p>
        </w:tc>
        <w:tc>
          <w:tcPr>
            <w:tcW w:w="1615" w:type="dxa"/>
            <w:gridSpan w:val="2"/>
            <w:vAlign w:val="center"/>
          </w:tcPr>
          <w:p>
            <w:pPr>
              <w:adjustRightInd w:val="0"/>
              <w:snapToGrid w:val="0"/>
              <w:jc w:val="center"/>
            </w:pPr>
            <w:r>
              <w:rPr>
                <w:rFonts w:hint="eastAsia"/>
                <w:szCs w:val="21"/>
                <w:lang w:eastAsia="zh-CN"/>
              </w:rPr>
              <w:t>设备维护</w:t>
            </w:r>
          </w:p>
        </w:tc>
        <w:tc>
          <w:tcPr>
            <w:tcW w:w="1185" w:type="dxa"/>
            <w:vAlign w:val="center"/>
          </w:tcPr>
          <w:p>
            <w:pPr>
              <w:adjustRightInd w:val="0"/>
              <w:snapToGrid w:val="0"/>
              <w:jc w:val="center"/>
            </w:pPr>
            <w:r>
              <w:rPr>
                <w:rFonts w:hint="eastAsia"/>
                <w:szCs w:val="21"/>
                <w:lang w:eastAsia="zh-CN"/>
              </w:rPr>
              <w:t>废含油抹布</w:t>
            </w:r>
          </w:p>
        </w:tc>
        <w:tc>
          <w:tcPr>
            <w:tcW w:w="2173" w:type="dxa"/>
            <w:gridSpan w:val="2"/>
            <w:tcBorders>
              <w:top w:val="single" w:color="auto" w:sz="4" w:space="0"/>
            </w:tcBorders>
            <w:vAlign w:val="center"/>
          </w:tcPr>
          <w:p>
            <w:pPr>
              <w:jc w:val="center"/>
              <w:rPr>
                <w:szCs w:val="22"/>
              </w:rPr>
            </w:pPr>
            <w:r>
              <w:rPr>
                <w:rFonts w:hint="eastAsia"/>
                <w:szCs w:val="21"/>
              </w:rPr>
              <w:t>0.0</w:t>
            </w:r>
            <w:r>
              <w:rPr>
                <w:rFonts w:hint="eastAsia"/>
                <w:szCs w:val="21"/>
                <w:lang w:val="en-US" w:eastAsia="zh-CN"/>
              </w:rPr>
              <w:t>5</w:t>
            </w:r>
          </w:p>
        </w:tc>
        <w:tc>
          <w:tcPr>
            <w:tcW w:w="2499" w:type="dxa"/>
            <w:gridSpan w:val="2"/>
            <w:tcBorders>
              <w:top w:val="single" w:color="auto" w:sz="4" w:space="0"/>
            </w:tcBorders>
            <w:vAlign w:val="center"/>
          </w:tcPr>
          <w:p>
            <w:pPr>
              <w:spacing w:line="320" w:lineRule="exact"/>
              <w:jc w:val="center"/>
              <w:rPr>
                <w:szCs w:val="21"/>
              </w:rPr>
            </w:pPr>
            <w:r>
              <w:rPr>
                <w:rFonts w:hint="eastAsia"/>
              </w:rPr>
              <w:t>0</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99" w:hRule="atLeast"/>
          <w:jc w:val="center"/>
        </w:trPr>
        <w:tc>
          <w:tcPr>
            <w:tcW w:w="1011" w:type="dxa"/>
            <w:vMerge w:val="continue"/>
            <w:vAlign w:val="center"/>
          </w:tcPr>
          <w:p>
            <w:pPr>
              <w:jc w:val="center"/>
              <w:rPr>
                <w:szCs w:val="21"/>
              </w:rPr>
            </w:pPr>
          </w:p>
        </w:tc>
        <w:tc>
          <w:tcPr>
            <w:tcW w:w="1615" w:type="dxa"/>
            <w:gridSpan w:val="2"/>
            <w:vAlign w:val="center"/>
          </w:tcPr>
          <w:p>
            <w:pPr>
              <w:adjustRightInd w:val="0"/>
              <w:snapToGrid w:val="0"/>
              <w:jc w:val="center"/>
              <w:rPr>
                <w:szCs w:val="21"/>
              </w:rPr>
            </w:pPr>
            <w:r>
              <w:rPr>
                <w:rFonts w:hint="eastAsia"/>
                <w:szCs w:val="21"/>
              </w:rPr>
              <w:t>员工日常生活</w:t>
            </w:r>
          </w:p>
        </w:tc>
        <w:tc>
          <w:tcPr>
            <w:tcW w:w="1185" w:type="dxa"/>
            <w:vAlign w:val="center"/>
          </w:tcPr>
          <w:p>
            <w:pPr>
              <w:adjustRightInd w:val="0"/>
              <w:snapToGrid w:val="0"/>
              <w:jc w:val="center"/>
              <w:rPr>
                <w:szCs w:val="21"/>
              </w:rPr>
            </w:pPr>
            <w:r>
              <w:rPr>
                <w:rFonts w:hint="eastAsia"/>
                <w:szCs w:val="21"/>
              </w:rPr>
              <w:t>生活垃圾</w:t>
            </w:r>
          </w:p>
        </w:tc>
        <w:tc>
          <w:tcPr>
            <w:tcW w:w="2173" w:type="dxa"/>
            <w:gridSpan w:val="2"/>
            <w:tcBorders>
              <w:top w:val="single" w:color="auto" w:sz="4" w:space="0"/>
            </w:tcBorders>
            <w:vAlign w:val="center"/>
          </w:tcPr>
          <w:p>
            <w:pPr>
              <w:jc w:val="center"/>
              <w:rPr>
                <w:szCs w:val="21"/>
              </w:rPr>
            </w:pPr>
            <w:r>
              <w:rPr>
                <w:rFonts w:hint="eastAsia"/>
                <w:szCs w:val="21"/>
                <w:lang w:val="en-US" w:eastAsia="zh-CN"/>
              </w:rPr>
              <w:t>4.5</w:t>
            </w:r>
          </w:p>
        </w:tc>
        <w:tc>
          <w:tcPr>
            <w:tcW w:w="2499" w:type="dxa"/>
            <w:gridSpan w:val="2"/>
            <w:tcBorders>
              <w:top w:val="single" w:color="auto" w:sz="4" w:space="0"/>
            </w:tcBorders>
            <w:vAlign w:val="center"/>
          </w:tcPr>
          <w:p>
            <w:pPr>
              <w:spacing w:line="320" w:lineRule="exact"/>
              <w:jc w:val="center"/>
            </w:pPr>
            <w:r>
              <w:rPr>
                <w:rFonts w:hint="eastAsia"/>
              </w:rPr>
              <w:t>0</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454" w:hRule="atLeast"/>
          <w:jc w:val="center"/>
        </w:trPr>
        <w:tc>
          <w:tcPr>
            <w:tcW w:w="1011" w:type="dxa"/>
            <w:tcBorders>
              <w:right w:val="single" w:color="auto" w:sz="4" w:space="0"/>
            </w:tcBorders>
            <w:vAlign w:val="center"/>
          </w:tcPr>
          <w:p>
            <w:pPr>
              <w:snapToGrid w:val="0"/>
              <w:spacing w:line="276" w:lineRule="auto"/>
              <w:jc w:val="center"/>
              <w:rPr>
                <w:szCs w:val="21"/>
              </w:rPr>
            </w:pPr>
            <w:r>
              <w:rPr>
                <w:szCs w:val="21"/>
              </w:rPr>
              <w:t>噪</w:t>
            </w:r>
          </w:p>
          <w:p>
            <w:pPr>
              <w:snapToGrid w:val="0"/>
              <w:spacing w:line="276" w:lineRule="auto"/>
              <w:jc w:val="center"/>
              <w:rPr>
                <w:szCs w:val="21"/>
              </w:rPr>
            </w:pPr>
            <w:r>
              <w:rPr>
                <w:szCs w:val="21"/>
              </w:rPr>
              <w:t>声</w:t>
            </w:r>
          </w:p>
        </w:tc>
        <w:tc>
          <w:tcPr>
            <w:tcW w:w="7472" w:type="dxa"/>
            <w:gridSpan w:val="7"/>
            <w:tcBorders>
              <w:left w:val="single" w:color="auto" w:sz="4" w:space="0"/>
            </w:tcBorders>
            <w:vAlign w:val="center"/>
          </w:tcPr>
          <w:p>
            <w:pPr>
              <w:ind w:firstLine="420" w:firstLineChars="200"/>
              <w:rPr>
                <w:bCs/>
                <w:szCs w:val="21"/>
              </w:rPr>
            </w:pPr>
            <w:r>
              <w:rPr>
                <w:bCs/>
                <w:szCs w:val="21"/>
              </w:rPr>
              <w:t>建设项目主要高噪声设备为</w:t>
            </w:r>
            <w:r>
              <w:rPr>
                <w:rFonts w:hint="eastAsia"/>
                <w:bCs/>
                <w:szCs w:val="21"/>
              </w:rPr>
              <w:t>小型不锈钢锉磨床、镍钛锉车床、注塑机、空压机组、风机等</w:t>
            </w:r>
            <w:r>
              <w:rPr>
                <w:bCs/>
                <w:szCs w:val="21"/>
              </w:rPr>
              <w:t>设备运行噪声，经减振、隔声与距离衰减后，在经过隔声减振等措施和距离衰减之后，项目</w:t>
            </w:r>
            <w:r>
              <w:rPr>
                <w:rFonts w:hint="eastAsia"/>
                <w:bCs/>
                <w:szCs w:val="21"/>
              </w:rPr>
              <w:t>营运期厂界</w:t>
            </w:r>
            <w:r>
              <w:rPr>
                <w:bCs/>
                <w:szCs w:val="21"/>
              </w:rPr>
              <w:t>噪声排放可满足《工业企业厂界环境噪声排放标准》（GB12348-2008）中的</w:t>
            </w:r>
            <w:r>
              <w:rPr>
                <w:rFonts w:hint="eastAsia"/>
                <w:bCs/>
                <w:szCs w:val="21"/>
              </w:rPr>
              <w:t>3</w:t>
            </w:r>
            <w:r>
              <w:rPr>
                <w:bCs/>
                <w:szCs w:val="21"/>
              </w:rPr>
              <w:t>类</w:t>
            </w:r>
            <w:r>
              <w:rPr>
                <w:rFonts w:hint="eastAsia"/>
                <w:bCs/>
                <w:szCs w:val="21"/>
              </w:rPr>
              <w:t>区限值，</w:t>
            </w:r>
            <w:r>
              <w:rPr>
                <w:rFonts w:hint="eastAsia"/>
                <w:szCs w:val="21"/>
              </w:rPr>
              <w:t>敏感点</w:t>
            </w:r>
            <w:r>
              <w:rPr>
                <w:rFonts w:hint="eastAsia"/>
                <w:szCs w:val="21"/>
                <w:lang w:eastAsia="zh-CN"/>
              </w:rPr>
              <w:t>珑庭花园</w:t>
            </w:r>
            <w:r>
              <w:rPr>
                <w:rFonts w:hint="eastAsia"/>
                <w:szCs w:val="21"/>
              </w:rPr>
              <w:t>声环境预测叠加值可</w:t>
            </w:r>
            <w:r>
              <w:rPr>
                <w:szCs w:val="21"/>
              </w:rPr>
              <w:t>满足</w:t>
            </w:r>
            <w:r>
              <w:rPr>
                <w:rFonts w:hint="eastAsia"/>
                <w:spacing w:val="-6"/>
                <w:szCs w:val="21"/>
              </w:rPr>
              <w:t>《声环境质量标准》（GB3096-2008）中的2类区限值，</w:t>
            </w:r>
            <w:r>
              <w:rPr>
                <w:bCs/>
                <w:szCs w:val="21"/>
              </w:rPr>
              <w:t>对环境影响较小。</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454" w:hRule="atLeast"/>
          <w:jc w:val="center"/>
        </w:trPr>
        <w:tc>
          <w:tcPr>
            <w:tcW w:w="1011" w:type="dxa"/>
            <w:vAlign w:val="center"/>
          </w:tcPr>
          <w:p>
            <w:pPr>
              <w:snapToGrid w:val="0"/>
              <w:jc w:val="center"/>
              <w:rPr>
                <w:szCs w:val="21"/>
              </w:rPr>
            </w:pPr>
            <w:r>
              <w:rPr>
                <w:szCs w:val="21"/>
              </w:rPr>
              <w:t>其它</w:t>
            </w:r>
          </w:p>
        </w:tc>
        <w:tc>
          <w:tcPr>
            <w:tcW w:w="7472" w:type="dxa"/>
            <w:gridSpan w:val="7"/>
            <w:vAlign w:val="center"/>
          </w:tcPr>
          <w:p>
            <w:pPr>
              <w:snapToGrid w:val="0"/>
              <w:ind w:firstLine="630" w:firstLineChars="300"/>
              <w:jc w:val="center"/>
              <w:rPr>
                <w:szCs w:val="21"/>
              </w:rPr>
            </w:pPr>
            <w:r>
              <w:rPr>
                <w:szCs w:val="21"/>
              </w:rPr>
              <w:t>无</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90" w:hRule="atLeast"/>
          <w:jc w:val="center"/>
        </w:trPr>
        <w:tc>
          <w:tcPr>
            <w:tcW w:w="8483" w:type="dxa"/>
            <w:gridSpan w:val="8"/>
            <w:tcBorders>
              <w:bottom w:val="single" w:color="auto" w:sz="12" w:space="0"/>
            </w:tcBorders>
            <w:vAlign w:val="center"/>
          </w:tcPr>
          <w:p>
            <w:pPr>
              <w:spacing w:line="360" w:lineRule="auto"/>
              <w:rPr>
                <w:szCs w:val="21"/>
              </w:rPr>
            </w:pPr>
            <w:r>
              <w:rPr>
                <w:b/>
                <w:szCs w:val="21"/>
              </w:rPr>
              <w:t>主要生态影响</w:t>
            </w:r>
            <w:r>
              <w:rPr>
                <w:rFonts w:hint="eastAsia"/>
                <w:b/>
                <w:szCs w:val="21"/>
                <w:lang w:eastAsia="zh-CN"/>
              </w:rPr>
              <w:t>：</w:t>
            </w:r>
            <w:r>
              <w:rPr>
                <w:szCs w:val="21"/>
              </w:rPr>
              <w:t>无</w:t>
            </w:r>
          </w:p>
        </w:tc>
      </w:tr>
    </w:tbl>
    <w:p>
      <w:pPr>
        <w:pStyle w:val="312"/>
        <w:rPr>
          <w:rFonts w:ascii="Times New Roman" w:hAnsi="Times New Roman"/>
        </w:rPr>
      </w:pPr>
      <w:r>
        <w:rPr>
          <w:rFonts w:ascii="Times New Roman" w:hAnsi="Times New Roman"/>
        </w:rPr>
        <w:t>环境影响分析</w:t>
      </w:r>
    </w:p>
    <w:tbl>
      <w:tblPr>
        <w:tblStyle w:val="56"/>
        <w:tblW w:w="8528"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12" w:space="0"/>
        </w:tblBorders>
        <w:tblLayout w:type="autofit"/>
        <w:tblCellMar>
          <w:top w:w="0" w:type="dxa"/>
          <w:left w:w="108" w:type="dxa"/>
          <w:bottom w:w="0" w:type="dxa"/>
          <w:right w:w="108" w:type="dxa"/>
        </w:tblCellMar>
      </w:tblPr>
      <w:tblGrid>
        <w:gridCol w:w="8885"/>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12" w:space="0"/>
          </w:tblBorders>
          <w:tblCellMar>
            <w:top w:w="0" w:type="dxa"/>
            <w:left w:w="108" w:type="dxa"/>
            <w:bottom w:w="0" w:type="dxa"/>
            <w:right w:w="108" w:type="dxa"/>
          </w:tblCellMar>
        </w:tblPrEx>
        <w:trPr>
          <w:trHeight w:val="12042" w:hRule="atLeast"/>
          <w:jc w:val="center"/>
        </w:trPr>
        <w:tc>
          <w:tcPr>
            <w:tcW w:w="8528" w:type="dxa"/>
          </w:tcPr>
          <w:p>
            <w:pPr>
              <w:spacing w:line="360" w:lineRule="auto"/>
              <w:ind w:firstLine="480" w:firstLineChars="200"/>
              <w:rPr>
                <w:b/>
                <w:color w:val="auto"/>
                <w:sz w:val="24"/>
                <w:szCs w:val="24"/>
              </w:rPr>
            </w:pPr>
            <w:r>
              <w:rPr>
                <w:b/>
                <w:color w:val="auto"/>
                <w:sz w:val="24"/>
                <w:szCs w:val="24"/>
              </w:rPr>
              <w:t>施工期环境影响分析：</w:t>
            </w:r>
          </w:p>
          <w:p>
            <w:pPr>
              <w:spacing w:line="360" w:lineRule="auto"/>
              <w:ind w:firstLine="480" w:firstLineChars="200"/>
              <w:rPr>
                <w:color w:val="auto"/>
                <w:sz w:val="24"/>
                <w:szCs w:val="24"/>
              </w:rPr>
            </w:pPr>
            <w:r>
              <w:rPr>
                <w:color w:val="auto"/>
                <w:sz w:val="24"/>
              </w:rPr>
              <w:t>本项目</w:t>
            </w:r>
            <w:r>
              <w:rPr>
                <w:rFonts w:hint="eastAsia"/>
                <w:color w:val="auto"/>
                <w:sz w:val="24"/>
              </w:rPr>
              <w:t>利用</w:t>
            </w:r>
            <w:r>
              <w:rPr>
                <w:color w:val="auto"/>
                <w:sz w:val="24"/>
              </w:rPr>
              <w:t>现有空置厂房生产，施工期仅为生产设备的安装以及环保工程的建设，施工期无大型的土建工程，施工期影响较低，因此本次评价主要分析</w:t>
            </w:r>
            <w:r>
              <w:rPr>
                <w:rFonts w:hint="eastAsia"/>
                <w:color w:val="auto"/>
                <w:sz w:val="24"/>
              </w:rPr>
              <w:t>营运期</w:t>
            </w:r>
            <w:r>
              <w:rPr>
                <w:color w:val="auto"/>
                <w:sz w:val="24"/>
              </w:rPr>
              <w:t>影响分析。</w:t>
            </w:r>
          </w:p>
          <w:p>
            <w:pPr>
              <w:spacing w:line="360" w:lineRule="auto"/>
              <w:ind w:firstLine="480" w:firstLineChars="200"/>
              <w:rPr>
                <w:b/>
                <w:color w:val="auto"/>
                <w:sz w:val="24"/>
                <w:szCs w:val="24"/>
              </w:rPr>
            </w:pPr>
            <w:r>
              <w:rPr>
                <w:b/>
                <w:color w:val="auto"/>
                <w:sz w:val="24"/>
                <w:szCs w:val="24"/>
              </w:rPr>
              <w:t>营运期环境影响分析：</w:t>
            </w:r>
          </w:p>
          <w:p>
            <w:pPr>
              <w:spacing w:line="360" w:lineRule="auto"/>
              <w:ind w:firstLine="480" w:firstLineChars="200"/>
              <w:rPr>
                <w:b/>
                <w:color w:val="auto"/>
                <w:sz w:val="24"/>
                <w:szCs w:val="24"/>
              </w:rPr>
            </w:pPr>
            <w:r>
              <w:rPr>
                <w:b/>
                <w:color w:val="auto"/>
                <w:sz w:val="24"/>
                <w:szCs w:val="24"/>
              </w:rPr>
              <w:t>1、大气环境影响分析</w:t>
            </w:r>
          </w:p>
          <w:p>
            <w:pPr>
              <w:tabs>
                <w:tab w:val="left" w:pos="417"/>
              </w:tabs>
              <w:snapToGrid w:val="0"/>
              <w:spacing w:line="360" w:lineRule="auto"/>
              <w:ind w:firstLine="480" w:firstLineChars="200"/>
              <w:rPr>
                <w:b/>
                <w:color w:val="auto"/>
                <w:sz w:val="24"/>
              </w:rPr>
            </w:pPr>
            <w:r>
              <w:rPr>
                <w:b/>
                <w:color w:val="auto"/>
                <w:sz w:val="24"/>
              </w:rPr>
              <w:t>（1）项目废气达标排放情况：</w:t>
            </w:r>
          </w:p>
          <w:p>
            <w:pPr>
              <w:spacing w:line="360" w:lineRule="auto"/>
              <w:ind w:firstLine="480" w:firstLineChars="200"/>
              <w:rPr>
                <w:rFonts w:hint="default" w:ascii="Times New Roman" w:hAnsi="Times New Roman" w:eastAsia="宋体" w:cs="Times New Roman"/>
                <w:sz w:val="24"/>
                <w:szCs w:val="24"/>
              </w:rPr>
            </w:pPr>
            <w:r>
              <w:rPr>
                <w:rFonts w:hint="eastAsia"/>
                <w:color w:val="auto"/>
                <w:sz w:val="24"/>
                <w:szCs w:val="24"/>
              </w:rPr>
              <w:t>本项目废气</w:t>
            </w:r>
            <w:r>
              <w:rPr>
                <w:rFonts w:hint="eastAsia"/>
                <w:color w:val="auto"/>
                <w:sz w:val="24"/>
                <w:szCs w:val="24"/>
                <w:lang w:eastAsia="zh-CN"/>
              </w:rPr>
              <w:t>为投料工序产生的粉尘、注塑工序产生的非甲烷总烃和极少量氯化氢（定性分析）。粉尘经经半密闭的集气罩收集至1套布袋除尘器处理后经15m排气筒DA001高空排放，</w:t>
            </w:r>
            <w:r>
              <w:rPr>
                <w:color w:val="auto"/>
                <w:sz w:val="24"/>
                <w:szCs w:val="24"/>
              </w:rPr>
              <w:t>排放速率</w:t>
            </w:r>
            <w:r>
              <w:rPr>
                <w:rFonts w:hint="eastAsia"/>
                <w:color w:val="auto"/>
                <w:sz w:val="24"/>
                <w:szCs w:val="24"/>
              </w:rPr>
              <w:t>为0.0</w:t>
            </w:r>
            <w:r>
              <w:rPr>
                <w:rFonts w:hint="eastAsia"/>
                <w:color w:val="auto"/>
                <w:sz w:val="24"/>
                <w:szCs w:val="24"/>
                <w:lang w:val="en-US" w:eastAsia="zh-CN"/>
              </w:rPr>
              <w:t>14</w:t>
            </w:r>
            <w:r>
              <w:rPr>
                <w:snapToGrid w:val="0"/>
                <w:color w:val="auto"/>
                <w:kern w:val="18"/>
                <w:sz w:val="24"/>
                <w:szCs w:val="24"/>
              </w:rPr>
              <w:t>kg/h，排放浓度</w:t>
            </w:r>
            <w:r>
              <w:rPr>
                <w:rFonts w:hint="eastAsia"/>
                <w:color w:val="auto"/>
                <w:sz w:val="24"/>
                <w:szCs w:val="24"/>
              </w:rPr>
              <w:t>为</w:t>
            </w:r>
            <w:r>
              <w:rPr>
                <w:rFonts w:hint="eastAsia"/>
                <w:color w:val="auto"/>
                <w:sz w:val="24"/>
                <w:szCs w:val="24"/>
                <w:lang w:val="en-US" w:eastAsia="zh-CN"/>
              </w:rPr>
              <w:t>2.8</w:t>
            </w:r>
            <w:r>
              <w:rPr>
                <w:snapToGrid w:val="0"/>
                <w:color w:val="auto"/>
                <w:kern w:val="18"/>
                <w:sz w:val="24"/>
                <w:szCs w:val="24"/>
              </w:rPr>
              <w:t>mg/m</w:t>
            </w:r>
            <w:r>
              <w:rPr>
                <w:snapToGrid w:val="0"/>
                <w:color w:val="auto"/>
                <w:kern w:val="18"/>
                <w:sz w:val="24"/>
                <w:szCs w:val="24"/>
                <w:vertAlign w:val="superscript"/>
              </w:rPr>
              <w:t>3</w:t>
            </w:r>
            <w:r>
              <w:rPr>
                <w:rFonts w:hint="eastAsia"/>
                <w:snapToGrid w:val="0"/>
                <w:color w:val="auto"/>
                <w:kern w:val="18"/>
                <w:sz w:val="24"/>
                <w:szCs w:val="24"/>
              </w:rPr>
              <w:t>＜</w:t>
            </w:r>
            <w:r>
              <w:rPr>
                <w:rFonts w:hint="eastAsia"/>
                <w:snapToGrid w:val="0"/>
                <w:color w:val="auto"/>
                <w:kern w:val="18"/>
                <w:sz w:val="24"/>
                <w:szCs w:val="24"/>
                <w:lang w:val="en-US" w:eastAsia="zh-CN"/>
              </w:rPr>
              <w:t>20</w:t>
            </w:r>
            <w:r>
              <w:rPr>
                <w:snapToGrid w:val="0"/>
                <w:color w:val="auto"/>
                <w:kern w:val="18"/>
                <w:sz w:val="24"/>
                <w:szCs w:val="24"/>
              </w:rPr>
              <w:t>mg/m</w:t>
            </w:r>
            <w:r>
              <w:rPr>
                <w:snapToGrid w:val="0"/>
                <w:color w:val="auto"/>
                <w:kern w:val="18"/>
                <w:sz w:val="24"/>
                <w:szCs w:val="24"/>
                <w:vertAlign w:val="superscript"/>
              </w:rPr>
              <w:t>3</w:t>
            </w:r>
            <w:r>
              <w:rPr>
                <w:rFonts w:hint="eastAsia"/>
                <w:snapToGrid w:val="0"/>
                <w:color w:val="auto"/>
                <w:kern w:val="18"/>
                <w:sz w:val="24"/>
                <w:szCs w:val="24"/>
              </w:rPr>
              <w:t>，</w:t>
            </w:r>
            <w:r>
              <w:rPr>
                <w:snapToGrid w:val="0"/>
                <w:color w:val="auto"/>
                <w:kern w:val="18"/>
                <w:sz w:val="24"/>
                <w:szCs w:val="24"/>
              </w:rPr>
              <w:t>满足</w:t>
            </w:r>
            <w:r>
              <w:rPr>
                <w:rFonts w:hint="eastAsia"/>
                <w:color w:val="auto"/>
                <w:sz w:val="24"/>
              </w:rPr>
              <w:t>《合成树脂工业污染物排放标准》（GB31572- 2015）中表</w:t>
            </w:r>
            <w:r>
              <w:rPr>
                <w:rFonts w:hint="eastAsia"/>
                <w:color w:val="auto"/>
                <w:sz w:val="24"/>
                <w:lang w:val="en-US" w:eastAsia="zh-CN"/>
              </w:rPr>
              <w:t>5中相应标准限值</w:t>
            </w:r>
            <w:r>
              <w:rPr>
                <w:rFonts w:hint="eastAsia"/>
                <w:color w:val="auto"/>
                <w:sz w:val="24"/>
                <w:szCs w:val="24"/>
                <w:lang w:eastAsia="zh-CN"/>
              </w:rPr>
              <w:t>；非甲烷总烃</w:t>
            </w:r>
            <w:r>
              <w:rPr>
                <w:rFonts w:hint="eastAsia"/>
                <w:color w:val="auto"/>
                <w:sz w:val="24"/>
                <w:szCs w:val="24"/>
              </w:rPr>
              <w:t>经“二级活性炭吸附设备”处理后，</w:t>
            </w:r>
            <w:r>
              <w:rPr>
                <w:color w:val="auto"/>
                <w:sz w:val="24"/>
                <w:szCs w:val="24"/>
              </w:rPr>
              <w:t>排放速率</w:t>
            </w:r>
            <w:r>
              <w:rPr>
                <w:rFonts w:hint="eastAsia"/>
                <w:color w:val="auto"/>
                <w:sz w:val="24"/>
                <w:szCs w:val="24"/>
              </w:rPr>
              <w:t>为0.0</w:t>
            </w:r>
            <w:r>
              <w:rPr>
                <w:rFonts w:hint="eastAsia"/>
                <w:color w:val="auto"/>
                <w:sz w:val="24"/>
                <w:szCs w:val="24"/>
                <w:lang w:val="en-US" w:eastAsia="zh-CN"/>
              </w:rPr>
              <w:t>01</w:t>
            </w:r>
            <w:r>
              <w:rPr>
                <w:snapToGrid w:val="0"/>
                <w:color w:val="auto"/>
                <w:kern w:val="18"/>
                <w:sz w:val="24"/>
                <w:szCs w:val="24"/>
              </w:rPr>
              <w:t>kg/h，排放浓度</w:t>
            </w:r>
            <w:r>
              <w:rPr>
                <w:rFonts w:hint="eastAsia"/>
                <w:color w:val="auto"/>
                <w:sz w:val="24"/>
                <w:szCs w:val="24"/>
              </w:rPr>
              <w:t>为</w:t>
            </w:r>
            <w:r>
              <w:rPr>
                <w:rFonts w:hint="eastAsia"/>
                <w:color w:val="auto"/>
                <w:sz w:val="24"/>
                <w:szCs w:val="24"/>
                <w:lang w:val="en-US" w:eastAsia="zh-CN"/>
              </w:rPr>
              <w:t>0.2</w:t>
            </w:r>
            <w:r>
              <w:rPr>
                <w:snapToGrid w:val="0"/>
                <w:color w:val="auto"/>
                <w:kern w:val="18"/>
                <w:sz w:val="24"/>
                <w:szCs w:val="24"/>
              </w:rPr>
              <w:t>mg/m</w:t>
            </w:r>
            <w:r>
              <w:rPr>
                <w:snapToGrid w:val="0"/>
                <w:color w:val="auto"/>
                <w:kern w:val="18"/>
                <w:sz w:val="24"/>
                <w:szCs w:val="24"/>
                <w:vertAlign w:val="superscript"/>
              </w:rPr>
              <w:t>3</w:t>
            </w:r>
            <w:r>
              <w:rPr>
                <w:rFonts w:hint="eastAsia"/>
                <w:snapToGrid w:val="0"/>
                <w:color w:val="auto"/>
                <w:kern w:val="18"/>
                <w:sz w:val="24"/>
                <w:szCs w:val="24"/>
              </w:rPr>
              <w:t>＜</w:t>
            </w:r>
            <w:r>
              <w:rPr>
                <w:rFonts w:hint="eastAsia"/>
                <w:snapToGrid w:val="0"/>
                <w:color w:val="auto"/>
                <w:kern w:val="18"/>
                <w:sz w:val="24"/>
                <w:szCs w:val="24"/>
                <w:lang w:val="en-US" w:eastAsia="zh-CN"/>
              </w:rPr>
              <w:t>60</w:t>
            </w:r>
            <w:r>
              <w:rPr>
                <w:snapToGrid w:val="0"/>
                <w:color w:val="auto"/>
                <w:kern w:val="18"/>
                <w:sz w:val="24"/>
                <w:szCs w:val="24"/>
              </w:rPr>
              <w:t>mg/m</w:t>
            </w:r>
            <w:r>
              <w:rPr>
                <w:snapToGrid w:val="0"/>
                <w:color w:val="auto"/>
                <w:kern w:val="18"/>
                <w:sz w:val="24"/>
                <w:szCs w:val="24"/>
                <w:vertAlign w:val="superscript"/>
              </w:rPr>
              <w:t>3</w:t>
            </w:r>
            <w:r>
              <w:rPr>
                <w:rFonts w:hint="eastAsia"/>
                <w:snapToGrid w:val="0"/>
                <w:color w:val="auto"/>
                <w:kern w:val="18"/>
                <w:sz w:val="24"/>
                <w:szCs w:val="24"/>
              </w:rPr>
              <w:t>，</w:t>
            </w:r>
            <w:r>
              <w:rPr>
                <w:snapToGrid w:val="0"/>
                <w:color w:val="auto"/>
                <w:kern w:val="18"/>
                <w:sz w:val="24"/>
                <w:szCs w:val="24"/>
              </w:rPr>
              <w:t>满足</w:t>
            </w:r>
            <w:r>
              <w:rPr>
                <w:rFonts w:hint="eastAsia"/>
                <w:color w:val="auto"/>
                <w:sz w:val="24"/>
              </w:rPr>
              <w:t>《合成树脂工业污染物排放标准》（GB31572- 2015）中表</w:t>
            </w:r>
            <w:r>
              <w:rPr>
                <w:rFonts w:hint="eastAsia"/>
                <w:color w:val="auto"/>
                <w:sz w:val="24"/>
                <w:lang w:val="en-US" w:eastAsia="zh-CN"/>
              </w:rPr>
              <w:t>5中相应标准限值，氯化氢产生量极少，无法定量计算，通过</w:t>
            </w:r>
            <w:r>
              <w:rPr>
                <w:rFonts w:hint="default" w:ascii="Times New Roman" w:hAnsi="Times New Roman" w:eastAsia="宋体" w:cs="Times New Roman"/>
                <w:sz w:val="24"/>
                <w:szCs w:val="24"/>
              </w:rPr>
              <w:t>注塑机上方及注射口上方设置集气罩，收集后与非甲烷总烃经同</w:t>
            </w:r>
            <w:r>
              <w:rPr>
                <w:rFonts w:hint="eastAsia" w:ascii="Times New Roman" w:hAnsi="Times New Roman" w:eastAsia="宋体" w:cs="Times New Roman"/>
                <w:sz w:val="24"/>
                <w:szCs w:val="24"/>
                <w:lang w:eastAsia="zh-CN"/>
              </w:rPr>
              <w:t>一</w:t>
            </w:r>
            <w:r>
              <w:rPr>
                <w:rFonts w:hint="default" w:ascii="Times New Roman" w:hAnsi="Times New Roman" w:eastAsia="宋体" w:cs="Times New Roman"/>
                <w:sz w:val="24"/>
                <w:szCs w:val="24"/>
              </w:rPr>
              <w:t>根排气筒排放，对环境空气影响很小。</w:t>
            </w:r>
          </w:p>
          <w:p>
            <w:pPr>
              <w:spacing w:line="360" w:lineRule="auto"/>
              <w:ind w:firstLine="480" w:firstLineChars="200"/>
              <w:rPr>
                <w:b/>
                <w:color w:val="auto"/>
                <w:sz w:val="24"/>
              </w:rPr>
            </w:pPr>
            <w:r>
              <w:rPr>
                <w:b/>
                <w:color w:val="auto"/>
                <w:sz w:val="24"/>
              </w:rPr>
              <w:t>（2）影响预测</w:t>
            </w:r>
          </w:p>
          <w:p>
            <w:pPr>
              <w:spacing w:line="360" w:lineRule="auto"/>
              <w:ind w:firstLine="480" w:firstLineChars="200"/>
              <w:rPr>
                <w:rFonts w:ascii="宋体" w:cs="宋体"/>
                <w:color w:val="auto"/>
                <w:sz w:val="24"/>
              </w:rPr>
            </w:pPr>
            <w:r>
              <w:rPr>
                <w:rFonts w:hint="eastAsia" w:ascii="宋体" w:cs="宋体"/>
                <w:color w:val="auto"/>
                <w:sz w:val="24"/>
              </w:rPr>
              <w:t>①评价因子和评价标准筛选</w:t>
            </w:r>
          </w:p>
          <w:p>
            <w:pPr>
              <w:spacing w:line="360" w:lineRule="auto"/>
              <w:ind w:firstLine="480" w:firstLineChars="200"/>
              <w:rPr>
                <w:color w:val="auto"/>
                <w:sz w:val="24"/>
                <w:szCs w:val="24"/>
              </w:rPr>
            </w:pPr>
            <w:r>
              <w:rPr>
                <w:color w:val="auto"/>
                <w:sz w:val="24"/>
              </w:rPr>
              <w:t>根据本项目特点以及工程分析内容，本项目评价因子为</w:t>
            </w:r>
            <w:r>
              <w:rPr>
                <w:rFonts w:hint="eastAsia"/>
                <w:color w:val="auto"/>
                <w:sz w:val="24"/>
                <w:lang w:val="en-US" w:eastAsia="zh-CN"/>
              </w:rPr>
              <w:t>PM</w:t>
            </w:r>
            <w:r>
              <w:rPr>
                <w:rFonts w:hint="eastAsia"/>
                <w:color w:val="auto"/>
                <w:sz w:val="24"/>
                <w:vertAlign w:val="subscript"/>
                <w:lang w:val="en-US" w:eastAsia="zh-CN"/>
              </w:rPr>
              <w:t>10</w:t>
            </w:r>
            <w:r>
              <w:rPr>
                <w:rFonts w:hint="eastAsia"/>
                <w:color w:val="auto"/>
                <w:sz w:val="24"/>
                <w:vertAlign w:val="baseline"/>
                <w:lang w:val="en-US" w:eastAsia="zh-CN"/>
              </w:rPr>
              <w:t>（</w:t>
            </w:r>
            <w:r>
              <w:rPr>
                <w:rFonts w:hint="eastAsia"/>
                <w:color w:val="auto"/>
                <w:sz w:val="24"/>
                <w:lang w:eastAsia="zh-CN"/>
              </w:rPr>
              <w:t>粉尘</w:t>
            </w:r>
            <w:r>
              <w:rPr>
                <w:rFonts w:hint="eastAsia"/>
                <w:color w:val="auto"/>
                <w:sz w:val="24"/>
                <w:vertAlign w:val="baseline"/>
                <w:lang w:val="en-US" w:eastAsia="zh-CN"/>
              </w:rPr>
              <w:t>）</w:t>
            </w:r>
            <w:r>
              <w:rPr>
                <w:rFonts w:hint="eastAsia"/>
                <w:color w:val="auto"/>
                <w:sz w:val="24"/>
                <w:lang w:eastAsia="zh-CN"/>
              </w:rPr>
              <w:t>、</w:t>
            </w:r>
            <w:r>
              <w:rPr>
                <w:rFonts w:hint="eastAsia"/>
                <w:color w:val="auto"/>
                <w:sz w:val="24"/>
                <w:szCs w:val="24"/>
                <w:lang w:eastAsia="zh-CN"/>
              </w:rPr>
              <w:t>非甲烷总烃</w:t>
            </w:r>
            <w:r>
              <w:rPr>
                <w:color w:val="auto"/>
                <w:sz w:val="24"/>
                <w:szCs w:val="24"/>
              </w:rPr>
              <w:t>。本项目评价因子和评价标准表详见下表：</w:t>
            </w:r>
          </w:p>
          <w:p>
            <w:pPr>
              <w:ind w:firstLine="420" w:firstLineChars="200"/>
              <w:jc w:val="center"/>
              <w:rPr>
                <w:b/>
                <w:color w:val="auto"/>
                <w:szCs w:val="21"/>
              </w:rPr>
            </w:pPr>
            <w:r>
              <w:rPr>
                <w:rFonts w:hint="eastAsia"/>
                <w:b/>
                <w:color w:val="auto"/>
                <w:szCs w:val="21"/>
              </w:rPr>
              <w:t>表7</w:t>
            </w:r>
            <w:r>
              <w:rPr>
                <w:b/>
                <w:color w:val="auto"/>
                <w:szCs w:val="21"/>
              </w:rPr>
              <w:t xml:space="preserve">-1   </w:t>
            </w:r>
            <w:r>
              <w:rPr>
                <w:rFonts w:hint="eastAsia"/>
                <w:b/>
                <w:color w:val="auto"/>
                <w:szCs w:val="21"/>
              </w:rPr>
              <w:t>评价</w:t>
            </w:r>
            <w:r>
              <w:rPr>
                <w:b/>
                <w:color w:val="auto"/>
                <w:szCs w:val="21"/>
              </w:rPr>
              <w:t>因子和评价标准表</w:t>
            </w:r>
          </w:p>
          <w:tbl>
            <w:tblPr>
              <w:tblStyle w:val="56"/>
              <w:tblW w:w="4998" w:type="pct"/>
              <w:jc w:val="center"/>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165"/>
              <w:gridCol w:w="1099"/>
              <w:gridCol w:w="1619"/>
              <w:gridCol w:w="3520"/>
              <w:gridCol w:w="1263"/>
            </w:tblGrid>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672" w:type="pct"/>
                </w:tcPr>
                <w:p>
                  <w:pPr>
                    <w:jc w:val="center"/>
                    <w:rPr>
                      <w:b/>
                      <w:color w:val="auto"/>
                      <w:szCs w:val="21"/>
                    </w:rPr>
                  </w:pPr>
                  <w:r>
                    <w:rPr>
                      <w:b/>
                      <w:color w:val="auto"/>
                      <w:szCs w:val="21"/>
                    </w:rPr>
                    <w:t>评价因子</w:t>
                  </w:r>
                </w:p>
              </w:tc>
              <w:tc>
                <w:tcPr>
                  <w:tcW w:w="634" w:type="pct"/>
                </w:tcPr>
                <w:p>
                  <w:pPr>
                    <w:jc w:val="center"/>
                    <w:rPr>
                      <w:b/>
                      <w:color w:val="auto"/>
                      <w:szCs w:val="21"/>
                    </w:rPr>
                  </w:pPr>
                  <w:r>
                    <w:rPr>
                      <w:b/>
                      <w:color w:val="auto"/>
                      <w:szCs w:val="21"/>
                    </w:rPr>
                    <w:t>平均时段</w:t>
                  </w:r>
                </w:p>
              </w:tc>
              <w:tc>
                <w:tcPr>
                  <w:tcW w:w="934" w:type="pct"/>
                </w:tcPr>
                <w:p>
                  <w:pPr>
                    <w:jc w:val="center"/>
                    <w:rPr>
                      <w:b/>
                      <w:color w:val="auto"/>
                      <w:szCs w:val="21"/>
                    </w:rPr>
                  </w:pPr>
                  <w:r>
                    <w:rPr>
                      <w:b/>
                      <w:color w:val="auto"/>
                      <w:szCs w:val="21"/>
                    </w:rPr>
                    <w:t>标准值/μg/m</w:t>
                  </w:r>
                  <w:r>
                    <w:rPr>
                      <w:b/>
                      <w:color w:val="auto"/>
                      <w:szCs w:val="21"/>
                      <w:vertAlign w:val="superscript"/>
                    </w:rPr>
                    <w:t>3</w:t>
                  </w:r>
                </w:p>
              </w:tc>
              <w:tc>
                <w:tcPr>
                  <w:tcW w:w="2030" w:type="pct"/>
                </w:tcPr>
                <w:p>
                  <w:pPr>
                    <w:jc w:val="center"/>
                    <w:rPr>
                      <w:b/>
                      <w:color w:val="auto"/>
                      <w:szCs w:val="21"/>
                    </w:rPr>
                  </w:pPr>
                  <w:r>
                    <w:rPr>
                      <w:b/>
                      <w:color w:val="auto"/>
                      <w:szCs w:val="21"/>
                    </w:rPr>
                    <w:t>标准来源</w:t>
                  </w:r>
                </w:p>
              </w:tc>
              <w:tc>
                <w:tcPr>
                  <w:tcW w:w="728" w:type="pct"/>
                </w:tcPr>
                <w:p>
                  <w:pPr>
                    <w:jc w:val="center"/>
                    <w:rPr>
                      <w:b/>
                      <w:color w:val="auto"/>
                      <w:szCs w:val="21"/>
                    </w:rPr>
                  </w:pPr>
                  <w:r>
                    <w:rPr>
                      <w:rFonts w:hint="eastAsia"/>
                      <w:b/>
                      <w:color w:val="auto"/>
                      <w:szCs w:val="21"/>
                    </w:rPr>
                    <w:t>备注</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672" w:type="pct"/>
                  <w:vAlign w:val="center"/>
                </w:tcPr>
                <w:p>
                  <w:pPr>
                    <w:jc w:val="center"/>
                    <w:rPr>
                      <w:rFonts w:hint="eastAsia" w:eastAsia="宋体"/>
                      <w:color w:val="auto"/>
                      <w:szCs w:val="21"/>
                      <w:lang w:eastAsia="zh-CN"/>
                    </w:rPr>
                  </w:pPr>
                  <w:r>
                    <w:rPr>
                      <w:rFonts w:hint="eastAsia"/>
                      <w:color w:val="auto"/>
                      <w:sz w:val="24"/>
                      <w:lang w:val="en-US" w:eastAsia="zh-CN"/>
                    </w:rPr>
                    <w:t>PM</w:t>
                  </w:r>
                  <w:r>
                    <w:rPr>
                      <w:rFonts w:hint="eastAsia"/>
                      <w:color w:val="auto"/>
                      <w:sz w:val="24"/>
                      <w:vertAlign w:val="subscript"/>
                      <w:lang w:val="en-US" w:eastAsia="zh-CN"/>
                    </w:rPr>
                    <w:t>10</w:t>
                  </w:r>
                </w:p>
              </w:tc>
              <w:tc>
                <w:tcPr>
                  <w:tcW w:w="634" w:type="pct"/>
                  <w:vAlign w:val="center"/>
                </w:tcPr>
                <w:p>
                  <w:pPr>
                    <w:jc w:val="center"/>
                    <w:rPr>
                      <w:color w:val="auto"/>
                      <w:szCs w:val="21"/>
                    </w:rPr>
                  </w:pPr>
                  <w:r>
                    <w:rPr>
                      <w:color w:val="auto"/>
                      <w:szCs w:val="21"/>
                    </w:rPr>
                    <w:t>1小时平均</w:t>
                  </w:r>
                </w:p>
              </w:tc>
              <w:tc>
                <w:tcPr>
                  <w:tcW w:w="934" w:type="pct"/>
                  <w:vAlign w:val="center"/>
                </w:tcPr>
                <w:p>
                  <w:pPr>
                    <w:jc w:val="center"/>
                    <w:rPr>
                      <w:rFonts w:hint="default" w:eastAsia="宋体"/>
                      <w:color w:val="auto"/>
                      <w:szCs w:val="21"/>
                      <w:lang w:val="en-US" w:eastAsia="zh-CN"/>
                    </w:rPr>
                  </w:pPr>
                  <w:r>
                    <w:rPr>
                      <w:rFonts w:hint="eastAsia"/>
                      <w:color w:val="auto"/>
                      <w:szCs w:val="21"/>
                      <w:lang w:val="en-US" w:eastAsia="zh-CN"/>
                    </w:rPr>
                    <w:t>450</w:t>
                  </w:r>
                </w:p>
              </w:tc>
              <w:tc>
                <w:tcPr>
                  <w:tcW w:w="3520" w:type="dxa"/>
                  <w:vAlign w:val="center"/>
                </w:tcPr>
                <w:p>
                  <w:pPr>
                    <w:jc w:val="center"/>
                    <w:rPr>
                      <w:color w:val="auto"/>
                      <w:szCs w:val="21"/>
                      <w:lang w:val="zh-CN"/>
                    </w:rPr>
                  </w:pPr>
                  <w:r>
                    <w:rPr>
                      <w:color w:val="000000" w:themeColor="text1"/>
                      <w:szCs w:val="21"/>
                      <w14:textFill>
                        <w14:solidFill>
                          <w14:schemeClr w14:val="tx1"/>
                        </w14:solidFill>
                      </w14:textFill>
                    </w:rPr>
                    <w:t>《环境空气质量标准》（GB3095-2012）修改单中的二级标准</w:t>
                  </w:r>
                </w:p>
              </w:tc>
              <w:tc>
                <w:tcPr>
                  <w:tcW w:w="1263" w:type="dxa"/>
                  <w:vAlign w:val="center"/>
                </w:tcPr>
                <w:p>
                  <w:pPr>
                    <w:jc w:val="center"/>
                    <w:rPr>
                      <w:rFonts w:hint="eastAsia"/>
                      <w:color w:val="auto"/>
                      <w:szCs w:val="21"/>
                    </w:rPr>
                  </w:pPr>
                  <w:r>
                    <w:rPr>
                      <w:rFonts w:hint="eastAsia"/>
                      <w:color w:val="000000" w:themeColor="text1"/>
                      <w:szCs w:val="21"/>
                      <w14:textFill>
                        <w14:solidFill>
                          <w14:schemeClr w14:val="tx1"/>
                        </w14:solidFill>
                      </w14:textFill>
                    </w:rPr>
                    <w:t>以日平均值的3倍取值</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672" w:type="pct"/>
                  <w:vAlign w:val="center"/>
                </w:tcPr>
                <w:p>
                  <w:pPr>
                    <w:jc w:val="center"/>
                    <w:rPr>
                      <w:color w:val="auto"/>
                      <w:sz w:val="24"/>
                      <w:szCs w:val="24"/>
                    </w:rPr>
                  </w:pPr>
                  <w:r>
                    <w:rPr>
                      <w:rFonts w:hint="eastAsia"/>
                      <w:color w:val="auto"/>
                      <w:szCs w:val="21"/>
                    </w:rPr>
                    <w:t>非甲烷总烃</w:t>
                  </w:r>
                </w:p>
              </w:tc>
              <w:tc>
                <w:tcPr>
                  <w:tcW w:w="634" w:type="pct"/>
                  <w:vAlign w:val="center"/>
                </w:tcPr>
                <w:p>
                  <w:pPr>
                    <w:jc w:val="center"/>
                    <w:rPr>
                      <w:color w:val="auto"/>
                      <w:szCs w:val="21"/>
                    </w:rPr>
                  </w:pPr>
                  <w:r>
                    <w:rPr>
                      <w:color w:val="auto"/>
                      <w:szCs w:val="21"/>
                    </w:rPr>
                    <w:t>1小时平均</w:t>
                  </w:r>
                </w:p>
              </w:tc>
              <w:tc>
                <w:tcPr>
                  <w:tcW w:w="934" w:type="pct"/>
                  <w:vAlign w:val="center"/>
                </w:tcPr>
                <w:p>
                  <w:pPr>
                    <w:jc w:val="center"/>
                    <w:rPr>
                      <w:color w:val="auto"/>
                      <w:szCs w:val="21"/>
                    </w:rPr>
                  </w:pPr>
                  <w:r>
                    <w:rPr>
                      <w:rFonts w:hint="eastAsia"/>
                      <w:color w:val="auto"/>
                      <w:szCs w:val="21"/>
                    </w:rPr>
                    <w:t>2000</w:t>
                  </w:r>
                </w:p>
              </w:tc>
              <w:tc>
                <w:tcPr>
                  <w:tcW w:w="2030" w:type="pct"/>
                  <w:vAlign w:val="center"/>
                </w:tcPr>
                <w:p>
                  <w:pPr>
                    <w:jc w:val="center"/>
                    <w:rPr>
                      <w:color w:val="auto"/>
                      <w:szCs w:val="21"/>
                      <w:lang w:val="zh-CN"/>
                    </w:rPr>
                  </w:pPr>
                  <w:r>
                    <w:rPr>
                      <w:color w:val="auto"/>
                      <w:szCs w:val="21"/>
                      <w:lang w:val="zh-CN"/>
                    </w:rPr>
                    <w:t>《大气污染物综合排放标准》（GBT16297-1996）详解</w:t>
                  </w:r>
                </w:p>
              </w:tc>
              <w:tc>
                <w:tcPr>
                  <w:tcW w:w="728" w:type="pct"/>
                  <w:vAlign w:val="center"/>
                </w:tcPr>
                <w:p>
                  <w:pPr>
                    <w:jc w:val="center"/>
                    <w:rPr>
                      <w:color w:val="auto"/>
                      <w:szCs w:val="21"/>
                    </w:rPr>
                  </w:pPr>
                  <w:r>
                    <w:rPr>
                      <w:rFonts w:hint="eastAsia"/>
                      <w:color w:val="auto"/>
                      <w:szCs w:val="21"/>
                    </w:rPr>
                    <w:t>/</w:t>
                  </w:r>
                </w:p>
              </w:tc>
            </w:tr>
          </w:tbl>
          <w:p>
            <w:pPr>
              <w:spacing w:line="360" w:lineRule="auto"/>
              <w:ind w:firstLine="480" w:firstLineChars="200"/>
              <w:rPr>
                <w:color w:val="auto"/>
                <w:sz w:val="24"/>
              </w:rPr>
            </w:pPr>
            <w:r>
              <w:rPr>
                <w:rFonts w:hint="eastAsia" w:ascii="宋体" w:cs="宋体"/>
                <w:color w:val="auto"/>
                <w:sz w:val="24"/>
              </w:rPr>
              <w:t>②</w:t>
            </w:r>
            <w:r>
              <w:rPr>
                <w:color w:val="auto"/>
                <w:sz w:val="24"/>
              </w:rPr>
              <w:t>源强</w:t>
            </w:r>
          </w:p>
          <w:p>
            <w:pPr>
              <w:spacing w:line="360" w:lineRule="auto"/>
              <w:ind w:firstLine="480" w:firstLineChars="200"/>
              <w:rPr>
                <w:color w:val="auto"/>
                <w:sz w:val="24"/>
              </w:rPr>
            </w:pPr>
            <w:r>
              <w:rPr>
                <w:color w:val="auto"/>
                <w:sz w:val="24"/>
              </w:rPr>
              <w:t>项目废气源强见下表7-2。</w:t>
            </w:r>
          </w:p>
          <w:p>
            <w:pPr>
              <w:ind w:firstLine="420" w:firstLineChars="200"/>
              <w:jc w:val="center"/>
              <w:rPr>
                <w:rFonts w:hint="eastAsia"/>
                <w:b/>
                <w:color w:val="auto"/>
                <w:szCs w:val="21"/>
              </w:rPr>
            </w:pPr>
          </w:p>
          <w:p>
            <w:pPr>
              <w:ind w:firstLine="420" w:firstLineChars="200"/>
              <w:jc w:val="center"/>
              <w:rPr>
                <w:rFonts w:hint="eastAsia"/>
                <w:b/>
                <w:color w:val="auto"/>
                <w:szCs w:val="21"/>
              </w:rPr>
            </w:pPr>
          </w:p>
          <w:p>
            <w:pPr>
              <w:ind w:firstLine="420" w:firstLineChars="200"/>
              <w:jc w:val="center"/>
              <w:rPr>
                <w:rFonts w:hint="eastAsia"/>
                <w:b/>
                <w:color w:val="auto"/>
                <w:szCs w:val="21"/>
              </w:rPr>
            </w:pPr>
          </w:p>
          <w:p>
            <w:pPr>
              <w:ind w:firstLine="420" w:firstLineChars="200"/>
              <w:jc w:val="center"/>
              <w:rPr>
                <w:rFonts w:hint="eastAsia"/>
                <w:b/>
                <w:color w:val="auto"/>
                <w:szCs w:val="21"/>
              </w:rPr>
            </w:pPr>
          </w:p>
          <w:p>
            <w:pPr>
              <w:ind w:firstLine="420" w:firstLineChars="200"/>
              <w:jc w:val="center"/>
              <w:rPr>
                <w:b/>
                <w:color w:val="auto"/>
                <w:szCs w:val="21"/>
              </w:rPr>
            </w:pPr>
            <w:r>
              <w:rPr>
                <w:rFonts w:hint="eastAsia"/>
                <w:b/>
                <w:color w:val="auto"/>
                <w:szCs w:val="21"/>
              </w:rPr>
              <w:t>表7-2  项目污染源参数（点源）</w:t>
            </w:r>
          </w:p>
          <w:tbl>
            <w:tblPr>
              <w:tblStyle w:val="56"/>
              <w:tblpPr w:leftFromText="180" w:rightFromText="180" w:vertAnchor="text" w:tblpXSpec="center" w:tblpY="1"/>
              <w:tblOverlap w:val="never"/>
              <w:tblW w:w="8312" w:type="dxa"/>
              <w:tblInd w:w="0" w:type="dxa"/>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427"/>
              <w:gridCol w:w="1206"/>
              <w:gridCol w:w="1109"/>
              <w:gridCol w:w="558"/>
              <w:gridCol w:w="584"/>
              <w:gridCol w:w="1102"/>
              <w:gridCol w:w="650"/>
              <w:gridCol w:w="677"/>
              <w:gridCol w:w="620"/>
              <w:gridCol w:w="689"/>
              <w:gridCol w:w="690"/>
            </w:tblGrid>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1094" w:hRule="atLeast"/>
              </w:trPr>
              <w:tc>
                <w:tcPr>
                  <w:tcW w:w="427" w:type="dxa"/>
                  <w:vMerge w:val="restart"/>
                  <w:vAlign w:val="center"/>
                </w:tcPr>
                <w:p>
                  <w:pPr>
                    <w:jc w:val="center"/>
                    <w:rPr>
                      <w:b/>
                      <w:color w:val="auto"/>
                      <w:szCs w:val="21"/>
                    </w:rPr>
                  </w:pPr>
                  <w:r>
                    <w:rPr>
                      <w:b/>
                      <w:color w:val="auto"/>
                      <w:szCs w:val="21"/>
                    </w:rPr>
                    <w:t>名称</w:t>
                  </w:r>
                </w:p>
              </w:tc>
              <w:tc>
                <w:tcPr>
                  <w:tcW w:w="2315" w:type="dxa"/>
                  <w:gridSpan w:val="2"/>
                  <w:vAlign w:val="center"/>
                </w:tcPr>
                <w:p>
                  <w:pPr>
                    <w:jc w:val="center"/>
                    <w:rPr>
                      <w:b/>
                      <w:color w:val="auto"/>
                      <w:szCs w:val="21"/>
                    </w:rPr>
                  </w:pPr>
                  <w:r>
                    <w:rPr>
                      <w:b/>
                      <w:color w:val="auto"/>
                      <w:szCs w:val="21"/>
                    </w:rPr>
                    <w:t>排气筒底部中心坐标</w:t>
                  </w:r>
                </w:p>
              </w:tc>
              <w:tc>
                <w:tcPr>
                  <w:tcW w:w="558" w:type="dxa"/>
                  <w:vMerge w:val="restart"/>
                  <w:vAlign w:val="center"/>
                </w:tcPr>
                <w:p>
                  <w:pPr>
                    <w:jc w:val="center"/>
                    <w:rPr>
                      <w:b/>
                      <w:color w:val="auto"/>
                      <w:szCs w:val="21"/>
                    </w:rPr>
                  </w:pPr>
                  <w:r>
                    <w:rPr>
                      <w:b/>
                      <w:color w:val="auto"/>
                      <w:szCs w:val="21"/>
                    </w:rPr>
                    <w:t>高度/m</w:t>
                  </w:r>
                </w:p>
              </w:tc>
              <w:tc>
                <w:tcPr>
                  <w:tcW w:w="584" w:type="dxa"/>
                  <w:vMerge w:val="restart"/>
                  <w:vAlign w:val="center"/>
                </w:tcPr>
                <w:p>
                  <w:pPr>
                    <w:jc w:val="center"/>
                    <w:rPr>
                      <w:b/>
                      <w:color w:val="auto"/>
                      <w:szCs w:val="21"/>
                    </w:rPr>
                  </w:pPr>
                  <w:r>
                    <w:rPr>
                      <w:b/>
                      <w:color w:val="auto"/>
                      <w:szCs w:val="21"/>
                    </w:rPr>
                    <w:t>内径/m</w:t>
                  </w:r>
                </w:p>
              </w:tc>
              <w:tc>
                <w:tcPr>
                  <w:tcW w:w="1102" w:type="dxa"/>
                  <w:vMerge w:val="restart"/>
                  <w:vAlign w:val="center"/>
                </w:tcPr>
                <w:p>
                  <w:pPr>
                    <w:jc w:val="center"/>
                    <w:rPr>
                      <w:b/>
                      <w:color w:val="auto"/>
                      <w:szCs w:val="21"/>
                    </w:rPr>
                  </w:pPr>
                  <w:r>
                    <w:rPr>
                      <w:b/>
                      <w:color w:val="auto"/>
                      <w:szCs w:val="21"/>
                    </w:rPr>
                    <w:t>烟气流速/（m/s）</w:t>
                  </w:r>
                </w:p>
              </w:tc>
              <w:tc>
                <w:tcPr>
                  <w:tcW w:w="650" w:type="dxa"/>
                  <w:vMerge w:val="restart"/>
                  <w:vAlign w:val="center"/>
                </w:tcPr>
                <w:p>
                  <w:pPr>
                    <w:jc w:val="center"/>
                    <w:rPr>
                      <w:b/>
                      <w:color w:val="auto"/>
                      <w:szCs w:val="21"/>
                    </w:rPr>
                  </w:pPr>
                  <w:r>
                    <w:rPr>
                      <w:b/>
                      <w:color w:val="auto"/>
                      <w:szCs w:val="21"/>
                    </w:rPr>
                    <w:t>烟气温度/</w:t>
                  </w:r>
                  <w:r>
                    <w:rPr>
                      <w:rFonts w:hint="eastAsia"/>
                      <w:b/>
                      <w:color w:val="auto"/>
                      <w:szCs w:val="21"/>
                    </w:rPr>
                    <w:t>℃</w:t>
                  </w:r>
                </w:p>
              </w:tc>
              <w:tc>
                <w:tcPr>
                  <w:tcW w:w="677" w:type="dxa"/>
                  <w:vMerge w:val="restart"/>
                  <w:vAlign w:val="center"/>
                </w:tcPr>
                <w:p>
                  <w:pPr>
                    <w:jc w:val="center"/>
                    <w:rPr>
                      <w:b/>
                      <w:color w:val="auto"/>
                      <w:szCs w:val="21"/>
                    </w:rPr>
                  </w:pPr>
                  <w:r>
                    <w:rPr>
                      <w:b/>
                      <w:color w:val="auto"/>
                      <w:szCs w:val="21"/>
                    </w:rPr>
                    <w:t>年排放小时数/h</w:t>
                  </w:r>
                </w:p>
              </w:tc>
              <w:tc>
                <w:tcPr>
                  <w:tcW w:w="620" w:type="dxa"/>
                  <w:vMerge w:val="restart"/>
                  <w:vAlign w:val="center"/>
                </w:tcPr>
                <w:p>
                  <w:pPr>
                    <w:jc w:val="center"/>
                    <w:rPr>
                      <w:b/>
                      <w:color w:val="auto"/>
                      <w:szCs w:val="21"/>
                    </w:rPr>
                  </w:pPr>
                  <w:r>
                    <w:rPr>
                      <w:b/>
                      <w:color w:val="auto"/>
                      <w:szCs w:val="21"/>
                    </w:rPr>
                    <w:t>排放工况</w:t>
                  </w:r>
                </w:p>
              </w:tc>
              <w:tc>
                <w:tcPr>
                  <w:tcW w:w="1379" w:type="dxa"/>
                  <w:gridSpan w:val="2"/>
                  <w:vAlign w:val="center"/>
                </w:tcPr>
                <w:p>
                  <w:pPr>
                    <w:jc w:val="center"/>
                    <w:rPr>
                      <w:b/>
                      <w:color w:val="auto"/>
                      <w:szCs w:val="21"/>
                    </w:rPr>
                  </w:pPr>
                  <w:r>
                    <w:rPr>
                      <w:b/>
                      <w:color w:val="auto"/>
                      <w:szCs w:val="21"/>
                    </w:rPr>
                    <w:t>污染物排放速率kg/h</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427" w:type="dxa"/>
                  <w:vMerge w:val="continue"/>
                  <w:vAlign w:val="center"/>
                </w:tcPr>
                <w:p>
                  <w:pPr>
                    <w:jc w:val="center"/>
                    <w:rPr>
                      <w:color w:val="auto"/>
                    </w:rPr>
                  </w:pPr>
                </w:p>
              </w:tc>
              <w:tc>
                <w:tcPr>
                  <w:tcW w:w="1206" w:type="dxa"/>
                  <w:vAlign w:val="center"/>
                </w:tcPr>
                <w:p>
                  <w:pPr>
                    <w:jc w:val="center"/>
                    <w:rPr>
                      <w:b/>
                      <w:color w:val="auto"/>
                      <w:sz w:val="18"/>
                      <w:szCs w:val="18"/>
                    </w:rPr>
                  </w:pPr>
                  <w:r>
                    <w:rPr>
                      <w:b/>
                      <w:color w:val="auto"/>
                      <w:sz w:val="18"/>
                      <w:szCs w:val="18"/>
                    </w:rPr>
                    <w:t>X</w:t>
                  </w:r>
                </w:p>
              </w:tc>
              <w:tc>
                <w:tcPr>
                  <w:tcW w:w="1109" w:type="dxa"/>
                  <w:vAlign w:val="center"/>
                </w:tcPr>
                <w:p>
                  <w:pPr>
                    <w:jc w:val="center"/>
                    <w:rPr>
                      <w:b/>
                      <w:color w:val="auto"/>
                      <w:sz w:val="18"/>
                      <w:szCs w:val="18"/>
                    </w:rPr>
                  </w:pPr>
                  <w:r>
                    <w:rPr>
                      <w:b/>
                      <w:color w:val="auto"/>
                      <w:sz w:val="18"/>
                      <w:szCs w:val="18"/>
                    </w:rPr>
                    <w:t>Y</w:t>
                  </w:r>
                </w:p>
              </w:tc>
              <w:tc>
                <w:tcPr>
                  <w:tcW w:w="558" w:type="dxa"/>
                  <w:vMerge w:val="continue"/>
                  <w:vAlign w:val="center"/>
                </w:tcPr>
                <w:p>
                  <w:pPr>
                    <w:jc w:val="center"/>
                    <w:rPr>
                      <w:color w:val="auto"/>
                    </w:rPr>
                  </w:pPr>
                </w:p>
              </w:tc>
              <w:tc>
                <w:tcPr>
                  <w:tcW w:w="584" w:type="dxa"/>
                  <w:vMerge w:val="continue"/>
                  <w:vAlign w:val="center"/>
                </w:tcPr>
                <w:p>
                  <w:pPr>
                    <w:jc w:val="center"/>
                    <w:rPr>
                      <w:color w:val="auto"/>
                    </w:rPr>
                  </w:pPr>
                </w:p>
              </w:tc>
              <w:tc>
                <w:tcPr>
                  <w:tcW w:w="1102" w:type="dxa"/>
                  <w:vMerge w:val="continue"/>
                  <w:vAlign w:val="center"/>
                </w:tcPr>
                <w:p>
                  <w:pPr>
                    <w:jc w:val="center"/>
                    <w:rPr>
                      <w:color w:val="auto"/>
                    </w:rPr>
                  </w:pPr>
                </w:p>
              </w:tc>
              <w:tc>
                <w:tcPr>
                  <w:tcW w:w="650" w:type="dxa"/>
                  <w:vMerge w:val="continue"/>
                  <w:vAlign w:val="center"/>
                </w:tcPr>
                <w:p>
                  <w:pPr>
                    <w:jc w:val="center"/>
                    <w:rPr>
                      <w:color w:val="auto"/>
                    </w:rPr>
                  </w:pPr>
                </w:p>
              </w:tc>
              <w:tc>
                <w:tcPr>
                  <w:tcW w:w="677" w:type="dxa"/>
                  <w:vMerge w:val="continue"/>
                  <w:vAlign w:val="center"/>
                </w:tcPr>
                <w:p>
                  <w:pPr>
                    <w:jc w:val="center"/>
                    <w:rPr>
                      <w:color w:val="auto"/>
                    </w:rPr>
                  </w:pPr>
                </w:p>
              </w:tc>
              <w:tc>
                <w:tcPr>
                  <w:tcW w:w="620" w:type="dxa"/>
                  <w:vMerge w:val="continue"/>
                  <w:vAlign w:val="center"/>
                </w:tcPr>
                <w:p>
                  <w:pPr>
                    <w:jc w:val="center"/>
                    <w:rPr>
                      <w:color w:val="auto"/>
                    </w:rPr>
                  </w:pPr>
                </w:p>
              </w:tc>
              <w:tc>
                <w:tcPr>
                  <w:tcW w:w="689" w:type="dxa"/>
                  <w:vAlign w:val="center"/>
                </w:tcPr>
                <w:p>
                  <w:pPr>
                    <w:pStyle w:val="21"/>
                    <w:keepNext w:val="0"/>
                    <w:keepLines w:val="0"/>
                    <w:pageBreakBefore w:val="0"/>
                    <w:widowControl w:val="0"/>
                    <w:kinsoku/>
                    <w:wordWrap/>
                    <w:overflowPunct/>
                    <w:topLinePunct w:val="0"/>
                    <w:autoSpaceDE/>
                    <w:autoSpaceDN/>
                    <w:bidi w:val="0"/>
                    <w:adjustRightInd/>
                    <w:snapToGrid/>
                    <w:spacing w:after="0"/>
                    <w:jc w:val="center"/>
                    <w:textAlignment w:val="auto"/>
                    <w:rPr>
                      <w:rFonts w:hint="eastAsia" w:eastAsia="宋体"/>
                      <w:b/>
                      <w:bCs/>
                      <w:color w:val="auto"/>
                      <w:lang w:eastAsia="zh-CN"/>
                    </w:rPr>
                  </w:pPr>
                  <w:r>
                    <w:rPr>
                      <w:rFonts w:hint="eastAsia"/>
                      <w:b/>
                      <w:bCs/>
                      <w:color w:val="auto"/>
                      <w:lang w:eastAsia="zh-CN"/>
                    </w:rPr>
                    <w:t>粉尘</w:t>
                  </w:r>
                </w:p>
              </w:tc>
              <w:tc>
                <w:tcPr>
                  <w:tcW w:w="690" w:type="dxa"/>
                  <w:vAlign w:val="center"/>
                </w:tcPr>
                <w:p>
                  <w:pPr>
                    <w:pStyle w:val="21"/>
                    <w:keepNext w:val="0"/>
                    <w:keepLines w:val="0"/>
                    <w:pageBreakBefore w:val="0"/>
                    <w:widowControl w:val="0"/>
                    <w:kinsoku/>
                    <w:wordWrap/>
                    <w:overflowPunct/>
                    <w:topLinePunct w:val="0"/>
                    <w:autoSpaceDE/>
                    <w:autoSpaceDN/>
                    <w:bidi w:val="0"/>
                    <w:adjustRightInd/>
                    <w:snapToGrid/>
                    <w:spacing w:after="0"/>
                    <w:jc w:val="center"/>
                    <w:textAlignment w:val="auto"/>
                    <w:rPr>
                      <w:rFonts w:hint="eastAsia" w:ascii="Times New Roman" w:hAnsi="Times New Roman" w:eastAsia="宋体" w:cs="Times New Roman"/>
                      <w:b/>
                      <w:bCs/>
                      <w:color w:val="auto"/>
                      <w:kern w:val="2"/>
                      <w:sz w:val="21"/>
                      <w:lang w:val="en-US" w:eastAsia="zh-CN" w:bidi="ar-SA"/>
                    </w:rPr>
                  </w:pPr>
                  <w:r>
                    <w:rPr>
                      <w:rFonts w:hint="eastAsia"/>
                      <w:b/>
                      <w:bCs/>
                      <w:color w:val="auto"/>
                      <w:lang w:eastAsia="zh-CN"/>
                    </w:rPr>
                    <w:t>非甲烷总烃</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604" w:hRule="atLeast"/>
              </w:trPr>
              <w:tc>
                <w:tcPr>
                  <w:tcW w:w="427" w:type="dxa"/>
                  <w:vAlign w:val="center"/>
                </w:tcPr>
                <w:p>
                  <w:pPr>
                    <w:jc w:val="center"/>
                    <w:rPr>
                      <w:color w:val="auto"/>
                      <w:szCs w:val="22"/>
                    </w:rPr>
                  </w:pPr>
                  <w:r>
                    <w:rPr>
                      <w:rFonts w:hint="eastAsia"/>
                      <w:color w:val="auto"/>
                      <w:szCs w:val="22"/>
                    </w:rPr>
                    <w:t>排气筒</w:t>
                  </w:r>
                </w:p>
              </w:tc>
              <w:tc>
                <w:tcPr>
                  <w:tcW w:w="1206" w:type="dxa"/>
                  <w:vAlign w:val="center"/>
                </w:tcPr>
                <w:p>
                  <w:pPr>
                    <w:jc w:val="center"/>
                    <w:rPr>
                      <w:rFonts w:hint="default" w:eastAsia="宋体"/>
                      <w:color w:val="auto"/>
                      <w:szCs w:val="22"/>
                      <w:lang w:val="en-US" w:eastAsia="zh-CN"/>
                    </w:rPr>
                  </w:pPr>
                  <w:r>
                    <w:rPr>
                      <w:rFonts w:hint="eastAsia"/>
                      <w:color w:val="auto"/>
                      <w:szCs w:val="22"/>
                      <w:lang w:val="en-US" w:eastAsia="zh-CN"/>
                    </w:rPr>
                    <w:t>119.633049</w:t>
                  </w:r>
                </w:p>
              </w:tc>
              <w:tc>
                <w:tcPr>
                  <w:tcW w:w="1109" w:type="dxa"/>
                  <w:vAlign w:val="center"/>
                </w:tcPr>
                <w:p>
                  <w:pPr>
                    <w:jc w:val="center"/>
                    <w:rPr>
                      <w:rFonts w:hint="default" w:eastAsia="宋体"/>
                      <w:color w:val="auto"/>
                      <w:szCs w:val="22"/>
                      <w:lang w:val="en-US" w:eastAsia="zh-CN"/>
                    </w:rPr>
                  </w:pPr>
                  <w:r>
                    <w:rPr>
                      <w:rFonts w:hint="eastAsia"/>
                      <w:color w:val="auto"/>
                      <w:szCs w:val="22"/>
                      <w:lang w:val="en-US" w:eastAsia="zh-CN"/>
                    </w:rPr>
                    <w:t>31.755582</w:t>
                  </w:r>
                </w:p>
              </w:tc>
              <w:tc>
                <w:tcPr>
                  <w:tcW w:w="558" w:type="dxa"/>
                  <w:vAlign w:val="center"/>
                </w:tcPr>
                <w:p>
                  <w:pPr>
                    <w:jc w:val="center"/>
                    <w:rPr>
                      <w:rFonts w:hint="default" w:eastAsia="宋体"/>
                      <w:color w:val="auto"/>
                      <w:szCs w:val="22"/>
                      <w:lang w:val="en-US" w:eastAsia="zh-CN"/>
                    </w:rPr>
                  </w:pPr>
                  <w:r>
                    <w:rPr>
                      <w:rFonts w:hint="eastAsia"/>
                      <w:color w:val="auto"/>
                      <w:szCs w:val="22"/>
                      <w:lang w:val="en-US" w:eastAsia="zh-CN"/>
                    </w:rPr>
                    <w:t>15</w:t>
                  </w:r>
                </w:p>
              </w:tc>
              <w:tc>
                <w:tcPr>
                  <w:tcW w:w="584" w:type="dxa"/>
                  <w:vAlign w:val="center"/>
                </w:tcPr>
                <w:p>
                  <w:pPr>
                    <w:jc w:val="center"/>
                    <w:rPr>
                      <w:rFonts w:hint="default" w:eastAsia="宋体"/>
                      <w:color w:val="auto"/>
                      <w:szCs w:val="22"/>
                      <w:lang w:val="en-US" w:eastAsia="zh-CN"/>
                    </w:rPr>
                  </w:pPr>
                  <w:r>
                    <w:rPr>
                      <w:rFonts w:hint="eastAsia"/>
                      <w:color w:val="auto"/>
                      <w:szCs w:val="22"/>
                    </w:rPr>
                    <w:t>0.</w:t>
                  </w:r>
                  <w:r>
                    <w:rPr>
                      <w:rFonts w:hint="eastAsia"/>
                      <w:color w:val="auto"/>
                      <w:szCs w:val="22"/>
                      <w:lang w:val="en-US" w:eastAsia="zh-CN"/>
                    </w:rPr>
                    <w:t>35</w:t>
                  </w:r>
                </w:p>
              </w:tc>
              <w:tc>
                <w:tcPr>
                  <w:tcW w:w="1102" w:type="dxa"/>
                  <w:vAlign w:val="center"/>
                </w:tcPr>
                <w:p>
                  <w:pPr>
                    <w:jc w:val="center"/>
                    <w:rPr>
                      <w:rFonts w:hint="default" w:eastAsia="宋体"/>
                      <w:color w:val="auto"/>
                      <w:szCs w:val="22"/>
                      <w:lang w:val="en-US" w:eastAsia="zh-CN"/>
                    </w:rPr>
                  </w:pPr>
                  <w:r>
                    <w:rPr>
                      <w:rFonts w:hint="eastAsia"/>
                      <w:color w:val="auto"/>
                      <w:szCs w:val="22"/>
                      <w:lang w:val="en-US" w:eastAsia="zh-CN"/>
                    </w:rPr>
                    <w:t>14.44</w:t>
                  </w:r>
                </w:p>
              </w:tc>
              <w:tc>
                <w:tcPr>
                  <w:tcW w:w="650" w:type="dxa"/>
                  <w:vAlign w:val="center"/>
                </w:tcPr>
                <w:p>
                  <w:pPr>
                    <w:jc w:val="center"/>
                    <w:rPr>
                      <w:color w:val="auto"/>
                      <w:szCs w:val="22"/>
                    </w:rPr>
                  </w:pPr>
                  <w:r>
                    <w:rPr>
                      <w:rFonts w:hint="eastAsia"/>
                      <w:color w:val="auto"/>
                      <w:szCs w:val="22"/>
                    </w:rPr>
                    <w:t>25</w:t>
                  </w:r>
                </w:p>
              </w:tc>
              <w:tc>
                <w:tcPr>
                  <w:tcW w:w="677" w:type="dxa"/>
                  <w:vAlign w:val="center"/>
                </w:tcPr>
                <w:p>
                  <w:pPr>
                    <w:jc w:val="center"/>
                    <w:rPr>
                      <w:rFonts w:hint="default" w:eastAsia="宋体"/>
                      <w:color w:val="auto"/>
                      <w:szCs w:val="22"/>
                      <w:lang w:val="en-US" w:eastAsia="zh-CN"/>
                    </w:rPr>
                  </w:pPr>
                  <w:r>
                    <w:rPr>
                      <w:rFonts w:hint="eastAsia"/>
                      <w:color w:val="auto"/>
                      <w:szCs w:val="22"/>
                      <w:lang w:val="en-US" w:eastAsia="zh-CN"/>
                    </w:rPr>
                    <w:t>60</w:t>
                  </w:r>
                </w:p>
              </w:tc>
              <w:tc>
                <w:tcPr>
                  <w:tcW w:w="620" w:type="dxa"/>
                  <w:vAlign w:val="center"/>
                </w:tcPr>
                <w:p>
                  <w:pPr>
                    <w:jc w:val="center"/>
                    <w:rPr>
                      <w:color w:val="auto"/>
                      <w:szCs w:val="22"/>
                    </w:rPr>
                  </w:pPr>
                  <w:r>
                    <w:rPr>
                      <w:rFonts w:hint="eastAsia"/>
                      <w:color w:val="auto"/>
                      <w:szCs w:val="22"/>
                    </w:rPr>
                    <w:t>连续</w:t>
                  </w:r>
                </w:p>
              </w:tc>
              <w:tc>
                <w:tcPr>
                  <w:tcW w:w="689" w:type="dxa"/>
                  <w:vAlign w:val="center"/>
                </w:tcPr>
                <w:p>
                  <w:pPr>
                    <w:jc w:val="center"/>
                    <w:rPr>
                      <w:rFonts w:hint="default" w:eastAsia="宋体"/>
                      <w:color w:val="auto"/>
                      <w:szCs w:val="22"/>
                      <w:lang w:val="en-US" w:eastAsia="zh-CN"/>
                    </w:rPr>
                  </w:pPr>
                  <w:r>
                    <w:rPr>
                      <w:rFonts w:hint="eastAsia"/>
                      <w:color w:val="auto"/>
                      <w:szCs w:val="22"/>
                      <w:lang w:val="en-US" w:eastAsia="zh-CN"/>
                    </w:rPr>
                    <w:t>0.014</w:t>
                  </w:r>
                </w:p>
              </w:tc>
              <w:tc>
                <w:tcPr>
                  <w:tcW w:w="690" w:type="dxa"/>
                  <w:vAlign w:val="center"/>
                </w:tcPr>
                <w:p>
                  <w:pPr>
                    <w:jc w:val="center"/>
                    <w:rPr>
                      <w:rFonts w:hint="eastAsia" w:ascii="Times New Roman" w:hAnsi="Times New Roman" w:eastAsia="宋体" w:cs="Times New Roman"/>
                      <w:color w:val="auto"/>
                      <w:kern w:val="2"/>
                      <w:sz w:val="21"/>
                      <w:szCs w:val="22"/>
                      <w:lang w:val="en-US" w:eastAsia="zh-CN" w:bidi="ar-SA"/>
                    </w:rPr>
                  </w:pPr>
                  <w:r>
                    <w:rPr>
                      <w:rFonts w:hint="eastAsia"/>
                      <w:color w:val="auto"/>
                      <w:szCs w:val="22"/>
                      <w:lang w:val="en-US" w:eastAsia="zh-CN"/>
                    </w:rPr>
                    <w:t>0.001</w:t>
                  </w:r>
                </w:p>
              </w:tc>
            </w:tr>
          </w:tbl>
          <w:p>
            <w:pPr>
              <w:ind w:firstLine="420" w:firstLineChars="200"/>
              <w:jc w:val="center"/>
              <w:rPr>
                <w:b/>
                <w:color w:val="auto"/>
                <w:szCs w:val="21"/>
              </w:rPr>
            </w:pPr>
            <w:r>
              <w:rPr>
                <w:b/>
                <w:color w:val="auto"/>
                <w:szCs w:val="21"/>
              </w:rPr>
              <w:t>表7-3  项目污染源参数（面源）</w:t>
            </w:r>
          </w:p>
          <w:tbl>
            <w:tblPr>
              <w:tblStyle w:val="56"/>
              <w:tblW w:w="4995" w:type="pct"/>
              <w:tblInd w:w="0" w:type="dxa"/>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427"/>
              <w:gridCol w:w="1420"/>
              <w:gridCol w:w="1347"/>
              <w:gridCol w:w="604"/>
              <w:gridCol w:w="622"/>
              <w:gridCol w:w="696"/>
              <w:gridCol w:w="812"/>
              <w:gridCol w:w="728"/>
              <w:gridCol w:w="625"/>
              <w:gridCol w:w="689"/>
              <w:gridCol w:w="690"/>
            </w:tblGrid>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269" w:type="pct"/>
                  <w:vMerge w:val="restart"/>
                  <w:vAlign w:val="center"/>
                </w:tcPr>
                <w:p>
                  <w:pPr>
                    <w:jc w:val="center"/>
                    <w:rPr>
                      <w:b/>
                      <w:color w:val="auto"/>
                      <w:szCs w:val="21"/>
                    </w:rPr>
                  </w:pPr>
                  <w:r>
                    <w:rPr>
                      <w:b/>
                      <w:color w:val="auto"/>
                      <w:szCs w:val="21"/>
                    </w:rPr>
                    <w:t>名称</w:t>
                  </w:r>
                </w:p>
              </w:tc>
              <w:tc>
                <w:tcPr>
                  <w:tcW w:w="1649" w:type="pct"/>
                  <w:gridSpan w:val="2"/>
                  <w:vAlign w:val="center"/>
                </w:tcPr>
                <w:p>
                  <w:pPr>
                    <w:jc w:val="center"/>
                    <w:rPr>
                      <w:b/>
                      <w:color w:val="auto"/>
                      <w:szCs w:val="21"/>
                    </w:rPr>
                  </w:pPr>
                  <w:r>
                    <w:rPr>
                      <w:b/>
                      <w:color w:val="auto"/>
                      <w:szCs w:val="21"/>
                    </w:rPr>
                    <w:t>面源起点坐标</w:t>
                  </w:r>
                </w:p>
              </w:tc>
              <w:tc>
                <w:tcPr>
                  <w:tcW w:w="374" w:type="pct"/>
                  <w:vMerge w:val="restart"/>
                  <w:vAlign w:val="center"/>
                </w:tcPr>
                <w:p>
                  <w:pPr>
                    <w:jc w:val="center"/>
                    <w:rPr>
                      <w:b/>
                      <w:color w:val="auto"/>
                      <w:szCs w:val="21"/>
                    </w:rPr>
                  </w:pPr>
                  <w:r>
                    <w:rPr>
                      <w:b/>
                      <w:color w:val="auto"/>
                      <w:szCs w:val="21"/>
                    </w:rPr>
                    <w:t>面源长度/m</w:t>
                  </w:r>
                </w:p>
              </w:tc>
              <w:tc>
                <w:tcPr>
                  <w:tcW w:w="384" w:type="pct"/>
                  <w:vMerge w:val="restart"/>
                  <w:vAlign w:val="center"/>
                </w:tcPr>
                <w:p>
                  <w:pPr>
                    <w:jc w:val="center"/>
                    <w:rPr>
                      <w:b/>
                      <w:color w:val="auto"/>
                      <w:szCs w:val="21"/>
                    </w:rPr>
                  </w:pPr>
                  <w:r>
                    <w:rPr>
                      <w:b/>
                      <w:color w:val="auto"/>
                      <w:szCs w:val="21"/>
                    </w:rPr>
                    <w:t>面源宽度/m</w:t>
                  </w:r>
                </w:p>
              </w:tc>
              <w:tc>
                <w:tcPr>
                  <w:tcW w:w="427" w:type="pct"/>
                  <w:vMerge w:val="restart"/>
                  <w:vAlign w:val="center"/>
                </w:tcPr>
                <w:p>
                  <w:pPr>
                    <w:jc w:val="center"/>
                    <w:rPr>
                      <w:b/>
                      <w:color w:val="auto"/>
                      <w:szCs w:val="21"/>
                    </w:rPr>
                  </w:pPr>
                  <w:r>
                    <w:rPr>
                      <w:b/>
                      <w:color w:val="auto"/>
                      <w:szCs w:val="21"/>
                    </w:rPr>
                    <w:t>与正北向夹角/°</w:t>
                  </w:r>
                </w:p>
              </w:tc>
              <w:tc>
                <w:tcPr>
                  <w:tcW w:w="494" w:type="pct"/>
                  <w:vMerge w:val="restart"/>
                  <w:vAlign w:val="center"/>
                </w:tcPr>
                <w:p>
                  <w:pPr>
                    <w:jc w:val="center"/>
                    <w:rPr>
                      <w:b/>
                      <w:color w:val="auto"/>
                      <w:szCs w:val="21"/>
                    </w:rPr>
                  </w:pPr>
                  <w:r>
                    <w:rPr>
                      <w:b/>
                      <w:color w:val="auto"/>
                      <w:szCs w:val="21"/>
                    </w:rPr>
                    <w:t>面源有效排放高度/m</w:t>
                  </w:r>
                </w:p>
              </w:tc>
              <w:tc>
                <w:tcPr>
                  <w:tcW w:w="445" w:type="pct"/>
                  <w:vMerge w:val="restart"/>
                  <w:vAlign w:val="center"/>
                </w:tcPr>
                <w:p>
                  <w:pPr>
                    <w:jc w:val="center"/>
                    <w:rPr>
                      <w:b/>
                      <w:color w:val="auto"/>
                      <w:szCs w:val="21"/>
                    </w:rPr>
                  </w:pPr>
                  <w:r>
                    <w:rPr>
                      <w:b/>
                      <w:color w:val="auto"/>
                      <w:szCs w:val="21"/>
                    </w:rPr>
                    <w:t>年排放小时数/h</w:t>
                  </w:r>
                </w:p>
              </w:tc>
              <w:tc>
                <w:tcPr>
                  <w:tcW w:w="386" w:type="pct"/>
                  <w:vMerge w:val="restart"/>
                  <w:vAlign w:val="center"/>
                </w:tcPr>
                <w:p>
                  <w:pPr>
                    <w:jc w:val="center"/>
                    <w:rPr>
                      <w:b/>
                      <w:color w:val="auto"/>
                      <w:szCs w:val="21"/>
                    </w:rPr>
                  </w:pPr>
                  <w:r>
                    <w:rPr>
                      <w:b/>
                      <w:color w:val="auto"/>
                      <w:szCs w:val="21"/>
                    </w:rPr>
                    <w:t>排放工况</w:t>
                  </w:r>
                </w:p>
              </w:tc>
              <w:tc>
                <w:tcPr>
                  <w:tcW w:w="567" w:type="pct"/>
                  <w:gridSpan w:val="2"/>
                  <w:vAlign w:val="center"/>
                </w:tcPr>
                <w:p>
                  <w:pPr>
                    <w:jc w:val="center"/>
                    <w:rPr>
                      <w:b/>
                      <w:color w:val="auto"/>
                      <w:szCs w:val="21"/>
                    </w:rPr>
                  </w:pPr>
                  <w:r>
                    <w:rPr>
                      <w:b/>
                      <w:color w:val="auto"/>
                      <w:szCs w:val="21"/>
                    </w:rPr>
                    <w:t>污染物排放速率/（kg/h)</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269" w:type="pct"/>
                  <w:vMerge w:val="continue"/>
                  <w:vAlign w:val="center"/>
                </w:tcPr>
                <w:p>
                  <w:pPr>
                    <w:jc w:val="center"/>
                    <w:rPr>
                      <w:color w:val="auto"/>
                    </w:rPr>
                  </w:pPr>
                </w:p>
              </w:tc>
              <w:tc>
                <w:tcPr>
                  <w:tcW w:w="847" w:type="pct"/>
                  <w:vAlign w:val="center"/>
                </w:tcPr>
                <w:p>
                  <w:pPr>
                    <w:jc w:val="center"/>
                    <w:rPr>
                      <w:b/>
                      <w:color w:val="auto"/>
                      <w:sz w:val="18"/>
                      <w:szCs w:val="18"/>
                    </w:rPr>
                  </w:pPr>
                  <w:r>
                    <w:rPr>
                      <w:b/>
                      <w:color w:val="auto"/>
                      <w:sz w:val="18"/>
                      <w:szCs w:val="18"/>
                    </w:rPr>
                    <w:t>X</w:t>
                  </w:r>
                </w:p>
              </w:tc>
              <w:tc>
                <w:tcPr>
                  <w:tcW w:w="801" w:type="pct"/>
                  <w:vAlign w:val="center"/>
                </w:tcPr>
                <w:p>
                  <w:pPr>
                    <w:jc w:val="center"/>
                    <w:rPr>
                      <w:b/>
                      <w:color w:val="auto"/>
                      <w:sz w:val="18"/>
                      <w:szCs w:val="18"/>
                    </w:rPr>
                  </w:pPr>
                  <w:r>
                    <w:rPr>
                      <w:b/>
                      <w:color w:val="auto"/>
                      <w:sz w:val="18"/>
                      <w:szCs w:val="18"/>
                    </w:rPr>
                    <w:t>Y</w:t>
                  </w:r>
                </w:p>
              </w:tc>
              <w:tc>
                <w:tcPr>
                  <w:tcW w:w="374" w:type="pct"/>
                  <w:vMerge w:val="continue"/>
                  <w:vAlign w:val="center"/>
                </w:tcPr>
                <w:p>
                  <w:pPr>
                    <w:jc w:val="center"/>
                    <w:rPr>
                      <w:color w:val="auto"/>
                    </w:rPr>
                  </w:pPr>
                </w:p>
              </w:tc>
              <w:tc>
                <w:tcPr>
                  <w:tcW w:w="384" w:type="pct"/>
                  <w:vMerge w:val="continue"/>
                  <w:vAlign w:val="center"/>
                </w:tcPr>
                <w:p>
                  <w:pPr>
                    <w:jc w:val="center"/>
                    <w:rPr>
                      <w:color w:val="auto"/>
                    </w:rPr>
                  </w:pPr>
                </w:p>
              </w:tc>
              <w:tc>
                <w:tcPr>
                  <w:tcW w:w="427" w:type="pct"/>
                  <w:vMerge w:val="continue"/>
                  <w:vAlign w:val="center"/>
                </w:tcPr>
                <w:p>
                  <w:pPr>
                    <w:jc w:val="center"/>
                    <w:rPr>
                      <w:color w:val="auto"/>
                    </w:rPr>
                  </w:pPr>
                </w:p>
              </w:tc>
              <w:tc>
                <w:tcPr>
                  <w:tcW w:w="494" w:type="pct"/>
                  <w:vMerge w:val="continue"/>
                  <w:vAlign w:val="center"/>
                </w:tcPr>
                <w:p>
                  <w:pPr>
                    <w:jc w:val="center"/>
                    <w:rPr>
                      <w:color w:val="auto"/>
                    </w:rPr>
                  </w:pPr>
                </w:p>
              </w:tc>
              <w:tc>
                <w:tcPr>
                  <w:tcW w:w="445" w:type="pct"/>
                  <w:vMerge w:val="continue"/>
                  <w:vAlign w:val="center"/>
                </w:tcPr>
                <w:p>
                  <w:pPr>
                    <w:jc w:val="center"/>
                    <w:rPr>
                      <w:color w:val="auto"/>
                    </w:rPr>
                  </w:pPr>
                </w:p>
              </w:tc>
              <w:tc>
                <w:tcPr>
                  <w:tcW w:w="386" w:type="pct"/>
                  <w:vMerge w:val="continue"/>
                  <w:vAlign w:val="center"/>
                </w:tcPr>
                <w:p>
                  <w:pPr>
                    <w:jc w:val="center"/>
                    <w:rPr>
                      <w:color w:val="auto"/>
                    </w:rPr>
                  </w:pPr>
                </w:p>
              </w:tc>
              <w:tc>
                <w:tcPr>
                  <w:tcW w:w="283" w:type="pct"/>
                  <w:vAlign w:val="center"/>
                </w:tcPr>
                <w:p>
                  <w:pPr>
                    <w:pStyle w:val="21"/>
                    <w:jc w:val="center"/>
                    <w:rPr>
                      <w:rFonts w:hint="default" w:eastAsia="宋体"/>
                      <w:b/>
                      <w:color w:val="auto"/>
                      <w:szCs w:val="21"/>
                      <w:lang w:val="en-US" w:eastAsia="zh-CN"/>
                    </w:rPr>
                  </w:pPr>
                  <w:r>
                    <w:rPr>
                      <w:rFonts w:hint="eastAsia"/>
                      <w:b/>
                      <w:color w:val="auto"/>
                      <w:szCs w:val="21"/>
                      <w:lang w:eastAsia="zh-CN"/>
                    </w:rPr>
                    <w:t>粉尘</w:t>
                  </w:r>
                  <w:r>
                    <w:rPr>
                      <w:rFonts w:hint="eastAsia"/>
                      <w:b/>
                      <w:color w:val="auto"/>
                      <w:szCs w:val="21"/>
                      <w:lang w:val="en-US" w:eastAsia="zh-CN"/>
                    </w:rPr>
                    <w:t xml:space="preserve"> </w:t>
                  </w:r>
                </w:p>
              </w:tc>
              <w:tc>
                <w:tcPr>
                  <w:tcW w:w="473" w:type="dxa"/>
                  <w:vAlign w:val="center"/>
                </w:tcPr>
                <w:p>
                  <w:pPr>
                    <w:pStyle w:val="21"/>
                    <w:jc w:val="center"/>
                    <w:rPr>
                      <w:rFonts w:hint="eastAsia"/>
                      <w:b/>
                      <w:color w:val="auto"/>
                      <w:szCs w:val="21"/>
                      <w:lang w:eastAsia="zh-CN"/>
                    </w:rPr>
                  </w:pPr>
                  <w:r>
                    <w:rPr>
                      <w:rFonts w:hint="eastAsia"/>
                      <w:b/>
                      <w:color w:val="auto"/>
                      <w:szCs w:val="21"/>
                      <w:lang w:eastAsia="zh-CN"/>
                    </w:rPr>
                    <w:t>非甲烷总烃</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269" w:type="pct"/>
                  <w:vAlign w:val="center"/>
                </w:tcPr>
                <w:p>
                  <w:pPr>
                    <w:jc w:val="center"/>
                    <w:rPr>
                      <w:color w:val="auto"/>
                    </w:rPr>
                  </w:pPr>
                  <w:r>
                    <w:rPr>
                      <w:rFonts w:hint="eastAsia"/>
                      <w:b/>
                      <w:color w:val="auto"/>
                      <w:spacing w:val="-20"/>
                      <w:sz w:val="18"/>
                      <w:szCs w:val="18"/>
                    </w:rPr>
                    <w:t>生产车间</w:t>
                  </w:r>
                </w:p>
              </w:tc>
              <w:tc>
                <w:tcPr>
                  <w:tcW w:w="847" w:type="pct"/>
                  <w:vAlign w:val="center"/>
                </w:tcPr>
                <w:p>
                  <w:pPr>
                    <w:jc w:val="center"/>
                    <w:rPr>
                      <w:rFonts w:hint="default" w:eastAsia="宋体"/>
                      <w:color w:val="auto"/>
                      <w:lang w:val="en-US" w:eastAsia="zh-CN"/>
                    </w:rPr>
                  </w:pPr>
                  <w:r>
                    <w:rPr>
                      <w:rFonts w:hint="eastAsia"/>
                      <w:color w:val="auto"/>
                    </w:rPr>
                    <w:t>119.</w:t>
                  </w:r>
                  <w:r>
                    <w:rPr>
                      <w:rFonts w:hint="eastAsia"/>
                      <w:color w:val="auto"/>
                      <w:lang w:val="en-US" w:eastAsia="zh-CN"/>
                    </w:rPr>
                    <w:t>633328</w:t>
                  </w:r>
                </w:p>
              </w:tc>
              <w:tc>
                <w:tcPr>
                  <w:tcW w:w="801" w:type="pct"/>
                  <w:vAlign w:val="center"/>
                </w:tcPr>
                <w:p>
                  <w:pPr>
                    <w:jc w:val="center"/>
                    <w:rPr>
                      <w:rFonts w:hint="default" w:eastAsia="宋体"/>
                      <w:color w:val="auto"/>
                      <w:lang w:val="en-US" w:eastAsia="zh-CN"/>
                    </w:rPr>
                  </w:pPr>
                  <w:r>
                    <w:rPr>
                      <w:rFonts w:hint="eastAsia"/>
                      <w:color w:val="auto"/>
                    </w:rPr>
                    <w:t>31.</w:t>
                  </w:r>
                  <w:r>
                    <w:rPr>
                      <w:rFonts w:hint="eastAsia"/>
                      <w:color w:val="auto"/>
                      <w:lang w:val="en-US" w:eastAsia="zh-CN"/>
                    </w:rPr>
                    <w:t>755663</w:t>
                  </w:r>
                </w:p>
              </w:tc>
              <w:tc>
                <w:tcPr>
                  <w:tcW w:w="374" w:type="pct"/>
                  <w:vAlign w:val="center"/>
                </w:tcPr>
                <w:p>
                  <w:pPr>
                    <w:jc w:val="center"/>
                    <w:rPr>
                      <w:rFonts w:hint="default" w:eastAsia="宋体"/>
                      <w:color w:val="auto"/>
                      <w:szCs w:val="21"/>
                      <w:lang w:val="en-US" w:eastAsia="zh-CN"/>
                    </w:rPr>
                  </w:pPr>
                  <w:r>
                    <w:rPr>
                      <w:rFonts w:hint="eastAsia"/>
                      <w:color w:val="auto"/>
                      <w:szCs w:val="21"/>
                      <w:lang w:val="en-US" w:eastAsia="zh-CN"/>
                    </w:rPr>
                    <w:t>47.4</w:t>
                  </w:r>
                </w:p>
              </w:tc>
              <w:tc>
                <w:tcPr>
                  <w:tcW w:w="384" w:type="pct"/>
                  <w:vAlign w:val="center"/>
                </w:tcPr>
                <w:p>
                  <w:pPr>
                    <w:jc w:val="center"/>
                    <w:rPr>
                      <w:rFonts w:hint="default" w:eastAsia="宋体"/>
                      <w:color w:val="auto"/>
                      <w:szCs w:val="21"/>
                      <w:lang w:val="en-US" w:eastAsia="zh-CN"/>
                    </w:rPr>
                  </w:pPr>
                  <w:r>
                    <w:rPr>
                      <w:rFonts w:hint="eastAsia"/>
                      <w:color w:val="auto"/>
                      <w:szCs w:val="21"/>
                      <w:lang w:val="en-US" w:eastAsia="zh-CN"/>
                    </w:rPr>
                    <w:t>44.8</w:t>
                  </w:r>
                </w:p>
              </w:tc>
              <w:tc>
                <w:tcPr>
                  <w:tcW w:w="427" w:type="pct"/>
                  <w:vAlign w:val="center"/>
                </w:tcPr>
                <w:p>
                  <w:pPr>
                    <w:jc w:val="center"/>
                    <w:rPr>
                      <w:color w:val="auto"/>
                      <w:szCs w:val="21"/>
                    </w:rPr>
                  </w:pPr>
                  <w:r>
                    <w:rPr>
                      <w:rFonts w:hint="eastAsia"/>
                      <w:color w:val="auto"/>
                      <w:szCs w:val="21"/>
                    </w:rPr>
                    <w:t>0</w:t>
                  </w:r>
                </w:p>
              </w:tc>
              <w:tc>
                <w:tcPr>
                  <w:tcW w:w="494" w:type="pct"/>
                  <w:vAlign w:val="center"/>
                </w:tcPr>
                <w:p>
                  <w:pPr>
                    <w:jc w:val="center"/>
                    <w:rPr>
                      <w:color w:val="auto"/>
                    </w:rPr>
                  </w:pPr>
                  <w:r>
                    <w:rPr>
                      <w:rFonts w:hint="eastAsia"/>
                      <w:color w:val="auto"/>
                    </w:rPr>
                    <w:t>6</w:t>
                  </w:r>
                </w:p>
              </w:tc>
              <w:tc>
                <w:tcPr>
                  <w:tcW w:w="445" w:type="pct"/>
                  <w:vAlign w:val="center"/>
                </w:tcPr>
                <w:p>
                  <w:pPr>
                    <w:jc w:val="center"/>
                    <w:rPr>
                      <w:rFonts w:hint="default" w:eastAsia="宋体"/>
                      <w:color w:val="auto"/>
                      <w:lang w:val="en-US" w:eastAsia="zh-CN"/>
                    </w:rPr>
                  </w:pPr>
                  <w:r>
                    <w:rPr>
                      <w:rFonts w:hint="eastAsia"/>
                      <w:color w:val="auto"/>
                      <w:lang w:val="en-US" w:eastAsia="zh-CN"/>
                    </w:rPr>
                    <w:t>60</w:t>
                  </w:r>
                </w:p>
              </w:tc>
              <w:tc>
                <w:tcPr>
                  <w:tcW w:w="386" w:type="pct"/>
                  <w:vAlign w:val="center"/>
                </w:tcPr>
                <w:p>
                  <w:pPr>
                    <w:jc w:val="center"/>
                    <w:rPr>
                      <w:color w:val="auto"/>
                    </w:rPr>
                  </w:pPr>
                  <w:r>
                    <w:rPr>
                      <w:rFonts w:hint="eastAsia"/>
                      <w:color w:val="auto"/>
                      <w:szCs w:val="21"/>
                    </w:rPr>
                    <w:t>连续</w:t>
                  </w:r>
                </w:p>
              </w:tc>
              <w:tc>
                <w:tcPr>
                  <w:tcW w:w="283" w:type="pct"/>
                  <w:vAlign w:val="center"/>
                </w:tcPr>
                <w:p>
                  <w:pPr>
                    <w:jc w:val="center"/>
                    <w:rPr>
                      <w:rFonts w:hint="default" w:eastAsia="宋体"/>
                      <w:color w:val="auto"/>
                      <w:szCs w:val="22"/>
                      <w:lang w:val="en-US" w:eastAsia="zh-CN"/>
                    </w:rPr>
                  </w:pPr>
                  <w:r>
                    <w:rPr>
                      <w:rFonts w:hint="eastAsia"/>
                      <w:color w:val="auto"/>
                      <w:szCs w:val="22"/>
                      <w:lang w:val="en-US" w:eastAsia="zh-CN"/>
                    </w:rPr>
                    <w:t>0.028</w:t>
                  </w:r>
                </w:p>
              </w:tc>
              <w:tc>
                <w:tcPr>
                  <w:tcW w:w="473" w:type="dxa"/>
                  <w:vAlign w:val="center"/>
                </w:tcPr>
                <w:p>
                  <w:pPr>
                    <w:jc w:val="center"/>
                    <w:rPr>
                      <w:rFonts w:hint="eastAsia"/>
                      <w:color w:val="auto"/>
                      <w:szCs w:val="22"/>
                    </w:rPr>
                  </w:pPr>
                  <w:r>
                    <w:rPr>
                      <w:rFonts w:hint="eastAsia"/>
                      <w:color w:val="auto"/>
                      <w:szCs w:val="22"/>
                    </w:rPr>
                    <w:t>0.0</w:t>
                  </w:r>
                  <w:r>
                    <w:rPr>
                      <w:rFonts w:hint="eastAsia"/>
                      <w:color w:val="auto"/>
                      <w:szCs w:val="22"/>
                      <w:lang w:val="en-US" w:eastAsia="zh-CN"/>
                    </w:rPr>
                    <w:t>01</w:t>
                  </w:r>
                </w:p>
              </w:tc>
            </w:tr>
          </w:tbl>
          <w:p>
            <w:pPr>
              <w:spacing w:line="360" w:lineRule="auto"/>
              <w:ind w:firstLine="480" w:firstLineChars="200"/>
              <w:rPr>
                <w:color w:val="auto"/>
                <w:sz w:val="24"/>
              </w:rPr>
            </w:pPr>
            <w:r>
              <w:rPr>
                <w:rFonts w:hint="eastAsia" w:ascii="宋体"/>
                <w:color w:val="auto"/>
                <w:sz w:val="24"/>
              </w:rPr>
              <w:t>③</w:t>
            </w:r>
            <w:r>
              <w:rPr>
                <w:color w:val="auto"/>
                <w:sz w:val="24"/>
              </w:rPr>
              <w:t>预测模式</w:t>
            </w:r>
          </w:p>
          <w:p>
            <w:pPr>
              <w:spacing w:line="360" w:lineRule="auto"/>
              <w:ind w:firstLine="480" w:firstLineChars="200"/>
              <w:rPr>
                <w:color w:val="auto"/>
                <w:sz w:val="24"/>
              </w:rPr>
            </w:pPr>
            <w:r>
              <w:rPr>
                <w:color w:val="auto"/>
                <w:sz w:val="24"/>
              </w:rPr>
              <w:t>根据《环境影响评价技术导则 大气环境》（HJ2.2-2018）中的相关规定及要求，采用</w:t>
            </w:r>
            <w:r>
              <w:rPr>
                <w:rFonts w:hint="eastAsia"/>
                <w:color w:val="auto"/>
                <w:sz w:val="24"/>
              </w:rPr>
              <w:t>AER</w:t>
            </w:r>
            <w:r>
              <w:rPr>
                <w:color w:val="auto"/>
                <w:sz w:val="24"/>
              </w:rPr>
              <w:t>SCREEN模型对项目废气进行预测。</w:t>
            </w:r>
          </w:p>
          <w:p>
            <w:pPr>
              <w:ind w:firstLine="420" w:firstLineChars="200"/>
              <w:jc w:val="center"/>
              <w:rPr>
                <w:b/>
                <w:color w:val="auto"/>
                <w:szCs w:val="21"/>
              </w:rPr>
            </w:pPr>
            <w:r>
              <w:rPr>
                <w:rFonts w:hint="eastAsia"/>
                <w:b/>
                <w:color w:val="auto"/>
                <w:szCs w:val="21"/>
              </w:rPr>
              <w:t>表 7-4 估算模型参数表</w:t>
            </w:r>
          </w:p>
          <w:tbl>
            <w:tblPr>
              <w:tblStyle w:val="56"/>
              <w:tblW w:w="8312" w:type="dxa"/>
              <w:jc w:val="center"/>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2770"/>
              <w:gridCol w:w="2771"/>
              <w:gridCol w:w="2771"/>
            </w:tblGrid>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5541" w:type="dxa"/>
                  <w:gridSpan w:val="2"/>
                  <w:vAlign w:val="center"/>
                </w:tcPr>
                <w:p>
                  <w:pPr>
                    <w:pStyle w:val="210"/>
                    <w:rPr>
                      <w:b/>
                      <w:color w:val="auto"/>
                    </w:rPr>
                  </w:pPr>
                  <w:r>
                    <w:rPr>
                      <w:rFonts w:hint="eastAsia"/>
                      <w:b/>
                      <w:color w:val="auto"/>
                    </w:rPr>
                    <w:t>参数</w:t>
                  </w:r>
                </w:p>
              </w:tc>
              <w:tc>
                <w:tcPr>
                  <w:tcW w:w="2771" w:type="dxa"/>
                  <w:vAlign w:val="center"/>
                </w:tcPr>
                <w:p>
                  <w:pPr>
                    <w:pStyle w:val="210"/>
                    <w:rPr>
                      <w:b/>
                      <w:color w:val="auto"/>
                    </w:rPr>
                  </w:pPr>
                  <w:r>
                    <w:rPr>
                      <w:rFonts w:hint="eastAsia"/>
                      <w:b/>
                      <w:color w:val="auto"/>
                    </w:rPr>
                    <w:t>取值</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770" w:type="dxa"/>
                  <w:vMerge w:val="restart"/>
                  <w:vAlign w:val="center"/>
                </w:tcPr>
                <w:p>
                  <w:pPr>
                    <w:pStyle w:val="210"/>
                    <w:rPr>
                      <w:color w:val="auto"/>
                    </w:rPr>
                  </w:pPr>
                  <w:r>
                    <w:rPr>
                      <w:rFonts w:hint="eastAsia"/>
                      <w:color w:val="auto"/>
                    </w:rPr>
                    <w:t>城市/农村选项</w:t>
                  </w:r>
                </w:p>
              </w:tc>
              <w:tc>
                <w:tcPr>
                  <w:tcW w:w="2771" w:type="dxa"/>
                  <w:vAlign w:val="center"/>
                </w:tcPr>
                <w:p>
                  <w:pPr>
                    <w:pStyle w:val="210"/>
                    <w:rPr>
                      <w:color w:val="auto"/>
                    </w:rPr>
                  </w:pPr>
                  <w:r>
                    <w:rPr>
                      <w:rFonts w:hint="eastAsia"/>
                      <w:color w:val="auto"/>
                    </w:rPr>
                    <w:t>城市/农村</w:t>
                  </w:r>
                </w:p>
              </w:tc>
              <w:tc>
                <w:tcPr>
                  <w:tcW w:w="2771" w:type="dxa"/>
                  <w:vAlign w:val="center"/>
                </w:tcPr>
                <w:p>
                  <w:pPr>
                    <w:pStyle w:val="210"/>
                    <w:rPr>
                      <w:color w:val="auto"/>
                    </w:rPr>
                  </w:pPr>
                  <w:r>
                    <w:rPr>
                      <w:rFonts w:hint="eastAsia"/>
                      <w:color w:val="auto"/>
                    </w:rPr>
                    <w:t>城市</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770" w:type="dxa"/>
                  <w:vMerge w:val="continue"/>
                  <w:vAlign w:val="center"/>
                </w:tcPr>
                <w:p>
                  <w:pPr>
                    <w:rPr>
                      <w:color w:val="auto"/>
                    </w:rPr>
                  </w:pPr>
                </w:p>
              </w:tc>
              <w:tc>
                <w:tcPr>
                  <w:tcW w:w="2771" w:type="dxa"/>
                  <w:vAlign w:val="center"/>
                </w:tcPr>
                <w:p>
                  <w:pPr>
                    <w:pStyle w:val="210"/>
                    <w:rPr>
                      <w:color w:val="auto"/>
                    </w:rPr>
                  </w:pPr>
                  <w:r>
                    <w:rPr>
                      <w:rFonts w:hint="eastAsia"/>
                      <w:color w:val="auto"/>
                    </w:rPr>
                    <w:t>人口数（城市选项）</w:t>
                  </w:r>
                </w:p>
              </w:tc>
              <w:tc>
                <w:tcPr>
                  <w:tcW w:w="2771" w:type="dxa"/>
                  <w:vAlign w:val="center"/>
                </w:tcPr>
                <w:p>
                  <w:pPr>
                    <w:pStyle w:val="210"/>
                    <w:rPr>
                      <w:color w:val="auto"/>
                      <w:lang w:val="en-US"/>
                    </w:rPr>
                  </w:pPr>
                  <w:r>
                    <w:rPr>
                      <w:rFonts w:hint="eastAsia"/>
                      <w:color w:val="auto"/>
                      <w:lang w:val="en-US"/>
                    </w:rPr>
                    <w:t>56万</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5541" w:type="dxa"/>
                  <w:gridSpan w:val="2"/>
                  <w:vAlign w:val="center"/>
                </w:tcPr>
                <w:p>
                  <w:pPr>
                    <w:pStyle w:val="210"/>
                    <w:rPr>
                      <w:color w:val="auto"/>
                    </w:rPr>
                  </w:pPr>
                  <w:r>
                    <w:rPr>
                      <w:rFonts w:hint="eastAsia"/>
                      <w:color w:val="auto"/>
                    </w:rPr>
                    <w:t>最高环境温度/℃</w:t>
                  </w:r>
                </w:p>
              </w:tc>
              <w:tc>
                <w:tcPr>
                  <w:tcW w:w="2771" w:type="dxa"/>
                  <w:vAlign w:val="center"/>
                </w:tcPr>
                <w:p>
                  <w:pPr>
                    <w:pStyle w:val="210"/>
                    <w:rPr>
                      <w:color w:val="auto"/>
                    </w:rPr>
                  </w:pPr>
                  <w:r>
                    <w:rPr>
                      <w:color w:val="auto"/>
                    </w:rPr>
                    <w:t>38.9</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5541" w:type="dxa"/>
                  <w:gridSpan w:val="2"/>
                  <w:vAlign w:val="center"/>
                </w:tcPr>
                <w:p>
                  <w:pPr>
                    <w:pStyle w:val="210"/>
                    <w:rPr>
                      <w:color w:val="auto"/>
                    </w:rPr>
                  </w:pPr>
                  <w:r>
                    <w:rPr>
                      <w:rFonts w:hint="eastAsia"/>
                      <w:color w:val="auto"/>
                    </w:rPr>
                    <w:t>最低环境温度/℃</w:t>
                  </w:r>
                </w:p>
              </w:tc>
              <w:tc>
                <w:tcPr>
                  <w:tcW w:w="2771" w:type="dxa"/>
                  <w:vAlign w:val="center"/>
                </w:tcPr>
                <w:p>
                  <w:pPr>
                    <w:pStyle w:val="210"/>
                    <w:rPr>
                      <w:color w:val="auto"/>
                    </w:rPr>
                  </w:pPr>
                  <w:r>
                    <w:rPr>
                      <w:rFonts w:hint="eastAsia"/>
                      <w:color w:val="auto"/>
                    </w:rPr>
                    <w:t>-</w:t>
                  </w:r>
                  <w:r>
                    <w:rPr>
                      <w:color w:val="auto"/>
                    </w:rPr>
                    <w:t>12.5</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5541" w:type="dxa"/>
                  <w:gridSpan w:val="2"/>
                  <w:vAlign w:val="center"/>
                </w:tcPr>
                <w:p>
                  <w:pPr>
                    <w:pStyle w:val="210"/>
                    <w:rPr>
                      <w:color w:val="auto"/>
                    </w:rPr>
                  </w:pPr>
                  <w:r>
                    <w:rPr>
                      <w:rFonts w:hint="eastAsia"/>
                      <w:color w:val="auto"/>
                    </w:rPr>
                    <w:t>土地利用类型</w:t>
                  </w:r>
                </w:p>
              </w:tc>
              <w:tc>
                <w:tcPr>
                  <w:tcW w:w="2771" w:type="dxa"/>
                  <w:vAlign w:val="center"/>
                </w:tcPr>
                <w:p>
                  <w:pPr>
                    <w:pStyle w:val="210"/>
                    <w:rPr>
                      <w:color w:val="auto"/>
                    </w:rPr>
                  </w:pPr>
                  <w:r>
                    <w:rPr>
                      <w:rFonts w:hint="eastAsia"/>
                      <w:color w:val="auto"/>
                    </w:rPr>
                    <w:t>城市</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5541" w:type="dxa"/>
                  <w:gridSpan w:val="2"/>
                  <w:vAlign w:val="center"/>
                </w:tcPr>
                <w:p>
                  <w:pPr>
                    <w:pStyle w:val="210"/>
                    <w:rPr>
                      <w:color w:val="auto"/>
                    </w:rPr>
                  </w:pPr>
                  <w:r>
                    <w:rPr>
                      <w:rFonts w:hint="eastAsia"/>
                      <w:color w:val="auto"/>
                    </w:rPr>
                    <w:t>区域湿度条件</w:t>
                  </w:r>
                </w:p>
              </w:tc>
              <w:tc>
                <w:tcPr>
                  <w:tcW w:w="2771" w:type="dxa"/>
                  <w:vAlign w:val="center"/>
                </w:tcPr>
                <w:p>
                  <w:pPr>
                    <w:pStyle w:val="210"/>
                    <w:rPr>
                      <w:color w:val="auto"/>
                    </w:rPr>
                  </w:pPr>
                  <w:r>
                    <w:rPr>
                      <w:rFonts w:hint="eastAsia"/>
                      <w:color w:val="auto"/>
                    </w:rPr>
                    <w:t>平均湿度</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770" w:type="dxa"/>
                  <w:vMerge w:val="restart"/>
                  <w:vAlign w:val="center"/>
                </w:tcPr>
                <w:p>
                  <w:pPr>
                    <w:pStyle w:val="210"/>
                    <w:rPr>
                      <w:color w:val="auto"/>
                    </w:rPr>
                  </w:pPr>
                  <w:r>
                    <w:rPr>
                      <w:rFonts w:hint="eastAsia"/>
                      <w:color w:val="auto"/>
                    </w:rPr>
                    <w:t>是否考虑地形</w:t>
                  </w:r>
                </w:p>
              </w:tc>
              <w:tc>
                <w:tcPr>
                  <w:tcW w:w="2771" w:type="dxa"/>
                  <w:vAlign w:val="center"/>
                </w:tcPr>
                <w:p>
                  <w:pPr>
                    <w:pStyle w:val="210"/>
                    <w:rPr>
                      <w:color w:val="auto"/>
                    </w:rPr>
                  </w:pPr>
                  <w:r>
                    <w:rPr>
                      <w:rFonts w:hint="eastAsia"/>
                      <w:color w:val="auto"/>
                    </w:rPr>
                    <w:t>考虑地形</w:t>
                  </w:r>
                </w:p>
              </w:tc>
              <w:tc>
                <w:tcPr>
                  <w:tcW w:w="2771" w:type="dxa"/>
                  <w:vAlign w:val="center"/>
                </w:tcPr>
                <w:p>
                  <w:pPr>
                    <w:pStyle w:val="210"/>
                    <w:rPr>
                      <w:color w:val="auto"/>
                    </w:rPr>
                  </w:pPr>
                  <w:r>
                    <w:rPr>
                      <w:rFonts w:hint="eastAsia"/>
                      <w:color w:val="auto"/>
                    </w:rPr>
                    <w:t>是□  否√</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770" w:type="dxa"/>
                  <w:vMerge w:val="continue"/>
                  <w:vAlign w:val="center"/>
                </w:tcPr>
                <w:p>
                  <w:pPr>
                    <w:rPr>
                      <w:color w:val="auto"/>
                    </w:rPr>
                  </w:pPr>
                </w:p>
              </w:tc>
              <w:tc>
                <w:tcPr>
                  <w:tcW w:w="2771" w:type="dxa"/>
                  <w:vAlign w:val="center"/>
                </w:tcPr>
                <w:p>
                  <w:pPr>
                    <w:pStyle w:val="210"/>
                    <w:rPr>
                      <w:color w:val="auto"/>
                    </w:rPr>
                  </w:pPr>
                  <w:r>
                    <w:rPr>
                      <w:rFonts w:hint="eastAsia"/>
                      <w:color w:val="auto"/>
                    </w:rPr>
                    <w:t>地形数据分辨率/m</w:t>
                  </w:r>
                </w:p>
              </w:tc>
              <w:tc>
                <w:tcPr>
                  <w:tcW w:w="2771" w:type="dxa"/>
                  <w:vAlign w:val="center"/>
                </w:tcPr>
                <w:p>
                  <w:pPr>
                    <w:pStyle w:val="210"/>
                    <w:rPr>
                      <w:color w:val="auto"/>
                    </w:rPr>
                  </w:pPr>
                  <w:r>
                    <w:rPr>
                      <w:rFonts w:hint="eastAsia"/>
                      <w:color w:val="auto"/>
                    </w:rPr>
                    <w:t>-</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770" w:type="dxa"/>
                  <w:vMerge w:val="restart"/>
                  <w:vAlign w:val="center"/>
                </w:tcPr>
                <w:p>
                  <w:pPr>
                    <w:pStyle w:val="210"/>
                    <w:rPr>
                      <w:color w:val="auto"/>
                    </w:rPr>
                  </w:pPr>
                  <w:r>
                    <w:rPr>
                      <w:rFonts w:hint="eastAsia"/>
                      <w:color w:val="auto"/>
                    </w:rPr>
                    <w:t>是否考虑岸线熏烟</w:t>
                  </w:r>
                </w:p>
              </w:tc>
              <w:tc>
                <w:tcPr>
                  <w:tcW w:w="2771" w:type="dxa"/>
                  <w:vAlign w:val="center"/>
                </w:tcPr>
                <w:p>
                  <w:pPr>
                    <w:pStyle w:val="210"/>
                    <w:rPr>
                      <w:color w:val="auto"/>
                    </w:rPr>
                  </w:pPr>
                  <w:r>
                    <w:rPr>
                      <w:rFonts w:hint="eastAsia"/>
                      <w:color w:val="auto"/>
                    </w:rPr>
                    <w:t>考虑岸线熏烟</w:t>
                  </w:r>
                </w:p>
              </w:tc>
              <w:tc>
                <w:tcPr>
                  <w:tcW w:w="2771" w:type="dxa"/>
                  <w:vAlign w:val="center"/>
                </w:tcPr>
                <w:p>
                  <w:pPr>
                    <w:pStyle w:val="210"/>
                    <w:rPr>
                      <w:color w:val="auto"/>
                    </w:rPr>
                  </w:pPr>
                  <w:r>
                    <w:rPr>
                      <w:rFonts w:hint="eastAsia"/>
                      <w:color w:val="auto"/>
                    </w:rPr>
                    <w:t>是□  否√</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770" w:type="dxa"/>
                  <w:vMerge w:val="continue"/>
                  <w:vAlign w:val="center"/>
                </w:tcPr>
                <w:p>
                  <w:pPr>
                    <w:rPr>
                      <w:color w:val="auto"/>
                    </w:rPr>
                  </w:pPr>
                </w:p>
              </w:tc>
              <w:tc>
                <w:tcPr>
                  <w:tcW w:w="2771" w:type="dxa"/>
                  <w:vAlign w:val="center"/>
                </w:tcPr>
                <w:p>
                  <w:pPr>
                    <w:pStyle w:val="210"/>
                    <w:rPr>
                      <w:color w:val="auto"/>
                    </w:rPr>
                  </w:pPr>
                  <w:r>
                    <w:rPr>
                      <w:rFonts w:hint="eastAsia"/>
                      <w:color w:val="auto"/>
                    </w:rPr>
                    <w:t>岸线距离/km</w:t>
                  </w:r>
                </w:p>
              </w:tc>
              <w:tc>
                <w:tcPr>
                  <w:tcW w:w="2771" w:type="dxa"/>
                  <w:vAlign w:val="center"/>
                </w:tcPr>
                <w:p>
                  <w:pPr>
                    <w:pStyle w:val="210"/>
                    <w:rPr>
                      <w:color w:val="auto"/>
                    </w:rPr>
                  </w:pPr>
                  <w:r>
                    <w:rPr>
                      <w:rFonts w:hint="eastAsia"/>
                      <w:color w:val="auto"/>
                    </w:rPr>
                    <w:t>-</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770" w:type="dxa"/>
                  <w:vMerge w:val="continue"/>
                  <w:vAlign w:val="center"/>
                </w:tcPr>
                <w:p>
                  <w:pPr>
                    <w:rPr>
                      <w:color w:val="auto"/>
                    </w:rPr>
                  </w:pPr>
                </w:p>
              </w:tc>
              <w:tc>
                <w:tcPr>
                  <w:tcW w:w="2771" w:type="dxa"/>
                  <w:vAlign w:val="center"/>
                </w:tcPr>
                <w:p>
                  <w:pPr>
                    <w:pStyle w:val="210"/>
                    <w:rPr>
                      <w:color w:val="auto"/>
                    </w:rPr>
                  </w:pPr>
                  <w:r>
                    <w:rPr>
                      <w:rFonts w:hint="eastAsia"/>
                      <w:color w:val="auto"/>
                    </w:rPr>
                    <w:t>岸线方向/°</w:t>
                  </w:r>
                </w:p>
              </w:tc>
              <w:tc>
                <w:tcPr>
                  <w:tcW w:w="2771" w:type="dxa"/>
                  <w:vAlign w:val="center"/>
                </w:tcPr>
                <w:p>
                  <w:pPr>
                    <w:pStyle w:val="210"/>
                    <w:rPr>
                      <w:color w:val="auto"/>
                    </w:rPr>
                  </w:pPr>
                  <w:r>
                    <w:rPr>
                      <w:rFonts w:hint="eastAsia"/>
                      <w:color w:val="auto"/>
                    </w:rPr>
                    <w:t>-</w:t>
                  </w:r>
                </w:p>
              </w:tc>
            </w:tr>
          </w:tbl>
          <w:p>
            <w:pPr>
              <w:widowControl/>
              <w:spacing w:line="360" w:lineRule="auto"/>
              <w:ind w:firstLine="480" w:firstLineChars="200"/>
              <w:rPr>
                <w:color w:val="auto"/>
                <w:sz w:val="24"/>
                <w:lang w:eastAsia="ja-JP"/>
              </w:rPr>
            </w:pPr>
            <w:r>
              <w:rPr>
                <w:rFonts w:hint="eastAsia" w:ascii="宋体"/>
                <w:color w:val="auto"/>
                <w:sz w:val="24"/>
              </w:rPr>
              <w:t>④</w:t>
            </w:r>
            <w:r>
              <w:rPr>
                <w:rFonts w:hint="eastAsia"/>
                <w:color w:val="auto"/>
                <w:sz w:val="24"/>
              </w:rPr>
              <w:t>评价等级判定</w:t>
            </w:r>
          </w:p>
          <w:p>
            <w:pPr>
              <w:pStyle w:val="747"/>
              <w:ind w:firstLine="480" w:firstLineChars="200"/>
              <w:rPr>
                <w:color w:val="auto"/>
              </w:rPr>
            </w:pPr>
            <w:r>
              <w:rPr>
                <w:color w:val="auto"/>
              </w:rPr>
              <w:t>根据《环境影响评价技术导则 大气环境》（HJ2.2-2018），采用推荐模式中的估算模型AERSCREEN对污染物的最大地面占标率Pi（第i个污染物）及第i个污染物的地面浓度达标准限值10%时所对应的最远距离D</w:t>
            </w:r>
            <w:r>
              <w:rPr>
                <w:color w:val="auto"/>
                <w:sz w:val="15"/>
                <w:szCs w:val="15"/>
              </w:rPr>
              <w:t>10%</w:t>
            </w:r>
            <w:r>
              <w:rPr>
                <w:color w:val="auto"/>
                <w:szCs w:val="24"/>
              </w:rPr>
              <w:t>进行计算。其中</w:t>
            </w:r>
            <w:r>
              <w:rPr>
                <w:color w:val="auto"/>
              </w:rPr>
              <w:t>Pi定义如下：</w:t>
            </w:r>
          </w:p>
          <w:p>
            <w:pPr>
              <w:pStyle w:val="747"/>
              <w:ind w:firstLine="480"/>
              <w:jc w:val="center"/>
              <w:rPr>
                <w:color w:val="auto"/>
              </w:rPr>
            </w:pPr>
            <w:r>
              <w:rPr>
                <w:i/>
                <w:iCs/>
                <w:color w:val="auto"/>
                <w:position w:val="-24"/>
              </w:rPr>
              <w:object>
                <v:shape id="_x0000_i1026" o:spt="75" type="#_x0000_t75" style="height:31.1pt;width:40.9pt;" o:ole="t" filled="f" o:preferrelative="t" stroked="f" coordsize="21600,21600">
                  <v:path/>
                  <v:fill on="f" focussize="0,0"/>
                  <v:stroke on="f" joinstyle="miter"/>
                  <v:imagedata r:id="rId18" o:title="203514921556505032489"/>
                  <o:lock v:ext="edit" aspectratio="t"/>
                  <w10:wrap type="none"/>
                  <w10:anchorlock/>
                </v:shape>
                <o:OLEObject Type="Embed" ProgID="Excel.Sheet.8" ShapeID="_x0000_i1026" DrawAspect="Content" ObjectID="_1468075726" r:id="rId17">
                  <o:LockedField>false</o:LockedField>
                </o:OLEObject>
              </w:object>
            </w:r>
            <w:r>
              <w:rPr>
                <w:iCs/>
                <w:color w:val="auto"/>
              </w:rPr>
              <w:t>×100%</w:t>
            </w:r>
          </w:p>
          <w:p>
            <w:pPr>
              <w:pStyle w:val="747"/>
              <w:ind w:firstLine="480" w:firstLineChars="200"/>
              <w:rPr>
                <w:color w:val="auto"/>
              </w:rPr>
            </w:pPr>
            <w:r>
              <w:rPr>
                <w:color w:val="auto"/>
              </w:rPr>
              <w:t>Pi—第i个污染物的最大地面浓度占标率，%；</w:t>
            </w:r>
          </w:p>
          <w:p>
            <w:pPr>
              <w:pStyle w:val="747"/>
              <w:ind w:firstLine="480" w:firstLineChars="200"/>
              <w:rPr>
                <w:color w:val="auto"/>
              </w:rPr>
            </w:pPr>
            <w:r>
              <w:rPr>
                <w:color w:val="auto"/>
              </w:rPr>
              <w:t>Ci—采用估算模式计算出的第i个污染物的最大地面浓度，mg/m</w:t>
            </w:r>
            <w:r>
              <w:rPr>
                <w:color w:val="auto"/>
                <w:vertAlign w:val="superscript"/>
              </w:rPr>
              <w:t>3</w:t>
            </w:r>
            <w:r>
              <w:rPr>
                <w:color w:val="auto"/>
              </w:rPr>
              <w:t>；</w:t>
            </w:r>
          </w:p>
          <w:p>
            <w:pPr>
              <w:pStyle w:val="747"/>
              <w:ind w:firstLine="480" w:firstLineChars="200"/>
              <w:rPr>
                <w:color w:val="auto"/>
              </w:rPr>
            </w:pPr>
            <w:r>
              <w:rPr>
                <w:color w:val="auto"/>
              </w:rPr>
              <w:t>C0i—第i个污染物的环境空气质量标准，mg/m</w:t>
            </w:r>
            <w:r>
              <w:rPr>
                <w:color w:val="auto"/>
                <w:vertAlign w:val="superscript"/>
              </w:rPr>
              <w:t>3</w:t>
            </w:r>
            <w:r>
              <w:rPr>
                <w:color w:val="auto"/>
              </w:rPr>
              <w:t>。</w:t>
            </w:r>
          </w:p>
          <w:p>
            <w:pPr>
              <w:ind w:firstLine="420" w:firstLineChars="200"/>
              <w:jc w:val="center"/>
              <w:rPr>
                <w:b/>
                <w:color w:val="auto"/>
                <w:szCs w:val="21"/>
              </w:rPr>
            </w:pPr>
            <w:r>
              <w:rPr>
                <w:rFonts w:hint="eastAsia"/>
                <w:b/>
                <w:color w:val="auto"/>
                <w:szCs w:val="21"/>
              </w:rPr>
              <w:t>表 7-5 大气环境评价工作等级分级判据</w:t>
            </w:r>
          </w:p>
          <w:tbl>
            <w:tblPr>
              <w:tblStyle w:val="56"/>
              <w:tblW w:w="8312" w:type="dxa"/>
              <w:tblInd w:w="0" w:type="dxa"/>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2098"/>
              <w:gridCol w:w="6214"/>
            </w:tblGrid>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2098" w:type="dxa"/>
                  <w:vAlign w:val="center"/>
                </w:tcPr>
                <w:p>
                  <w:pPr>
                    <w:pStyle w:val="210"/>
                    <w:rPr>
                      <w:b/>
                      <w:color w:val="auto"/>
                    </w:rPr>
                  </w:pPr>
                  <w:r>
                    <w:rPr>
                      <w:b/>
                      <w:color w:val="auto"/>
                    </w:rPr>
                    <w:t>评价工作等级</w:t>
                  </w:r>
                </w:p>
              </w:tc>
              <w:tc>
                <w:tcPr>
                  <w:tcW w:w="6214" w:type="dxa"/>
                  <w:vAlign w:val="center"/>
                </w:tcPr>
                <w:p>
                  <w:pPr>
                    <w:pStyle w:val="210"/>
                    <w:rPr>
                      <w:b/>
                      <w:color w:val="auto"/>
                    </w:rPr>
                  </w:pPr>
                  <w:r>
                    <w:rPr>
                      <w:b/>
                      <w:color w:val="auto"/>
                    </w:rPr>
                    <w:t>评价工作分级判据</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2098" w:type="dxa"/>
                  <w:vAlign w:val="center"/>
                </w:tcPr>
                <w:p>
                  <w:pPr>
                    <w:pStyle w:val="210"/>
                    <w:rPr>
                      <w:color w:val="auto"/>
                    </w:rPr>
                  </w:pPr>
                  <w:r>
                    <w:rPr>
                      <w:color w:val="auto"/>
                    </w:rPr>
                    <w:t>一级</w:t>
                  </w:r>
                </w:p>
              </w:tc>
              <w:tc>
                <w:tcPr>
                  <w:tcW w:w="6214" w:type="dxa"/>
                  <w:vAlign w:val="center"/>
                </w:tcPr>
                <w:p>
                  <w:pPr>
                    <w:pStyle w:val="210"/>
                    <w:rPr>
                      <w:color w:val="auto"/>
                    </w:rPr>
                  </w:pPr>
                  <w:r>
                    <w:rPr>
                      <w:color w:val="auto"/>
                    </w:rPr>
                    <w:t>Pmax≥10%</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2098" w:type="dxa"/>
                  <w:vAlign w:val="center"/>
                </w:tcPr>
                <w:p>
                  <w:pPr>
                    <w:pStyle w:val="210"/>
                    <w:rPr>
                      <w:color w:val="auto"/>
                    </w:rPr>
                  </w:pPr>
                  <w:r>
                    <w:rPr>
                      <w:color w:val="auto"/>
                    </w:rPr>
                    <w:t>二级</w:t>
                  </w:r>
                </w:p>
              </w:tc>
              <w:tc>
                <w:tcPr>
                  <w:tcW w:w="6214" w:type="dxa"/>
                  <w:vAlign w:val="center"/>
                </w:tcPr>
                <w:p>
                  <w:pPr>
                    <w:pStyle w:val="210"/>
                    <w:rPr>
                      <w:color w:val="auto"/>
                    </w:rPr>
                  </w:pPr>
                  <w:r>
                    <w:rPr>
                      <w:color w:val="auto"/>
                    </w:rPr>
                    <w:t>1%≤Pmax＜10%</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2098" w:type="dxa"/>
                  <w:vAlign w:val="center"/>
                </w:tcPr>
                <w:p>
                  <w:pPr>
                    <w:pStyle w:val="210"/>
                    <w:rPr>
                      <w:color w:val="auto"/>
                    </w:rPr>
                  </w:pPr>
                  <w:r>
                    <w:rPr>
                      <w:color w:val="auto"/>
                    </w:rPr>
                    <w:t>三级</w:t>
                  </w:r>
                </w:p>
              </w:tc>
              <w:tc>
                <w:tcPr>
                  <w:tcW w:w="6214" w:type="dxa"/>
                  <w:vAlign w:val="center"/>
                </w:tcPr>
                <w:p>
                  <w:pPr>
                    <w:pStyle w:val="210"/>
                    <w:rPr>
                      <w:color w:val="auto"/>
                    </w:rPr>
                  </w:pPr>
                  <w:r>
                    <w:rPr>
                      <w:color w:val="auto"/>
                    </w:rPr>
                    <w:t>Pmax＜1%</w:t>
                  </w:r>
                </w:p>
              </w:tc>
            </w:tr>
          </w:tbl>
          <w:p>
            <w:pPr>
              <w:spacing w:line="360" w:lineRule="auto"/>
              <w:ind w:firstLine="480" w:firstLineChars="200"/>
              <w:rPr>
                <w:color w:val="auto"/>
                <w:sz w:val="24"/>
                <w:lang w:eastAsia="ja-JP"/>
              </w:rPr>
            </w:pPr>
            <w:r>
              <w:rPr>
                <w:rFonts w:hint="eastAsia" w:ascii="宋体"/>
                <w:color w:val="auto"/>
                <w:sz w:val="24"/>
              </w:rPr>
              <w:t>⑤</w:t>
            </w:r>
            <w:r>
              <w:rPr>
                <w:rFonts w:hint="eastAsia"/>
                <w:color w:val="auto"/>
                <w:sz w:val="24"/>
              </w:rPr>
              <w:t>预测结果</w:t>
            </w:r>
          </w:p>
          <w:p>
            <w:pPr>
              <w:adjustRightInd w:val="0"/>
              <w:snapToGrid w:val="0"/>
              <w:spacing w:line="360" w:lineRule="auto"/>
              <w:ind w:firstLine="480" w:firstLineChars="200"/>
              <w:rPr>
                <w:b/>
                <w:bCs/>
                <w:color w:val="auto"/>
              </w:rPr>
            </w:pPr>
            <w:r>
              <w:rPr>
                <w:bCs/>
                <w:color w:val="auto"/>
                <w:sz w:val="24"/>
              </w:rPr>
              <w:t>废气正常工况下排放废气预测结果详见表7-</w:t>
            </w:r>
            <w:r>
              <w:rPr>
                <w:rFonts w:hint="eastAsia"/>
                <w:bCs/>
                <w:color w:val="auto"/>
                <w:sz w:val="24"/>
              </w:rPr>
              <w:t>6~7-7</w:t>
            </w:r>
            <w:r>
              <w:rPr>
                <w:bCs/>
                <w:color w:val="auto"/>
                <w:sz w:val="24"/>
              </w:rPr>
              <w:t>。预测结果汇总表详见表</w:t>
            </w:r>
            <w:r>
              <w:rPr>
                <w:rFonts w:hint="eastAsia"/>
                <w:bCs/>
                <w:color w:val="auto"/>
                <w:sz w:val="24"/>
              </w:rPr>
              <w:t>7-8</w:t>
            </w:r>
            <w:r>
              <w:rPr>
                <w:bCs/>
                <w:color w:val="auto"/>
                <w:sz w:val="24"/>
              </w:rPr>
              <w:t>。</w:t>
            </w:r>
          </w:p>
          <w:p>
            <w:pPr>
              <w:adjustRightInd w:val="0"/>
              <w:snapToGrid w:val="0"/>
              <w:jc w:val="center"/>
              <w:rPr>
                <w:b/>
                <w:bCs/>
                <w:color w:val="auto"/>
                <w:szCs w:val="22"/>
              </w:rPr>
            </w:pPr>
            <w:r>
              <w:rPr>
                <w:b/>
                <w:bCs/>
                <w:color w:val="auto"/>
                <w:szCs w:val="22"/>
              </w:rPr>
              <w:t>表7-</w:t>
            </w:r>
            <w:r>
              <w:rPr>
                <w:rFonts w:hint="eastAsia"/>
                <w:b/>
                <w:bCs/>
                <w:color w:val="auto"/>
                <w:szCs w:val="22"/>
              </w:rPr>
              <w:t>6</w:t>
            </w:r>
            <w:r>
              <w:rPr>
                <w:b/>
                <w:bCs/>
                <w:color w:val="auto"/>
                <w:szCs w:val="22"/>
              </w:rPr>
              <w:t xml:space="preserve">  本项目污染物有组织排放时最大地面浓度及占标率表</w:t>
            </w:r>
          </w:p>
          <w:tbl>
            <w:tblPr>
              <w:tblStyle w:val="56"/>
              <w:tblW w:w="4998" w:type="pct"/>
              <w:tblInd w:w="0" w:type="dxa"/>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997"/>
              <w:gridCol w:w="1666"/>
              <w:gridCol w:w="1666"/>
              <w:gridCol w:w="1694"/>
              <w:gridCol w:w="1643"/>
            </w:tblGrid>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152" w:type="pct"/>
                  <w:vMerge w:val="restart"/>
                  <w:tcBorders>
                    <w:top w:val="single" w:color="auto" w:sz="12" w:space="0"/>
                    <w:left w:val="nil"/>
                    <w:bottom w:val="single" w:color="auto" w:sz="4" w:space="0"/>
                    <w:right w:val="single" w:color="auto" w:sz="4" w:space="0"/>
                  </w:tcBorders>
                  <w:vAlign w:val="center"/>
                </w:tcPr>
                <w:p>
                  <w:pPr>
                    <w:pStyle w:val="210"/>
                    <w:rPr>
                      <w:b/>
                      <w:color w:val="auto"/>
                      <w:szCs w:val="21"/>
                    </w:rPr>
                  </w:pPr>
                  <w:r>
                    <w:rPr>
                      <w:b/>
                      <w:color w:val="auto"/>
                      <w:szCs w:val="21"/>
                    </w:rPr>
                    <w:t>下风向距离D/m</w:t>
                  </w:r>
                </w:p>
              </w:tc>
              <w:tc>
                <w:tcPr>
                  <w:tcW w:w="1922" w:type="pct"/>
                  <w:gridSpan w:val="2"/>
                  <w:tcBorders>
                    <w:top w:val="single" w:color="auto" w:sz="12" w:space="0"/>
                    <w:left w:val="single" w:color="auto" w:sz="4" w:space="0"/>
                    <w:bottom w:val="single" w:color="auto" w:sz="4" w:space="0"/>
                    <w:right w:val="nil"/>
                  </w:tcBorders>
                  <w:vAlign w:val="center"/>
                </w:tcPr>
                <w:p>
                  <w:pPr>
                    <w:pStyle w:val="210"/>
                    <w:rPr>
                      <w:rFonts w:hint="eastAsia"/>
                      <w:b/>
                      <w:color w:val="auto"/>
                      <w:szCs w:val="21"/>
                      <w:lang w:eastAsia="zh-CN"/>
                    </w:rPr>
                  </w:pPr>
                  <w:r>
                    <w:rPr>
                      <w:rFonts w:hint="eastAsia"/>
                      <w:b/>
                      <w:color w:val="auto"/>
                      <w:szCs w:val="21"/>
                      <w:lang w:eastAsia="zh-CN"/>
                    </w:rPr>
                    <w:t>粉尘</w:t>
                  </w:r>
                </w:p>
              </w:tc>
              <w:tc>
                <w:tcPr>
                  <w:tcW w:w="1925" w:type="pct"/>
                  <w:gridSpan w:val="2"/>
                  <w:tcBorders>
                    <w:top w:val="single" w:color="auto" w:sz="12" w:space="0"/>
                    <w:left w:val="single" w:color="auto" w:sz="4" w:space="0"/>
                    <w:bottom w:val="single" w:color="auto" w:sz="4" w:space="0"/>
                    <w:right w:val="nil"/>
                  </w:tcBorders>
                  <w:vAlign w:val="center"/>
                </w:tcPr>
                <w:p>
                  <w:pPr>
                    <w:pStyle w:val="210"/>
                    <w:rPr>
                      <w:rFonts w:hint="eastAsia" w:eastAsia="宋体"/>
                      <w:b/>
                      <w:color w:val="auto"/>
                      <w:szCs w:val="21"/>
                      <w:lang w:eastAsia="zh-CN"/>
                    </w:rPr>
                  </w:pPr>
                  <w:r>
                    <w:rPr>
                      <w:rFonts w:hint="eastAsia"/>
                      <w:b/>
                      <w:color w:val="auto"/>
                      <w:szCs w:val="21"/>
                      <w:lang w:eastAsia="zh-CN"/>
                    </w:rPr>
                    <w:t>非甲烷总烃</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152" w:type="pct"/>
                  <w:vMerge w:val="continue"/>
                  <w:tcBorders>
                    <w:top w:val="single" w:color="auto" w:sz="12" w:space="0"/>
                    <w:left w:val="nil"/>
                    <w:bottom w:val="single" w:color="auto" w:sz="4" w:space="0"/>
                    <w:right w:val="single" w:color="auto" w:sz="4" w:space="0"/>
                  </w:tcBorders>
                  <w:vAlign w:val="center"/>
                </w:tcPr>
                <w:p>
                  <w:pPr>
                    <w:jc w:val="center"/>
                    <w:rPr>
                      <w:color w:val="auto"/>
                      <w:szCs w:val="21"/>
                    </w:rPr>
                  </w:pPr>
                </w:p>
              </w:tc>
              <w:tc>
                <w:tcPr>
                  <w:tcW w:w="961" w:type="pct"/>
                  <w:tcBorders>
                    <w:top w:val="single" w:color="auto" w:sz="4" w:space="0"/>
                    <w:left w:val="single" w:color="auto" w:sz="4" w:space="0"/>
                    <w:bottom w:val="single" w:color="auto" w:sz="4" w:space="0"/>
                    <w:right w:val="single" w:color="auto" w:sz="4" w:space="0"/>
                  </w:tcBorders>
                  <w:vAlign w:val="center"/>
                </w:tcPr>
                <w:p>
                  <w:pPr>
                    <w:pStyle w:val="210"/>
                    <w:rPr>
                      <w:rFonts w:ascii="Times New Roman" w:hAnsi="Times New Roman" w:eastAsia="宋体" w:cs="Times New Roman"/>
                      <w:b/>
                      <w:color w:val="auto"/>
                      <w:kern w:val="2"/>
                      <w:sz w:val="21"/>
                      <w:szCs w:val="21"/>
                      <w:lang w:val="en-US" w:eastAsia="zh-CN" w:bidi="ar-SA"/>
                    </w:rPr>
                  </w:pPr>
                  <w:r>
                    <w:rPr>
                      <w:b/>
                      <w:color w:val="auto"/>
                      <w:szCs w:val="21"/>
                      <w:lang w:val="en-US"/>
                    </w:rPr>
                    <w:t>Ci</w:t>
                  </w:r>
                  <w:r>
                    <w:rPr>
                      <w:b/>
                      <w:color w:val="auto"/>
                      <w:szCs w:val="21"/>
                    </w:rPr>
                    <w:t>浓度值</w:t>
                  </w:r>
                  <w:r>
                    <w:rPr>
                      <w:b/>
                      <w:color w:val="auto"/>
                      <w:szCs w:val="21"/>
                      <w:lang w:val="en-US"/>
                    </w:rPr>
                    <w:t>（mg/m</w:t>
                  </w:r>
                  <w:r>
                    <w:rPr>
                      <w:b/>
                      <w:color w:val="auto"/>
                      <w:szCs w:val="21"/>
                      <w:vertAlign w:val="superscript"/>
                      <w:lang w:val="en-US"/>
                    </w:rPr>
                    <w:t>3</w:t>
                  </w:r>
                  <w:r>
                    <w:rPr>
                      <w:b/>
                      <w:color w:val="auto"/>
                      <w:szCs w:val="21"/>
                      <w:lang w:val="en-US"/>
                    </w:rPr>
                    <w:t>)</w:t>
                  </w:r>
                </w:p>
              </w:tc>
              <w:tc>
                <w:tcPr>
                  <w:tcW w:w="961" w:type="pct"/>
                  <w:tcBorders>
                    <w:top w:val="single" w:color="auto" w:sz="4" w:space="0"/>
                    <w:left w:val="single" w:color="auto" w:sz="4" w:space="0"/>
                    <w:bottom w:val="single" w:color="auto" w:sz="4" w:space="0"/>
                    <w:right w:val="single" w:color="auto" w:sz="4" w:space="0"/>
                  </w:tcBorders>
                  <w:vAlign w:val="center"/>
                </w:tcPr>
                <w:p>
                  <w:pPr>
                    <w:pStyle w:val="210"/>
                    <w:rPr>
                      <w:rFonts w:ascii="Times New Roman" w:hAnsi="Times New Roman" w:eastAsia="宋体" w:cs="Times New Roman"/>
                      <w:b/>
                      <w:color w:val="auto"/>
                      <w:kern w:val="2"/>
                      <w:sz w:val="21"/>
                      <w:szCs w:val="21"/>
                      <w:lang w:val="en-US" w:eastAsia="zh-CN" w:bidi="ar-SA"/>
                    </w:rPr>
                  </w:pPr>
                  <w:r>
                    <w:rPr>
                      <w:b/>
                      <w:color w:val="auto"/>
                      <w:szCs w:val="21"/>
                      <w:lang w:val="en-US"/>
                    </w:rPr>
                    <w:t>Pi</w:t>
                  </w:r>
                  <w:r>
                    <w:rPr>
                      <w:b/>
                      <w:color w:val="auto"/>
                      <w:szCs w:val="21"/>
                    </w:rPr>
                    <w:t>占标率</w:t>
                  </w:r>
                  <w:r>
                    <w:rPr>
                      <w:b/>
                      <w:color w:val="auto"/>
                      <w:szCs w:val="21"/>
                      <w:lang w:val="en-US"/>
                    </w:rPr>
                    <w:t>(%)</w:t>
                  </w:r>
                </w:p>
              </w:tc>
              <w:tc>
                <w:tcPr>
                  <w:tcW w:w="977" w:type="pct"/>
                  <w:tcBorders>
                    <w:top w:val="single" w:color="auto" w:sz="4" w:space="0"/>
                    <w:left w:val="single" w:color="auto" w:sz="4" w:space="0"/>
                    <w:bottom w:val="single" w:color="auto" w:sz="4" w:space="0"/>
                    <w:right w:val="single" w:color="auto" w:sz="4" w:space="0"/>
                  </w:tcBorders>
                  <w:vAlign w:val="center"/>
                </w:tcPr>
                <w:p>
                  <w:pPr>
                    <w:pStyle w:val="210"/>
                    <w:rPr>
                      <w:b/>
                      <w:color w:val="auto"/>
                      <w:szCs w:val="21"/>
                      <w:lang w:val="en-US"/>
                    </w:rPr>
                  </w:pPr>
                  <w:r>
                    <w:rPr>
                      <w:b/>
                      <w:color w:val="auto"/>
                      <w:szCs w:val="21"/>
                      <w:lang w:val="en-US"/>
                    </w:rPr>
                    <w:t>Ci</w:t>
                  </w:r>
                  <w:r>
                    <w:rPr>
                      <w:b/>
                      <w:color w:val="auto"/>
                      <w:szCs w:val="21"/>
                    </w:rPr>
                    <w:t>浓度值</w:t>
                  </w:r>
                  <w:r>
                    <w:rPr>
                      <w:b/>
                      <w:color w:val="auto"/>
                      <w:szCs w:val="21"/>
                      <w:lang w:val="en-US"/>
                    </w:rPr>
                    <w:t>（mg/m</w:t>
                  </w:r>
                  <w:r>
                    <w:rPr>
                      <w:b/>
                      <w:color w:val="auto"/>
                      <w:szCs w:val="21"/>
                      <w:vertAlign w:val="superscript"/>
                      <w:lang w:val="en-US"/>
                    </w:rPr>
                    <w:t>3</w:t>
                  </w:r>
                  <w:r>
                    <w:rPr>
                      <w:b/>
                      <w:color w:val="auto"/>
                      <w:szCs w:val="21"/>
                      <w:lang w:val="en-US"/>
                    </w:rPr>
                    <w:t>)</w:t>
                  </w:r>
                </w:p>
              </w:tc>
              <w:tc>
                <w:tcPr>
                  <w:tcW w:w="947" w:type="pct"/>
                  <w:tcBorders>
                    <w:top w:val="single" w:color="auto" w:sz="4" w:space="0"/>
                    <w:left w:val="single" w:color="auto" w:sz="4" w:space="0"/>
                    <w:bottom w:val="single" w:color="auto" w:sz="4" w:space="0"/>
                    <w:right w:val="nil"/>
                  </w:tcBorders>
                  <w:vAlign w:val="center"/>
                </w:tcPr>
                <w:p>
                  <w:pPr>
                    <w:pStyle w:val="210"/>
                    <w:rPr>
                      <w:b/>
                      <w:color w:val="auto"/>
                      <w:szCs w:val="21"/>
                      <w:lang w:val="en-US"/>
                    </w:rPr>
                  </w:pPr>
                  <w:r>
                    <w:rPr>
                      <w:b/>
                      <w:color w:val="auto"/>
                      <w:szCs w:val="21"/>
                      <w:lang w:val="en-US"/>
                    </w:rPr>
                    <w:t>Pi</w:t>
                  </w:r>
                  <w:r>
                    <w:rPr>
                      <w:b/>
                      <w:color w:val="auto"/>
                      <w:szCs w:val="21"/>
                    </w:rPr>
                    <w:t>占标率</w:t>
                  </w:r>
                  <w:r>
                    <w:rPr>
                      <w:b/>
                      <w:color w:val="auto"/>
                      <w:szCs w:val="21"/>
                      <w:lang w:val="en-US"/>
                    </w:rPr>
                    <w:t>(%)</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152" w:type="pct"/>
                  <w:tcBorders>
                    <w:top w:val="single" w:color="auto" w:sz="4" w:space="0"/>
                    <w:left w:val="nil"/>
                    <w:bottom w:val="single" w:color="auto" w:sz="4" w:space="0"/>
                    <w:right w:val="single" w:color="auto" w:sz="4" w:space="0"/>
                  </w:tcBorders>
                  <w:shd w:val="clear" w:color="auto" w:fill="CCE8CF"/>
                  <w:vAlign w:val="center"/>
                </w:tcPr>
                <w:p>
                  <w:pPr>
                    <w:widowControl/>
                    <w:jc w:val="center"/>
                    <w:textAlignment w:val="center"/>
                    <w:rPr>
                      <w:color w:val="auto"/>
                      <w:kern w:val="0"/>
                      <w:szCs w:val="21"/>
                      <w:lang w:bidi="ar"/>
                    </w:rPr>
                  </w:pPr>
                  <w:r>
                    <w:rPr>
                      <w:rFonts w:hint="eastAsia"/>
                      <w:color w:val="auto"/>
                      <w:kern w:val="0"/>
                      <w:szCs w:val="21"/>
                      <w:lang w:bidi="ar"/>
                    </w:rPr>
                    <w:t>10</w:t>
                  </w:r>
                </w:p>
              </w:tc>
              <w:tc>
                <w:tcPr>
                  <w:tcW w:w="961" w:type="pct"/>
                  <w:tcBorders>
                    <w:top w:val="single" w:color="auto" w:sz="4" w:space="0"/>
                    <w:left w:val="single" w:color="auto" w:sz="4" w:space="0"/>
                    <w:bottom w:val="single" w:color="auto" w:sz="4" w:space="0"/>
                    <w:right w:val="single" w:color="auto" w:sz="4" w:space="0"/>
                  </w:tcBorders>
                  <w:shd w:val="clear" w:color="auto" w:fill="CCE8CF"/>
                  <w:vAlign w:val="center"/>
                </w:tcPr>
                <w:p>
                  <w:pPr>
                    <w:widowControl/>
                    <w:jc w:val="center"/>
                    <w:textAlignment w:val="center"/>
                    <w:rPr>
                      <w:rFonts w:hint="eastAsia"/>
                      <w:color w:val="auto"/>
                      <w:kern w:val="0"/>
                      <w:szCs w:val="21"/>
                      <w:lang w:val="en-US" w:eastAsia="zh-CN" w:bidi="ar"/>
                    </w:rPr>
                  </w:pPr>
                  <w:r>
                    <w:rPr>
                      <w:rFonts w:hint="eastAsia"/>
                      <w:color w:val="auto"/>
                      <w:kern w:val="0"/>
                      <w:szCs w:val="21"/>
                      <w:lang w:val="en-US" w:eastAsia="zh-CN" w:bidi="ar"/>
                    </w:rPr>
                    <w:t>0.0001</w:t>
                  </w:r>
                </w:p>
              </w:tc>
              <w:tc>
                <w:tcPr>
                  <w:tcW w:w="961" w:type="pct"/>
                  <w:tcBorders>
                    <w:top w:val="single" w:color="auto" w:sz="4" w:space="0"/>
                    <w:left w:val="single" w:color="auto" w:sz="4" w:space="0"/>
                    <w:bottom w:val="single" w:color="auto" w:sz="4" w:space="0"/>
                    <w:right w:val="single" w:color="auto" w:sz="4" w:space="0"/>
                  </w:tcBorders>
                  <w:shd w:val="clear" w:color="auto" w:fill="CCE8CF"/>
                  <w:vAlign w:val="center"/>
                </w:tcPr>
                <w:p>
                  <w:pPr>
                    <w:widowControl/>
                    <w:jc w:val="center"/>
                    <w:textAlignment w:val="center"/>
                    <w:rPr>
                      <w:rFonts w:hint="eastAsia"/>
                      <w:color w:val="auto"/>
                      <w:kern w:val="0"/>
                      <w:szCs w:val="21"/>
                      <w:lang w:val="en-US" w:eastAsia="zh-CN" w:bidi="ar"/>
                    </w:rPr>
                  </w:pPr>
                  <w:r>
                    <w:rPr>
                      <w:rFonts w:hint="eastAsia"/>
                      <w:color w:val="auto"/>
                      <w:kern w:val="0"/>
                      <w:szCs w:val="21"/>
                      <w:lang w:val="en-US" w:eastAsia="zh-CN" w:bidi="ar"/>
                    </w:rPr>
                    <w:t>0.02</w:t>
                  </w:r>
                </w:p>
              </w:tc>
              <w:tc>
                <w:tcPr>
                  <w:tcW w:w="977" w:type="pct"/>
                  <w:tcBorders>
                    <w:top w:val="single" w:color="auto" w:sz="4" w:space="0"/>
                    <w:left w:val="single" w:color="auto" w:sz="4" w:space="0"/>
                    <w:bottom w:val="single" w:color="auto" w:sz="4" w:space="0"/>
                    <w:right w:val="single" w:color="auto" w:sz="4" w:space="0"/>
                  </w:tcBorders>
                  <w:shd w:val="clear" w:color="auto" w:fill="CCE8CF"/>
                  <w:vAlign w:val="center"/>
                </w:tcPr>
                <w:p>
                  <w:pPr>
                    <w:widowControl/>
                    <w:jc w:val="center"/>
                    <w:textAlignment w:val="center"/>
                    <w:rPr>
                      <w:rFonts w:hint="eastAsia"/>
                      <w:color w:val="auto"/>
                      <w:kern w:val="0"/>
                      <w:szCs w:val="21"/>
                      <w:lang w:val="en-US" w:eastAsia="zh-CN" w:bidi="ar"/>
                    </w:rPr>
                  </w:pPr>
                  <w:r>
                    <w:rPr>
                      <w:rFonts w:hint="eastAsia"/>
                      <w:color w:val="auto"/>
                      <w:kern w:val="0"/>
                      <w:szCs w:val="21"/>
                      <w:lang w:val="en-US" w:eastAsia="zh-CN" w:bidi="ar"/>
                    </w:rPr>
                    <w:t>0</w:t>
                  </w:r>
                </w:p>
              </w:tc>
              <w:tc>
                <w:tcPr>
                  <w:tcW w:w="947" w:type="pct"/>
                  <w:tcBorders>
                    <w:top w:val="single" w:color="auto" w:sz="4" w:space="0"/>
                    <w:left w:val="single" w:color="auto" w:sz="4" w:space="0"/>
                    <w:bottom w:val="single" w:color="auto" w:sz="4" w:space="0"/>
                    <w:right w:val="nil"/>
                  </w:tcBorders>
                  <w:shd w:val="clear" w:color="auto" w:fill="CCE8CF"/>
                  <w:vAlign w:val="center"/>
                </w:tcPr>
                <w:p>
                  <w:pPr>
                    <w:widowControl/>
                    <w:jc w:val="center"/>
                    <w:textAlignment w:val="center"/>
                    <w:rPr>
                      <w:rFonts w:hint="eastAsia"/>
                      <w:color w:val="auto"/>
                      <w:kern w:val="0"/>
                      <w:szCs w:val="21"/>
                      <w:lang w:val="en-US" w:eastAsia="zh-CN" w:bidi="ar"/>
                    </w:rPr>
                  </w:pPr>
                  <w:r>
                    <w:rPr>
                      <w:rFonts w:hint="eastAsia"/>
                      <w:color w:val="auto"/>
                      <w:kern w:val="0"/>
                      <w:szCs w:val="21"/>
                      <w:lang w:val="en-US" w:eastAsia="zh-CN" w:bidi="ar"/>
                    </w:rPr>
                    <w:t>0</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152" w:type="pct"/>
                  <w:tcBorders>
                    <w:top w:val="single" w:color="auto" w:sz="4" w:space="0"/>
                    <w:left w:val="nil"/>
                    <w:bottom w:val="single" w:color="auto" w:sz="4" w:space="0"/>
                    <w:right w:val="single" w:color="auto" w:sz="4" w:space="0"/>
                  </w:tcBorders>
                  <w:shd w:val="clear" w:color="auto" w:fill="CCE8CF"/>
                  <w:vAlign w:val="center"/>
                </w:tcPr>
                <w:p>
                  <w:pPr>
                    <w:widowControl/>
                    <w:jc w:val="center"/>
                    <w:textAlignment w:val="center"/>
                    <w:rPr>
                      <w:color w:val="auto"/>
                      <w:kern w:val="0"/>
                      <w:szCs w:val="21"/>
                      <w:lang w:bidi="ar"/>
                    </w:rPr>
                  </w:pPr>
                  <w:r>
                    <w:rPr>
                      <w:rFonts w:hint="eastAsia"/>
                      <w:color w:val="auto"/>
                      <w:kern w:val="0"/>
                      <w:szCs w:val="21"/>
                      <w:lang w:bidi="ar"/>
                    </w:rPr>
                    <w:t>25</w:t>
                  </w:r>
                </w:p>
              </w:tc>
              <w:tc>
                <w:tcPr>
                  <w:tcW w:w="961" w:type="pct"/>
                  <w:tcBorders>
                    <w:top w:val="single" w:color="auto" w:sz="4" w:space="0"/>
                    <w:left w:val="single" w:color="auto" w:sz="4" w:space="0"/>
                    <w:bottom w:val="single" w:color="auto" w:sz="4" w:space="0"/>
                    <w:right w:val="single" w:color="auto" w:sz="4" w:space="0"/>
                  </w:tcBorders>
                  <w:shd w:val="clear" w:color="auto" w:fill="CCE8CF"/>
                  <w:vAlign w:val="center"/>
                </w:tcPr>
                <w:p>
                  <w:pPr>
                    <w:widowControl/>
                    <w:jc w:val="center"/>
                    <w:textAlignment w:val="center"/>
                    <w:rPr>
                      <w:rFonts w:hint="eastAsia"/>
                      <w:color w:val="auto"/>
                      <w:kern w:val="0"/>
                      <w:szCs w:val="21"/>
                      <w:lang w:val="en-US" w:eastAsia="zh-CN" w:bidi="ar"/>
                    </w:rPr>
                  </w:pPr>
                  <w:r>
                    <w:rPr>
                      <w:rFonts w:hint="eastAsia"/>
                      <w:color w:val="auto"/>
                      <w:kern w:val="0"/>
                      <w:szCs w:val="21"/>
                      <w:lang w:val="en-US" w:eastAsia="zh-CN" w:bidi="ar"/>
                    </w:rPr>
                    <w:t>0.0006</w:t>
                  </w:r>
                </w:p>
              </w:tc>
              <w:tc>
                <w:tcPr>
                  <w:tcW w:w="961" w:type="pct"/>
                  <w:tcBorders>
                    <w:top w:val="single" w:color="auto" w:sz="4" w:space="0"/>
                    <w:left w:val="single" w:color="auto" w:sz="4" w:space="0"/>
                    <w:bottom w:val="single" w:color="auto" w:sz="4" w:space="0"/>
                    <w:right w:val="single" w:color="auto" w:sz="4" w:space="0"/>
                  </w:tcBorders>
                  <w:shd w:val="clear" w:color="auto" w:fill="CCE8CF"/>
                  <w:vAlign w:val="center"/>
                </w:tcPr>
                <w:p>
                  <w:pPr>
                    <w:widowControl/>
                    <w:jc w:val="center"/>
                    <w:textAlignment w:val="center"/>
                    <w:rPr>
                      <w:rFonts w:hint="eastAsia"/>
                      <w:color w:val="auto"/>
                      <w:kern w:val="0"/>
                      <w:szCs w:val="21"/>
                      <w:lang w:val="en-US" w:eastAsia="zh-CN" w:bidi="ar"/>
                    </w:rPr>
                  </w:pPr>
                  <w:r>
                    <w:rPr>
                      <w:rFonts w:hint="eastAsia"/>
                      <w:color w:val="auto"/>
                      <w:kern w:val="0"/>
                      <w:szCs w:val="21"/>
                      <w:lang w:val="en-US" w:eastAsia="zh-CN" w:bidi="ar"/>
                    </w:rPr>
                    <w:t>0.13</w:t>
                  </w:r>
                </w:p>
              </w:tc>
              <w:tc>
                <w:tcPr>
                  <w:tcW w:w="977" w:type="pct"/>
                  <w:tcBorders>
                    <w:top w:val="single" w:color="auto" w:sz="4" w:space="0"/>
                    <w:left w:val="single" w:color="auto" w:sz="4" w:space="0"/>
                    <w:bottom w:val="single" w:color="auto" w:sz="4" w:space="0"/>
                    <w:right w:val="single" w:color="auto" w:sz="4" w:space="0"/>
                  </w:tcBorders>
                  <w:shd w:val="clear" w:color="auto" w:fill="CCE8CF"/>
                  <w:vAlign w:val="center"/>
                </w:tcPr>
                <w:p>
                  <w:pPr>
                    <w:widowControl/>
                    <w:jc w:val="center"/>
                    <w:textAlignment w:val="center"/>
                    <w:rPr>
                      <w:rFonts w:hint="eastAsia"/>
                      <w:color w:val="auto"/>
                      <w:kern w:val="0"/>
                      <w:szCs w:val="21"/>
                      <w:lang w:val="en-US" w:eastAsia="zh-CN" w:bidi="ar"/>
                    </w:rPr>
                  </w:pPr>
                  <w:r>
                    <w:rPr>
                      <w:rFonts w:hint="eastAsia"/>
                      <w:color w:val="auto"/>
                      <w:kern w:val="0"/>
                      <w:szCs w:val="21"/>
                      <w:lang w:val="en-US" w:eastAsia="zh-CN" w:bidi="ar"/>
                    </w:rPr>
                    <w:t>0</w:t>
                  </w:r>
                </w:p>
              </w:tc>
              <w:tc>
                <w:tcPr>
                  <w:tcW w:w="947" w:type="pct"/>
                  <w:tcBorders>
                    <w:top w:val="single" w:color="auto" w:sz="4" w:space="0"/>
                    <w:left w:val="single" w:color="auto" w:sz="4" w:space="0"/>
                    <w:bottom w:val="single" w:color="auto" w:sz="4" w:space="0"/>
                    <w:right w:val="nil"/>
                  </w:tcBorders>
                  <w:shd w:val="clear" w:color="auto" w:fill="CCE8CF"/>
                  <w:vAlign w:val="center"/>
                </w:tcPr>
                <w:p>
                  <w:pPr>
                    <w:widowControl/>
                    <w:jc w:val="center"/>
                    <w:textAlignment w:val="center"/>
                    <w:rPr>
                      <w:rFonts w:hint="eastAsia"/>
                      <w:color w:val="auto"/>
                      <w:kern w:val="0"/>
                      <w:szCs w:val="21"/>
                      <w:lang w:val="en-US" w:eastAsia="zh-CN" w:bidi="ar"/>
                    </w:rPr>
                  </w:pPr>
                  <w:r>
                    <w:rPr>
                      <w:rFonts w:hint="eastAsia"/>
                      <w:color w:val="auto"/>
                      <w:kern w:val="0"/>
                      <w:szCs w:val="21"/>
                      <w:lang w:val="en-US" w:eastAsia="zh-CN" w:bidi="ar"/>
                    </w:rPr>
                    <w:t>0</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152" w:type="pct"/>
                  <w:tcBorders>
                    <w:top w:val="single" w:color="auto" w:sz="4" w:space="0"/>
                    <w:left w:val="nil"/>
                    <w:bottom w:val="single" w:color="auto" w:sz="4" w:space="0"/>
                    <w:right w:val="single" w:color="auto" w:sz="4" w:space="0"/>
                  </w:tcBorders>
                  <w:shd w:val="clear" w:color="auto" w:fill="CCE8CF"/>
                  <w:vAlign w:val="center"/>
                </w:tcPr>
                <w:p>
                  <w:pPr>
                    <w:widowControl/>
                    <w:jc w:val="center"/>
                    <w:textAlignment w:val="center"/>
                    <w:rPr>
                      <w:color w:val="auto"/>
                      <w:kern w:val="0"/>
                      <w:szCs w:val="21"/>
                      <w:lang w:bidi="ar"/>
                    </w:rPr>
                  </w:pPr>
                  <w:r>
                    <w:rPr>
                      <w:rFonts w:hint="eastAsia"/>
                      <w:color w:val="auto"/>
                      <w:kern w:val="0"/>
                      <w:szCs w:val="21"/>
                      <w:lang w:bidi="ar"/>
                    </w:rPr>
                    <w:t>50</w:t>
                  </w:r>
                </w:p>
              </w:tc>
              <w:tc>
                <w:tcPr>
                  <w:tcW w:w="961" w:type="pct"/>
                  <w:tcBorders>
                    <w:top w:val="single" w:color="auto" w:sz="4" w:space="0"/>
                    <w:left w:val="single" w:color="auto" w:sz="4" w:space="0"/>
                    <w:bottom w:val="single" w:color="auto" w:sz="4" w:space="0"/>
                    <w:right w:val="single" w:color="auto" w:sz="4" w:space="0"/>
                  </w:tcBorders>
                  <w:shd w:val="clear" w:color="auto" w:fill="CCE8CF"/>
                  <w:vAlign w:val="center"/>
                </w:tcPr>
                <w:p>
                  <w:pPr>
                    <w:widowControl/>
                    <w:jc w:val="center"/>
                    <w:textAlignment w:val="center"/>
                    <w:rPr>
                      <w:rFonts w:hint="eastAsia"/>
                      <w:color w:val="auto"/>
                      <w:kern w:val="0"/>
                      <w:szCs w:val="21"/>
                      <w:lang w:val="en-US" w:eastAsia="zh-CN" w:bidi="ar"/>
                    </w:rPr>
                  </w:pPr>
                  <w:r>
                    <w:rPr>
                      <w:rFonts w:hint="eastAsia"/>
                      <w:color w:val="auto"/>
                      <w:kern w:val="0"/>
                      <w:szCs w:val="21"/>
                      <w:lang w:val="en-US" w:eastAsia="zh-CN" w:bidi="ar"/>
                    </w:rPr>
                    <w:t>0.0014</w:t>
                  </w:r>
                </w:p>
              </w:tc>
              <w:tc>
                <w:tcPr>
                  <w:tcW w:w="961" w:type="pct"/>
                  <w:tcBorders>
                    <w:top w:val="single" w:color="auto" w:sz="4" w:space="0"/>
                    <w:left w:val="single" w:color="auto" w:sz="4" w:space="0"/>
                    <w:bottom w:val="single" w:color="auto" w:sz="4" w:space="0"/>
                    <w:right w:val="single" w:color="auto" w:sz="4" w:space="0"/>
                  </w:tcBorders>
                  <w:shd w:val="clear" w:color="auto" w:fill="CCE8CF"/>
                  <w:vAlign w:val="center"/>
                </w:tcPr>
                <w:p>
                  <w:pPr>
                    <w:widowControl/>
                    <w:jc w:val="center"/>
                    <w:textAlignment w:val="center"/>
                    <w:rPr>
                      <w:rFonts w:hint="eastAsia"/>
                      <w:color w:val="auto"/>
                      <w:kern w:val="0"/>
                      <w:szCs w:val="21"/>
                      <w:lang w:val="en-US" w:eastAsia="zh-CN" w:bidi="ar"/>
                    </w:rPr>
                  </w:pPr>
                  <w:r>
                    <w:rPr>
                      <w:rFonts w:hint="eastAsia"/>
                      <w:color w:val="auto"/>
                      <w:kern w:val="0"/>
                      <w:szCs w:val="21"/>
                      <w:lang w:val="en-US" w:eastAsia="zh-CN" w:bidi="ar"/>
                    </w:rPr>
                    <w:t>0.31</w:t>
                  </w:r>
                </w:p>
              </w:tc>
              <w:tc>
                <w:tcPr>
                  <w:tcW w:w="977" w:type="pct"/>
                  <w:tcBorders>
                    <w:top w:val="single" w:color="auto" w:sz="4" w:space="0"/>
                    <w:left w:val="single" w:color="auto" w:sz="4" w:space="0"/>
                    <w:bottom w:val="single" w:color="auto" w:sz="4" w:space="0"/>
                    <w:right w:val="single" w:color="auto" w:sz="4" w:space="0"/>
                  </w:tcBorders>
                  <w:shd w:val="clear" w:color="auto" w:fill="CCE8CF"/>
                  <w:vAlign w:val="center"/>
                </w:tcPr>
                <w:p>
                  <w:pPr>
                    <w:widowControl/>
                    <w:jc w:val="center"/>
                    <w:textAlignment w:val="center"/>
                    <w:rPr>
                      <w:rFonts w:hint="eastAsia"/>
                      <w:color w:val="auto"/>
                      <w:kern w:val="0"/>
                      <w:szCs w:val="21"/>
                      <w:lang w:val="en-US" w:eastAsia="zh-CN" w:bidi="ar"/>
                    </w:rPr>
                  </w:pPr>
                  <w:r>
                    <w:rPr>
                      <w:rFonts w:hint="eastAsia"/>
                      <w:color w:val="auto"/>
                      <w:kern w:val="0"/>
                      <w:szCs w:val="21"/>
                      <w:lang w:val="en-US" w:eastAsia="zh-CN" w:bidi="ar"/>
                    </w:rPr>
                    <w:t>0.0001</w:t>
                  </w:r>
                </w:p>
              </w:tc>
              <w:tc>
                <w:tcPr>
                  <w:tcW w:w="947" w:type="pct"/>
                  <w:tcBorders>
                    <w:top w:val="single" w:color="auto" w:sz="4" w:space="0"/>
                    <w:left w:val="single" w:color="auto" w:sz="4" w:space="0"/>
                    <w:bottom w:val="single" w:color="auto" w:sz="4" w:space="0"/>
                    <w:right w:val="nil"/>
                  </w:tcBorders>
                  <w:shd w:val="clear" w:color="auto" w:fill="CCE8CF"/>
                  <w:vAlign w:val="center"/>
                </w:tcPr>
                <w:p>
                  <w:pPr>
                    <w:widowControl/>
                    <w:jc w:val="center"/>
                    <w:textAlignment w:val="center"/>
                    <w:rPr>
                      <w:rFonts w:hint="eastAsia"/>
                      <w:color w:val="auto"/>
                      <w:kern w:val="0"/>
                      <w:szCs w:val="21"/>
                      <w:lang w:val="en-US" w:eastAsia="zh-CN" w:bidi="ar"/>
                    </w:rPr>
                  </w:pPr>
                  <w:r>
                    <w:rPr>
                      <w:rFonts w:hint="eastAsia"/>
                      <w:color w:val="auto"/>
                      <w:kern w:val="0"/>
                      <w:szCs w:val="21"/>
                      <w:lang w:val="en-US" w:eastAsia="zh-CN" w:bidi="ar"/>
                    </w:rPr>
                    <w:t>0.01</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152" w:type="pct"/>
                  <w:tcBorders>
                    <w:top w:val="single" w:color="auto" w:sz="4" w:space="0"/>
                    <w:left w:val="nil"/>
                    <w:bottom w:val="single" w:color="auto" w:sz="4" w:space="0"/>
                    <w:right w:val="single" w:color="auto" w:sz="4" w:space="0"/>
                  </w:tcBorders>
                  <w:shd w:val="clear" w:color="auto" w:fill="CCE8CF"/>
                  <w:vAlign w:val="center"/>
                </w:tcPr>
                <w:p>
                  <w:pPr>
                    <w:widowControl/>
                    <w:jc w:val="center"/>
                    <w:textAlignment w:val="center"/>
                    <w:rPr>
                      <w:color w:val="auto"/>
                      <w:kern w:val="0"/>
                      <w:szCs w:val="21"/>
                      <w:lang w:bidi="ar"/>
                    </w:rPr>
                  </w:pPr>
                  <w:r>
                    <w:rPr>
                      <w:rFonts w:hint="eastAsia"/>
                      <w:color w:val="auto"/>
                      <w:kern w:val="0"/>
                      <w:szCs w:val="21"/>
                      <w:lang w:bidi="ar"/>
                    </w:rPr>
                    <w:t>75</w:t>
                  </w:r>
                </w:p>
              </w:tc>
              <w:tc>
                <w:tcPr>
                  <w:tcW w:w="961" w:type="pct"/>
                  <w:tcBorders>
                    <w:top w:val="single" w:color="auto" w:sz="4" w:space="0"/>
                    <w:left w:val="single" w:color="auto" w:sz="4" w:space="0"/>
                    <w:bottom w:val="single" w:color="auto" w:sz="4" w:space="0"/>
                    <w:right w:val="single" w:color="auto" w:sz="4" w:space="0"/>
                  </w:tcBorders>
                  <w:shd w:val="clear" w:color="auto" w:fill="CCE8CF"/>
                  <w:vAlign w:val="center"/>
                </w:tcPr>
                <w:p>
                  <w:pPr>
                    <w:widowControl/>
                    <w:jc w:val="center"/>
                    <w:textAlignment w:val="center"/>
                    <w:rPr>
                      <w:rFonts w:hint="eastAsia"/>
                      <w:color w:val="auto"/>
                      <w:kern w:val="0"/>
                      <w:szCs w:val="21"/>
                      <w:lang w:val="en-US" w:eastAsia="zh-CN" w:bidi="ar"/>
                    </w:rPr>
                  </w:pPr>
                  <w:r>
                    <w:rPr>
                      <w:rFonts w:hint="eastAsia"/>
                      <w:color w:val="auto"/>
                      <w:kern w:val="0"/>
                      <w:szCs w:val="21"/>
                      <w:lang w:val="en-US" w:eastAsia="zh-CN" w:bidi="ar"/>
                    </w:rPr>
                    <w:t>0.0024</w:t>
                  </w:r>
                </w:p>
              </w:tc>
              <w:tc>
                <w:tcPr>
                  <w:tcW w:w="961" w:type="pct"/>
                  <w:tcBorders>
                    <w:top w:val="single" w:color="auto" w:sz="4" w:space="0"/>
                    <w:left w:val="single" w:color="auto" w:sz="4" w:space="0"/>
                    <w:bottom w:val="single" w:color="auto" w:sz="4" w:space="0"/>
                    <w:right w:val="single" w:color="auto" w:sz="4" w:space="0"/>
                  </w:tcBorders>
                  <w:shd w:val="clear" w:color="auto" w:fill="CCE8CF"/>
                  <w:vAlign w:val="center"/>
                </w:tcPr>
                <w:p>
                  <w:pPr>
                    <w:widowControl/>
                    <w:jc w:val="center"/>
                    <w:textAlignment w:val="center"/>
                    <w:rPr>
                      <w:rFonts w:hint="eastAsia"/>
                      <w:color w:val="auto"/>
                      <w:kern w:val="0"/>
                      <w:szCs w:val="21"/>
                      <w:lang w:val="en-US" w:eastAsia="zh-CN" w:bidi="ar"/>
                    </w:rPr>
                  </w:pPr>
                  <w:r>
                    <w:rPr>
                      <w:rFonts w:hint="eastAsia"/>
                      <w:color w:val="auto"/>
                      <w:kern w:val="0"/>
                      <w:szCs w:val="21"/>
                      <w:lang w:val="en-US" w:eastAsia="zh-CN" w:bidi="ar"/>
                    </w:rPr>
                    <w:t>0.53</w:t>
                  </w:r>
                </w:p>
              </w:tc>
              <w:tc>
                <w:tcPr>
                  <w:tcW w:w="977" w:type="pct"/>
                  <w:tcBorders>
                    <w:top w:val="single" w:color="auto" w:sz="4" w:space="0"/>
                    <w:left w:val="single" w:color="auto" w:sz="4" w:space="0"/>
                    <w:bottom w:val="single" w:color="auto" w:sz="4" w:space="0"/>
                    <w:right w:val="single" w:color="auto" w:sz="4" w:space="0"/>
                  </w:tcBorders>
                  <w:shd w:val="clear" w:color="auto" w:fill="CCE8CF"/>
                  <w:vAlign w:val="center"/>
                </w:tcPr>
                <w:p>
                  <w:pPr>
                    <w:widowControl/>
                    <w:jc w:val="center"/>
                    <w:textAlignment w:val="center"/>
                    <w:rPr>
                      <w:rFonts w:hint="eastAsia"/>
                      <w:color w:val="auto"/>
                      <w:kern w:val="0"/>
                      <w:szCs w:val="21"/>
                      <w:lang w:val="en-US" w:eastAsia="zh-CN" w:bidi="ar"/>
                    </w:rPr>
                  </w:pPr>
                  <w:r>
                    <w:rPr>
                      <w:rFonts w:hint="eastAsia"/>
                      <w:color w:val="auto"/>
                      <w:kern w:val="0"/>
                      <w:szCs w:val="21"/>
                      <w:lang w:val="en-US" w:eastAsia="zh-CN" w:bidi="ar"/>
                    </w:rPr>
                    <w:t>0.0002</w:t>
                  </w:r>
                </w:p>
              </w:tc>
              <w:tc>
                <w:tcPr>
                  <w:tcW w:w="947" w:type="pct"/>
                  <w:tcBorders>
                    <w:top w:val="single" w:color="auto" w:sz="4" w:space="0"/>
                    <w:left w:val="single" w:color="auto" w:sz="4" w:space="0"/>
                    <w:bottom w:val="single" w:color="auto" w:sz="4" w:space="0"/>
                    <w:right w:val="nil"/>
                  </w:tcBorders>
                  <w:shd w:val="clear" w:color="auto" w:fill="CCE8CF"/>
                  <w:vAlign w:val="center"/>
                </w:tcPr>
                <w:p>
                  <w:pPr>
                    <w:widowControl/>
                    <w:jc w:val="center"/>
                    <w:textAlignment w:val="center"/>
                    <w:rPr>
                      <w:rFonts w:hint="eastAsia"/>
                      <w:color w:val="auto"/>
                      <w:kern w:val="0"/>
                      <w:szCs w:val="21"/>
                      <w:lang w:val="en-US" w:eastAsia="zh-CN" w:bidi="ar"/>
                    </w:rPr>
                  </w:pPr>
                  <w:r>
                    <w:rPr>
                      <w:rFonts w:hint="eastAsia"/>
                      <w:color w:val="auto"/>
                      <w:kern w:val="0"/>
                      <w:szCs w:val="21"/>
                      <w:lang w:val="en-US" w:eastAsia="zh-CN" w:bidi="ar"/>
                    </w:rPr>
                    <w:t>0.01</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152" w:type="pct"/>
                  <w:tcBorders>
                    <w:top w:val="single" w:color="auto" w:sz="4" w:space="0"/>
                    <w:left w:val="nil"/>
                    <w:bottom w:val="single" w:color="auto" w:sz="4" w:space="0"/>
                    <w:right w:val="single" w:color="auto" w:sz="4" w:space="0"/>
                  </w:tcBorders>
                  <w:shd w:val="clear" w:color="auto" w:fill="EEECE1" w:themeFill="background2"/>
                  <w:vAlign w:val="center"/>
                </w:tcPr>
                <w:p>
                  <w:pPr>
                    <w:widowControl/>
                    <w:jc w:val="center"/>
                    <w:textAlignment w:val="center"/>
                    <w:rPr>
                      <w:color w:val="auto"/>
                      <w:kern w:val="0"/>
                      <w:szCs w:val="21"/>
                      <w:lang w:bidi="ar"/>
                    </w:rPr>
                  </w:pPr>
                  <w:r>
                    <w:rPr>
                      <w:rFonts w:hint="eastAsia"/>
                      <w:color w:val="auto"/>
                      <w:kern w:val="0"/>
                      <w:szCs w:val="21"/>
                      <w:lang w:bidi="ar"/>
                    </w:rPr>
                    <w:t>100</w:t>
                  </w:r>
                </w:p>
              </w:tc>
              <w:tc>
                <w:tcPr>
                  <w:tcW w:w="961" w:type="pct"/>
                  <w:tcBorders>
                    <w:top w:val="single" w:color="auto" w:sz="4" w:space="0"/>
                    <w:left w:val="single" w:color="auto" w:sz="4" w:space="0"/>
                    <w:bottom w:val="single" w:color="auto" w:sz="4" w:space="0"/>
                    <w:right w:val="single" w:color="auto" w:sz="4" w:space="0"/>
                  </w:tcBorders>
                  <w:shd w:val="clear" w:color="auto" w:fill="EEECE1" w:themeFill="background2"/>
                  <w:vAlign w:val="center"/>
                </w:tcPr>
                <w:p>
                  <w:pPr>
                    <w:widowControl/>
                    <w:jc w:val="center"/>
                    <w:textAlignment w:val="center"/>
                    <w:rPr>
                      <w:rFonts w:hint="eastAsia"/>
                      <w:color w:val="auto"/>
                      <w:kern w:val="0"/>
                      <w:szCs w:val="21"/>
                      <w:lang w:val="en-US" w:eastAsia="zh-CN" w:bidi="ar"/>
                    </w:rPr>
                  </w:pPr>
                  <w:r>
                    <w:rPr>
                      <w:rFonts w:hint="eastAsia"/>
                      <w:color w:val="auto"/>
                      <w:kern w:val="0"/>
                      <w:szCs w:val="21"/>
                      <w:lang w:val="en-US" w:eastAsia="zh-CN" w:bidi="ar"/>
                    </w:rPr>
                    <w:t>0.0027</w:t>
                  </w:r>
                </w:p>
              </w:tc>
              <w:tc>
                <w:tcPr>
                  <w:tcW w:w="961" w:type="pct"/>
                  <w:tcBorders>
                    <w:top w:val="single" w:color="auto" w:sz="4" w:space="0"/>
                    <w:left w:val="single" w:color="auto" w:sz="4" w:space="0"/>
                    <w:bottom w:val="single" w:color="auto" w:sz="4" w:space="0"/>
                    <w:right w:val="single" w:color="auto" w:sz="4" w:space="0"/>
                  </w:tcBorders>
                  <w:shd w:val="clear" w:color="auto" w:fill="EEECE1" w:themeFill="background2"/>
                  <w:vAlign w:val="center"/>
                </w:tcPr>
                <w:p>
                  <w:pPr>
                    <w:widowControl/>
                    <w:jc w:val="center"/>
                    <w:textAlignment w:val="center"/>
                    <w:rPr>
                      <w:rFonts w:hint="eastAsia"/>
                      <w:color w:val="auto"/>
                      <w:kern w:val="0"/>
                      <w:szCs w:val="21"/>
                      <w:lang w:val="en-US" w:eastAsia="zh-CN" w:bidi="ar"/>
                    </w:rPr>
                  </w:pPr>
                  <w:r>
                    <w:rPr>
                      <w:rFonts w:hint="eastAsia"/>
                      <w:color w:val="auto"/>
                      <w:kern w:val="0"/>
                      <w:szCs w:val="21"/>
                      <w:lang w:val="en-US" w:eastAsia="zh-CN" w:bidi="ar"/>
                    </w:rPr>
                    <w:t>0.59</w:t>
                  </w:r>
                </w:p>
              </w:tc>
              <w:tc>
                <w:tcPr>
                  <w:tcW w:w="977"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hint="eastAsia"/>
                      <w:color w:val="auto"/>
                      <w:kern w:val="0"/>
                      <w:szCs w:val="21"/>
                      <w:lang w:val="en-US" w:eastAsia="zh-CN" w:bidi="ar"/>
                    </w:rPr>
                  </w:pPr>
                  <w:r>
                    <w:rPr>
                      <w:rFonts w:hint="eastAsia"/>
                      <w:color w:val="auto"/>
                      <w:kern w:val="0"/>
                      <w:szCs w:val="21"/>
                      <w:lang w:val="en-US" w:eastAsia="zh-CN" w:bidi="ar"/>
                    </w:rPr>
                    <w:t>0.0002</w:t>
                  </w:r>
                </w:p>
              </w:tc>
              <w:tc>
                <w:tcPr>
                  <w:tcW w:w="947" w:type="pct"/>
                  <w:tcBorders>
                    <w:top w:val="single" w:color="auto" w:sz="4" w:space="0"/>
                    <w:left w:val="single" w:color="auto" w:sz="4" w:space="0"/>
                    <w:bottom w:val="single" w:color="auto" w:sz="4" w:space="0"/>
                    <w:right w:val="nil"/>
                  </w:tcBorders>
                  <w:shd w:val="clear" w:color="auto" w:fill="auto"/>
                  <w:vAlign w:val="center"/>
                </w:tcPr>
                <w:p>
                  <w:pPr>
                    <w:widowControl/>
                    <w:jc w:val="center"/>
                    <w:textAlignment w:val="center"/>
                    <w:rPr>
                      <w:rFonts w:hint="eastAsia"/>
                      <w:color w:val="auto"/>
                      <w:kern w:val="0"/>
                      <w:szCs w:val="21"/>
                      <w:lang w:val="en-US" w:eastAsia="zh-CN" w:bidi="ar"/>
                    </w:rPr>
                  </w:pPr>
                  <w:r>
                    <w:rPr>
                      <w:rFonts w:hint="eastAsia"/>
                      <w:color w:val="auto"/>
                      <w:kern w:val="0"/>
                      <w:szCs w:val="21"/>
                      <w:lang w:val="en-US" w:eastAsia="zh-CN" w:bidi="ar"/>
                    </w:rPr>
                    <w:t>0.01</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152" w:type="pct"/>
                  <w:tcBorders>
                    <w:top w:val="single" w:color="auto" w:sz="4" w:space="0"/>
                    <w:left w:val="nil"/>
                    <w:bottom w:val="single" w:color="auto" w:sz="4" w:space="0"/>
                    <w:right w:val="single" w:color="auto" w:sz="4" w:space="0"/>
                  </w:tcBorders>
                  <w:shd w:val="clear" w:color="auto" w:fill="CCE8CF"/>
                  <w:vAlign w:val="center"/>
                </w:tcPr>
                <w:p>
                  <w:pPr>
                    <w:widowControl/>
                    <w:jc w:val="center"/>
                    <w:textAlignment w:val="center"/>
                    <w:rPr>
                      <w:color w:val="auto"/>
                      <w:kern w:val="0"/>
                      <w:szCs w:val="21"/>
                      <w:lang w:bidi="ar"/>
                    </w:rPr>
                  </w:pPr>
                  <w:r>
                    <w:rPr>
                      <w:rFonts w:hint="eastAsia"/>
                      <w:color w:val="auto"/>
                      <w:kern w:val="0"/>
                      <w:szCs w:val="21"/>
                      <w:lang w:bidi="ar"/>
                    </w:rPr>
                    <w:t>125</w:t>
                  </w:r>
                </w:p>
              </w:tc>
              <w:tc>
                <w:tcPr>
                  <w:tcW w:w="961" w:type="pct"/>
                  <w:tcBorders>
                    <w:top w:val="single" w:color="auto" w:sz="4" w:space="0"/>
                    <w:left w:val="single" w:color="auto" w:sz="4" w:space="0"/>
                    <w:bottom w:val="single" w:color="auto" w:sz="4" w:space="0"/>
                    <w:right w:val="single" w:color="auto" w:sz="4" w:space="0"/>
                  </w:tcBorders>
                  <w:shd w:val="clear" w:color="auto" w:fill="CCE8CF"/>
                  <w:vAlign w:val="center"/>
                </w:tcPr>
                <w:p>
                  <w:pPr>
                    <w:widowControl/>
                    <w:jc w:val="center"/>
                    <w:textAlignment w:val="center"/>
                    <w:rPr>
                      <w:rFonts w:hint="eastAsia"/>
                      <w:color w:val="auto"/>
                      <w:kern w:val="0"/>
                      <w:szCs w:val="21"/>
                      <w:lang w:val="en-US" w:eastAsia="zh-CN" w:bidi="ar"/>
                    </w:rPr>
                  </w:pPr>
                  <w:r>
                    <w:rPr>
                      <w:rFonts w:hint="eastAsia"/>
                      <w:color w:val="auto"/>
                      <w:kern w:val="0"/>
                      <w:szCs w:val="21"/>
                      <w:lang w:val="en-US" w:eastAsia="zh-CN" w:bidi="ar"/>
                    </w:rPr>
                    <w:t>0.0025</w:t>
                  </w:r>
                </w:p>
              </w:tc>
              <w:tc>
                <w:tcPr>
                  <w:tcW w:w="961" w:type="pct"/>
                  <w:tcBorders>
                    <w:top w:val="single" w:color="auto" w:sz="4" w:space="0"/>
                    <w:left w:val="single" w:color="auto" w:sz="4" w:space="0"/>
                    <w:bottom w:val="single" w:color="auto" w:sz="4" w:space="0"/>
                    <w:right w:val="single" w:color="auto" w:sz="4" w:space="0"/>
                  </w:tcBorders>
                  <w:shd w:val="clear" w:color="auto" w:fill="CCE8CF"/>
                  <w:vAlign w:val="center"/>
                </w:tcPr>
                <w:p>
                  <w:pPr>
                    <w:widowControl/>
                    <w:jc w:val="center"/>
                    <w:textAlignment w:val="center"/>
                    <w:rPr>
                      <w:rFonts w:hint="eastAsia"/>
                      <w:color w:val="auto"/>
                      <w:kern w:val="0"/>
                      <w:szCs w:val="21"/>
                      <w:lang w:val="en-US" w:eastAsia="zh-CN" w:bidi="ar"/>
                    </w:rPr>
                  </w:pPr>
                  <w:r>
                    <w:rPr>
                      <w:rFonts w:hint="eastAsia"/>
                      <w:color w:val="auto"/>
                      <w:kern w:val="0"/>
                      <w:szCs w:val="21"/>
                      <w:lang w:val="en-US" w:eastAsia="zh-CN" w:bidi="ar"/>
                    </w:rPr>
                    <w:t>0.56</w:t>
                  </w:r>
                </w:p>
              </w:tc>
              <w:tc>
                <w:tcPr>
                  <w:tcW w:w="977" w:type="pct"/>
                  <w:tcBorders>
                    <w:top w:val="single" w:color="auto" w:sz="4" w:space="0"/>
                    <w:left w:val="single" w:color="auto" w:sz="4" w:space="0"/>
                    <w:bottom w:val="single" w:color="auto" w:sz="4" w:space="0"/>
                    <w:right w:val="single" w:color="auto" w:sz="4" w:space="0"/>
                  </w:tcBorders>
                  <w:shd w:val="clear" w:color="auto" w:fill="CCE8CF"/>
                  <w:vAlign w:val="center"/>
                </w:tcPr>
                <w:p>
                  <w:pPr>
                    <w:widowControl/>
                    <w:jc w:val="center"/>
                    <w:textAlignment w:val="center"/>
                    <w:rPr>
                      <w:rFonts w:hint="eastAsia"/>
                      <w:color w:val="auto"/>
                      <w:kern w:val="0"/>
                      <w:szCs w:val="21"/>
                      <w:lang w:val="en-US" w:eastAsia="zh-CN" w:bidi="ar"/>
                    </w:rPr>
                  </w:pPr>
                  <w:r>
                    <w:rPr>
                      <w:rFonts w:hint="eastAsia"/>
                      <w:color w:val="auto"/>
                      <w:kern w:val="0"/>
                      <w:szCs w:val="21"/>
                      <w:lang w:val="en-US" w:eastAsia="zh-CN" w:bidi="ar"/>
                    </w:rPr>
                    <w:t>0.0002</w:t>
                  </w:r>
                </w:p>
              </w:tc>
              <w:tc>
                <w:tcPr>
                  <w:tcW w:w="947" w:type="pct"/>
                  <w:tcBorders>
                    <w:top w:val="single" w:color="auto" w:sz="4" w:space="0"/>
                    <w:left w:val="single" w:color="auto" w:sz="4" w:space="0"/>
                    <w:bottom w:val="single" w:color="auto" w:sz="4" w:space="0"/>
                    <w:right w:val="nil"/>
                  </w:tcBorders>
                  <w:shd w:val="clear" w:color="auto" w:fill="CCE8CF"/>
                  <w:vAlign w:val="center"/>
                </w:tcPr>
                <w:p>
                  <w:pPr>
                    <w:widowControl/>
                    <w:jc w:val="center"/>
                    <w:textAlignment w:val="center"/>
                    <w:rPr>
                      <w:rFonts w:hint="eastAsia"/>
                      <w:color w:val="auto"/>
                      <w:kern w:val="0"/>
                      <w:szCs w:val="21"/>
                      <w:lang w:val="en-US" w:eastAsia="zh-CN" w:bidi="ar"/>
                    </w:rPr>
                  </w:pPr>
                  <w:r>
                    <w:rPr>
                      <w:rFonts w:hint="eastAsia"/>
                      <w:color w:val="auto"/>
                      <w:kern w:val="0"/>
                      <w:szCs w:val="21"/>
                      <w:lang w:val="en-US" w:eastAsia="zh-CN" w:bidi="ar"/>
                    </w:rPr>
                    <w:t>0.01</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152" w:type="pct"/>
                  <w:tcBorders>
                    <w:top w:val="single" w:color="auto" w:sz="4" w:space="0"/>
                    <w:left w:val="nil"/>
                    <w:bottom w:val="single" w:color="auto" w:sz="4" w:space="0"/>
                    <w:right w:val="single" w:color="auto" w:sz="4" w:space="0"/>
                  </w:tcBorders>
                  <w:shd w:val="clear" w:color="auto" w:fill="EEECE1" w:themeFill="background2"/>
                  <w:vAlign w:val="center"/>
                </w:tcPr>
                <w:p>
                  <w:pPr>
                    <w:widowControl/>
                    <w:jc w:val="center"/>
                    <w:textAlignment w:val="center"/>
                    <w:rPr>
                      <w:color w:val="auto"/>
                      <w:kern w:val="0"/>
                      <w:szCs w:val="21"/>
                      <w:lang w:bidi="ar"/>
                    </w:rPr>
                  </w:pPr>
                  <w:r>
                    <w:rPr>
                      <w:rFonts w:hint="eastAsia"/>
                      <w:color w:val="auto"/>
                      <w:kern w:val="0"/>
                      <w:szCs w:val="21"/>
                      <w:lang w:bidi="ar"/>
                    </w:rPr>
                    <w:t>150</w:t>
                  </w:r>
                </w:p>
              </w:tc>
              <w:tc>
                <w:tcPr>
                  <w:tcW w:w="961"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hint="eastAsia"/>
                      <w:color w:val="auto"/>
                      <w:kern w:val="0"/>
                      <w:szCs w:val="21"/>
                      <w:lang w:val="en-US" w:eastAsia="zh-CN" w:bidi="ar"/>
                    </w:rPr>
                  </w:pPr>
                  <w:r>
                    <w:rPr>
                      <w:rFonts w:hint="eastAsia"/>
                      <w:color w:val="auto"/>
                      <w:kern w:val="0"/>
                      <w:szCs w:val="21"/>
                      <w:lang w:val="en-US" w:eastAsia="zh-CN" w:bidi="ar"/>
                    </w:rPr>
                    <w:t>0.0023</w:t>
                  </w:r>
                </w:p>
              </w:tc>
              <w:tc>
                <w:tcPr>
                  <w:tcW w:w="961"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hint="eastAsia"/>
                      <w:color w:val="auto"/>
                      <w:kern w:val="0"/>
                      <w:szCs w:val="21"/>
                      <w:lang w:val="en-US" w:eastAsia="zh-CN" w:bidi="ar"/>
                    </w:rPr>
                  </w:pPr>
                  <w:r>
                    <w:rPr>
                      <w:rFonts w:hint="eastAsia"/>
                      <w:color w:val="auto"/>
                      <w:kern w:val="0"/>
                      <w:szCs w:val="21"/>
                      <w:lang w:val="en-US" w:eastAsia="zh-CN" w:bidi="ar"/>
                    </w:rPr>
                    <w:t>0.51</w:t>
                  </w:r>
                </w:p>
              </w:tc>
              <w:tc>
                <w:tcPr>
                  <w:tcW w:w="977" w:type="pct"/>
                  <w:tcBorders>
                    <w:top w:val="single" w:color="auto" w:sz="4" w:space="0"/>
                    <w:left w:val="single" w:color="auto" w:sz="4" w:space="0"/>
                    <w:bottom w:val="single" w:color="auto" w:sz="4" w:space="0"/>
                    <w:right w:val="single" w:color="auto" w:sz="4" w:space="0"/>
                  </w:tcBorders>
                  <w:shd w:val="clear" w:color="auto" w:fill="EEECE1" w:themeFill="background2"/>
                  <w:vAlign w:val="center"/>
                </w:tcPr>
                <w:p>
                  <w:pPr>
                    <w:widowControl/>
                    <w:jc w:val="center"/>
                    <w:textAlignment w:val="center"/>
                    <w:rPr>
                      <w:rFonts w:hint="eastAsia"/>
                      <w:color w:val="auto"/>
                      <w:kern w:val="0"/>
                      <w:szCs w:val="21"/>
                      <w:lang w:val="en-US" w:eastAsia="zh-CN" w:bidi="ar"/>
                    </w:rPr>
                  </w:pPr>
                  <w:r>
                    <w:rPr>
                      <w:rFonts w:hint="eastAsia"/>
                      <w:color w:val="auto"/>
                      <w:kern w:val="0"/>
                      <w:szCs w:val="21"/>
                      <w:lang w:val="en-US" w:eastAsia="zh-CN" w:bidi="ar"/>
                    </w:rPr>
                    <w:t>0.0002</w:t>
                  </w:r>
                </w:p>
              </w:tc>
              <w:tc>
                <w:tcPr>
                  <w:tcW w:w="947" w:type="pct"/>
                  <w:tcBorders>
                    <w:top w:val="single" w:color="auto" w:sz="4" w:space="0"/>
                    <w:left w:val="single" w:color="auto" w:sz="4" w:space="0"/>
                    <w:bottom w:val="single" w:color="auto" w:sz="4" w:space="0"/>
                    <w:right w:val="nil"/>
                  </w:tcBorders>
                  <w:shd w:val="clear" w:color="auto" w:fill="EEECE1" w:themeFill="background2"/>
                  <w:vAlign w:val="center"/>
                </w:tcPr>
                <w:p>
                  <w:pPr>
                    <w:widowControl/>
                    <w:jc w:val="center"/>
                    <w:textAlignment w:val="center"/>
                    <w:rPr>
                      <w:rFonts w:hint="eastAsia"/>
                      <w:color w:val="auto"/>
                      <w:kern w:val="0"/>
                      <w:szCs w:val="21"/>
                      <w:lang w:val="en-US" w:eastAsia="zh-CN" w:bidi="ar"/>
                    </w:rPr>
                  </w:pPr>
                  <w:r>
                    <w:rPr>
                      <w:rFonts w:hint="eastAsia"/>
                      <w:color w:val="auto"/>
                      <w:kern w:val="0"/>
                      <w:szCs w:val="21"/>
                      <w:lang w:val="en-US" w:eastAsia="zh-CN" w:bidi="ar"/>
                    </w:rPr>
                    <w:t>0.01</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152" w:type="pct"/>
                  <w:tcBorders>
                    <w:top w:val="single" w:color="auto" w:sz="4" w:space="0"/>
                    <w:left w:val="nil"/>
                    <w:bottom w:val="single" w:color="auto" w:sz="4" w:space="0"/>
                    <w:right w:val="single" w:color="auto" w:sz="4" w:space="0"/>
                  </w:tcBorders>
                  <w:shd w:val="clear" w:color="auto" w:fill="CCE8CF"/>
                  <w:vAlign w:val="center"/>
                </w:tcPr>
                <w:p>
                  <w:pPr>
                    <w:widowControl/>
                    <w:jc w:val="center"/>
                    <w:textAlignment w:val="center"/>
                    <w:rPr>
                      <w:color w:val="auto"/>
                      <w:kern w:val="0"/>
                      <w:szCs w:val="21"/>
                      <w:lang w:bidi="ar"/>
                    </w:rPr>
                  </w:pPr>
                  <w:r>
                    <w:rPr>
                      <w:rFonts w:hint="eastAsia"/>
                      <w:color w:val="auto"/>
                      <w:kern w:val="0"/>
                      <w:szCs w:val="21"/>
                      <w:lang w:bidi="ar"/>
                    </w:rPr>
                    <w:t>175</w:t>
                  </w:r>
                </w:p>
              </w:tc>
              <w:tc>
                <w:tcPr>
                  <w:tcW w:w="961" w:type="pct"/>
                  <w:tcBorders>
                    <w:top w:val="single" w:color="auto" w:sz="4" w:space="0"/>
                    <w:left w:val="single" w:color="auto" w:sz="4" w:space="0"/>
                    <w:bottom w:val="single" w:color="auto" w:sz="4" w:space="0"/>
                    <w:right w:val="single" w:color="auto" w:sz="4" w:space="0"/>
                  </w:tcBorders>
                  <w:shd w:val="clear" w:color="auto" w:fill="CCE8CF"/>
                  <w:vAlign w:val="center"/>
                </w:tcPr>
                <w:p>
                  <w:pPr>
                    <w:widowControl/>
                    <w:jc w:val="center"/>
                    <w:textAlignment w:val="center"/>
                    <w:rPr>
                      <w:rFonts w:hint="eastAsia"/>
                      <w:color w:val="auto"/>
                      <w:kern w:val="0"/>
                      <w:szCs w:val="21"/>
                      <w:lang w:val="en-US" w:eastAsia="zh-CN" w:bidi="ar"/>
                    </w:rPr>
                  </w:pPr>
                  <w:r>
                    <w:rPr>
                      <w:rFonts w:hint="eastAsia"/>
                      <w:color w:val="auto"/>
                      <w:kern w:val="0"/>
                      <w:szCs w:val="21"/>
                      <w:lang w:val="en-US" w:eastAsia="zh-CN" w:bidi="ar"/>
                    </w:rPr>
                    <w:t>0.0021</w:t>
                  </w:r>
                </w:p>
              </w:tc>
              <w:tc>
                <w:tcPr>
                  <w:tcW w:w="961" w:type="pct"/>
                  <w:tcBorders>
                    <w:top w:val="single" w:color="auto" w:sz="4" w:space="0"/>
                    <w:left w:val="single" w:color="auto" w:sz="4" w:space="0"/>
                    <w:bottom w:val="single" w:color="auto" w:sz="4" w:space="0"/>
                    <w:right w:val="single" w:color="auto" w:sz="4" w:space="0"/>
                  </w:tcBorders>
                  <w:shd w:val="clear" w:color="auto" w:fill="CCE8CF"/>
                  <w:vAlign w:val="center"/>
                </w:tcPr>
                <w:p>
                  <w:pPr>
                    <w:widowControl/>
                    <w:jc w:val="center"/>
                    <w:textAlignment w:val="center"/>
                    <w:rPr>
                      <w:rFonts w:hint="eastAsia"/>
                      <w:color w:val="auto"/>
                      <w:kern w:val="0"/>
                      <w:szCs w:val="21"/>
                      <w:lang w:val="en-US" w:eastAsia="zh-CN" w:bidi="ar"/>
                    </w:rPr>
                  </w:pPr>
                  <w:r>
                    <w:rPr>
                      <w:rFonts w:hint="eastAsia"/>
                      <w:color w:val="auto"/>
                      <w:kern w:val="0"/>
                      <w:szCs w:val="21"/>
                      <w:lang w:val="en-US" w:eastAsia="zh-CN" w:bidi="ar"/>
                    </w:rPr>
                    <w:t>0.46</w:t>
                  </w:r>
                </w:p>
              </w:tc>
              <w:tc>
                <w:tcPr>
                  <w:tcW w:w="977" w:type="pct"/>
                  <w:tcBorders>
                    <w:top w:val="single" w:color="auto" w:sz="4" w:space="0"/>
                    <w:left w:val="single" w:color="auto" w:sz="4" w:space="0"/>
                    <w:bottom w:val="single" w:color="auto" w:sz="4" w:space="0"/>
                    <w:right w:val="single" w:color="auto" w:sz="4" w:space="0"/>
                  </w:tcBorders>
                  <w:shd w:val="clear" w:color="auto" w:fill="CCE8CF"/>
                  <w:vAlign w:val="center"/>
                </w:tcPr>
                <w:p>
                  <w:pPr>
                    <w:widowControl/>
                    <w:jc w:val="center"/>
                    <w:textAlignment w:val="center"/>
                    <w:rPr>
                      <w:rFonts w:hint="eastAsia"/>
                      <w:color w:val="auto"/>
                      <w:kern w:val="0"/>
                      <w:szCs w:val="21"/>
                      <w:lang w:val="en-US" w:eastAsia="zh-CN" w:bidi="ar"/>
                    </w:rPr>
                  </w:pPr>
                  <w:r>
                    <w:rPr>
                      <w:rFonts w:hint="eastAsia"/>
                      <w:color w:val="auto"/>
                      <w:kern w:val="0"/>
                      <w:szCs w:val="21"/>
                      <w:lang w:val="en-US" w:eastAsia="zh-CN" w:bidi="ar"/>
                    </w:rPr>
                    <w:t>0.0001</w:t>
                  </w:r>
                </w:p>
              </w:tc>
              <w:tc>
                <w:tcPr>
                  <w:tcW w:w="947" w:type="pct"/>
                  <w:tcBorders>
                    <w:top w:val="single" w:color="auto" w:sz="4" w:space="0"/>
                    <w:left w:val="single" w:color="auto" w:sz="4" w:space="0"/>
                    <w:bottom w:val="single" w:color="auto" w:sz="4" w:space="0"/>
                    <w:right w:val="nil"/>
                  </w:tcBorders>
                  <w:shd w:val="clear" w:color="auto" w:fill="CCE8CF"/>
                  <w:vAlign w:val="center"/>
                </w:tcPr>
                <w:p>
                  <w:pPr>
                    <w:widowControl/>
                    <w:jc w:val="center"/>
                    <w:textAlignment w:val="center"/>
                    <w:rPr>
                      <w:rFonts w:hint="eastAsia"/>
                      <w:color w:val="auto"/>
                      <w:kern w:val="0"/>
                      <w:szCs w:val="21"/>
                      <w:lang w:val="en-US" w:eastAsia="zh-CN" w:bidi="ar"/>
                    </w:rPr>
                  </w:pPr>
                  <w:r>
                    <w:rPr>
                      <w:rFonts w:hint="eastAsia"/>
                      <w:color w:val="auto"/>
                      <w:kern w:val="0"/>
                      <w:szCs w:val="21"/>
                      <w:lang w:val="en-US" w:eastAsia="zh-CN" w:bidi="ar"/>
                    </w:rPr>
                    <w:t>0.01</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152" w:type="pct"/>
                  <w:tcBorders>
                    <w:top w:val="single" w:color="auto" w:sz="4" w:space="0"/>
                    <w:left w:val="nil"/>
                    <w:bottom w:val="single" w:color="auto" w:sz="4" w:space="0"/>
                    <w:right w:val="single" w:color="auto" w:sz="4" w:space="0"/>
                  </w:tcBorders>
                  <w:shd w:val="clear" w:color="auto" w:fill="CCE8CF"/>
                  <w:vAlign w:val="center"/>
                </w:tcPr>
                <w:p>
                  <w:pPr>
                    <w:widowControl/>
                    <w:jc w:val="center"/>
                    <w:textAlignment w:val="center"/>
                    <w:rPr>
                      <w:color w:val="auto"/>
                      <w:kern w:val="0"/>
                      <w:szCs w:val="21"/>
                      <w:lang w:bidi="ar"/>
                    </w:rPr>
                  </w:pPr>
                  <w:r>
                    <w:rPr>
                      <w:rFonts w:hint="eastAsia"/>
                      <w:color w:val="auto"/>
                      <w:kern w:val="0"/>
                      <w:szCs w:val="21"/>
                      <w:lang w:bidi="ar"/>
                    </w:rPr>
                    <w:t>200</w:t>
                  </w:r>
                </w:p>
              </w:tc>
              <w:tc>
                <w:tcPr>
                  <w:tcW w:w="961" w:type="pct"/>
                  <w:tcBorders>
                    <w:top w:val="single" w:color="auto" w:sz="4" w:space="0"/>
                    <w:left w:val="single" w:color="auto" w:sz="4" w:space="0"/>
                    <w:bottom w:val="single" w:color="auto" w:sz="4" w:space="0"/>
                    <w:right w:val="single" w:color="auto" w:sz="4" w:space="0"/>
                  </w:tcBorders>
                  <w:shd w:val="clear" w:color="auto" w:fill="CCE8CF"/>
                  <w:vAlign w:val="center"/>
                </w:tcPr>
                <w:p>
                  <w:pPr>
                    <w:widowControl/>
                    <w:jc w:val="center"/>
                    <w:textAlignment w:val="center"/>
                    <w:rPr>
                      <w:rFonts w:hint="eastAsia"/>
                      <w:color w:val="auto"/>
                      <w:kern w:val="0"/>
                      <w:szCs w:val="21"/>
                      <w:lang w:val="en-US" w:eastAsia="zh-CN" w:bidi="ar"/>
                    </w:rPr>
                  </w:pPr>
                  <w:r>
                    <w:rPr>
                      <w:rFonts w:hint="eastAsia"/>
                      <w:color w:val="auto"/>
                      <w:kern w:val="0"/>
                      <w:szCs w:val="21"/>
                      <w:lang w:val="en-US" w:eastAsia="zh-CN" w:bidi="ar"/>
                    </w:rPr>
                    <w:t>0.0018</w:t>
                  </w:r>
                </w:p>
              </w:tc>
              <w:tc>
                <w:tcPr>
                  <w:tcW w:w="961" w:type="pct"/>
                  <w:tcBorders>
                    <w:top w:val="single" w:color="auto" w:sz="4" w:space="0"/>
                    <w:left w:val="single" w:color="auto" w:sz="4" w:space="0"/>
                    <w:bottom w:val="single" w:color="auto" w:sz="4" w:space="0"/>
                    <w:right w:val="single" w:color="auto" w:sz="4" w:space="0"/>
                  </w:tcBorders>
                  <w:shd w:val="clear" w:color="auto" w:fill="CCE8CF"/>
                  <w:vAlign w:val="center"/>
                </w:tcPr>
                <w:p>
                  <w:pPr>
                    <w:widowControl/>
                    <w:jc w:val="center"/>
                    <w:textAlignment w:val="center"/>
                    <w:rPr>
                      <w:rFonts w:hint="eastAsia"/>
                      <w:color w:val="auto"/>
                      <w:kern w:val="0"/>
                      <w:szCs w:val="21"/>
                      <w:lang w:val="en-US" w:eastAsia="zh-CN" w:bidi="ar"/>
                    </w:rPr>
                  </w:pPr>
                  <w:r>
                    <w:rPr>
                      <w:rFonts w:hint="eastAsia"/>
                      <w:color w:val="auto"/>
                      <w:kern w:val="0"/>
                      <w:szCs w:val="21"/>
                      <w:lang w:val="en-US" w:eastAsia="zh-CN" w:bidi="ar"/>
                    </w:rPr>
                    <w:t>0.41</w:t>
                  </w:r>
                </w:p>
              </w:tc>
              <w:tc>
                <w:tcPr>
                  <w:tcW w:w="977" w:type="pct"/>
                  <w:tcBorders>
                    <w:top w:val="single" w:color="auto" w:sz="4" w:space="0"/>
                    <w:left w:val="single" w:color="auto" w:sz="4" w:space="0"/>
                    <w:bottom w:val="single" w:color="auto" w:sz="4" w:space="0"/>
                    <w:right w:val="single" w:color="auto" w:sz="4" w:space="0"/>
                  </w:tcBorders>
                  <w:shd w:val="clear" w:color="auto" w:fill="CCE8CF"/>
                  <w:vAlign w:val="center"/>
                </w:tcPr>
                <w:p>
                  <w:pPr>
                    <w:widowControl/>
                    <w:jc w:val="center"/>
                    <w:textAlignment w:val="center"/>
                    <w:rPr>
                      <w:rFonts w:hint="eastAsia"/>
                      <w:color w:val="auto"/>
                      <w:kern w:val="0"/>
                      <w:szCs w:val="21"/>
                      <w:lang w:val="en-US" w:eastAsia="zh-CN" w:bidi="ar"/>
                    </w:rPr>
                  </w:pPr>
                  <w:r>
                    <w:rPr>
                      <w:rFonts w:hint="eastAsia"/>
                      <w:color w:val="auto"/>
                      <w:kern w:val="0"/>
                      <w:szCs w:val="21"/>
                      <w:lang w:val="en-US" w:eastAsia="zh-CN" w:bidi="ar"/>
                    </w:rPr>
                    <w:t>0.0001</w:t>
                  </w:r>
                </w:p>
              </w:tc>
              <w:tc>
                <w:tcPr>
                  <w:tcW w:w="947" w:type="pct"/>
                  <w:tcBorders>
                    <w:top w:val="single" w:color="auto" w:sz="4" w:space="0"/>
                    <w:left w:val="single" w:color="auto" w:sz="4" w:space="0"/>
                    <w:bottom w:val="single" w:color="auto" w:sz="4" w:space="0"/>
                    <w:right w:val="nil"/>
                  </w:tcBorders>
                  <w:shd w:val="clear" w:color="auto" w:fill="CCE8CF"/>
                  <w:vAlign w:val="center"/>
                </w:tcPr>
                <w:p>
                  <w:pPr>
                    <w:widowControl/>
                    <w:jc w:val="center"/>
                    <w:textAlignment w:val="center"/>
                    <w:rPr>
                      <w:rFonts w:hint="eastAsia"/>
                      <w:color w:val="auto"/>
                      <w:kern w:val="0"/>
                      <w:szCs w:val="21"/>
                      <w:lang w:val="en-US" w:eastAsia="zh-CN" w:bidi="ar"/>
                    </w:rPr>
                  </w:pPr>
                  <w:r>
                    <w:rPr>
                      <w:rFonts w:hint="eastAsia"/>
                      <w:color w:val="auto"/>
                      <w:kern w:val="0"/>
                      <w:szCs w:val="21"/>
                      <w:lang w:val="en-US" w:eastAsia="zh-CN" w:bidi="ar"/>
                    </w:rPr>
                    <w:t>0.01</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152" w:type="pct"/>
                  <w:tcBorders>
                    <w:top w:val="single" w:color="auto" w:sz="4" w:space="0"/>
                    <w:left w:val="nil"/>
                    <w:bottom w:val="single" w:color="auto" w:sz="4" w:space="0"/>
                    <w:right w:val="single" w:color="auto" w:sz="4" w:space="0"/>
                  </w:tcBorders>
                  <w:shd w:val="clear" w:color="auto" w:fill="CCE8CF"/>
                  <w:vAlign w:val="center"/>
                </w:tcPr>
                <w:p>
                  <w:pPr>
                    <w:widowControl/>
                    <w:jc w:val="center"/>
                    <w:textAlignment w:val="center"/>
                    <w:rPr>
                      <w:color w:val="auto"/>
                      <w:kern w:val="0"/>
                      <w:szCs w:val="21"/>
                      <w:lang w:bidi="ar"/>
                    </w:rPr>
                  </w:pPr>
                  <w:r>
                    <w:rPr>
                      <w:rFonts w:hint="eastAsia"/>
                      <w:color w:val="auto"/>
                      <w:kern w:val="0"/>
                      <w:szCs w:val="21"/>
                      <w:lang w:bidi="ar"/>
                    </w:rPr>
                    <w:t>225</w:t>
                  </w:r>
                </w:p>
              </w:tc>
              <w:tc>
                <w:tcPr>
                  <w:tcW w:w="961" w:type="pct"/>
                  <w:tcBorders>
                    <w:top w:val="single" w:color="auto" w:sz="4" w:space="0"/>
                    <w:left w:val="single" w:color="auto" w:sz="4" w:space="0"/>
                    <w:bottom w:val="single" w:color="auto" w:sz="4" w:space="0"/>
                    <w:right w:val="single" w:color="auto" w:sz="4" w:space="0"/>
                  </w:tcBorders>
                  <w:shd w:val="clear" w:color="auto" w:fill="CCE8CF"/>
                  <w:vAlign w:val="center"/>
                </w:tcPr>
                <w:p>
                  <w:pPr>
                    <w:widowControl/>
                    <w:jc w:val="center"/>
                    <w:textAlignment w:val="center"/>
                    <w:rPr>
                      <w:rFonts w:hint="eastAsia"/>
                      <w:color w:val="auto"/>
                      <w:kern w:val="0"/>
                      <w:szCs w:val="21"/>
                      <w:lang w:val="en-US" w:eastAsia="zh-CN" w:bidi="ar"/>
                    </w:rPr>
                  </w:pPr>
                  <w:r>
                    <w:rPr>
                      <w:rFonts w:hint="eastAsia"/>
                      <w:color w:val="auto"/>
                      <w:kern w:val="0"/>
                      <w:szCs w:val="21"/>
                      <w:lang w:val="en-US" w:eastAsia="zh-CN" w:bidi="ar"/>
                    </w:rPr>
                    <w:t>0.0016</w:t>
                  </w:r>
                </w:p>
              </w:tc>
              <w:tc>
                <w:tcPr>
                  <w:tcW w:w="961" w:type="pct"/>
                  <w:tcBorders>
                    <w:top w:val="single" w:color="auto" w:sz="4" w:space="0"/>
                    <w:left w:val="single" w:color="auto" w:sz="4" w:space="0"/>
                    <w:bottom w:val="single" w:color="auto" w:sz="4" w:space="0"/>
                    <w:right w:val="single" w:color="auto" w:sz="4" w:space="0"/>
                  </w:tcBorders>
                  <w:shd w:val="clear" w:color="auto" w:fill="CCE8CF"/>
                  <w:vAlign w:val="center"/>
                </w:tcPr>
                <w:p>
                  <w:pPr>
                    <w:widowControl/>
                    <w:jc w:val="center"/>
                    <w:textAlignment w:val="center"/>
                    <w:rPr>
                      <w:rFonts w:hint="eastAsia"/>
                      <w:color w:val="auto"/>
                      <w:kern w:val="0"/>
                      <w:szCs w:val="21"/>
                      <w:lang w:val="en-US" w:eastAsia="zh-CN" w:bidi="ar"/>
                    </w:rPr>
                  </w:pPr>
                  <w:r>
                    <w:rPr>
                      <w:rFonts w:hint="eastAsia"/>
                      <w:color w:val="auto"/>
                      <w:kern w:val="0"/>
                      <w:szCs w:val="21"/>
                      <w:lang w:val="en-US" w:eastAsia="zh-CN" w:bidi="ar"/>
                    </w:rPr>
                    <w:t>0.37</w:t>
                  </w:r>
                </w:p>
              </w:tc>
              <w:tc>
                <w:tcPr>
                  <w:tcW w:w="977" w:type="pct"/>
                  <w:tcBorders>
                    <w:top w:val="single" w:color="auto" w:sz="4" w:space="0"/>
                    <w:left w:val="single" w:color="auto" w:sz="4" w:space="0"/>
                    <w:bottom w:val="single" w:color="auto" w:sz="4" w:space="0"/>
                    <w:right w:val="single" w:color="auto" w:sz="4" w:space="0"/>
                  </w:tcBorders>
                  <w:shd w:val="clear" w:color="auto" w:fill="CCE8CF"/>
                  <w:vAlign w:val="center"/>
                </w:tcPr>
                <w:p>
                  <w:pPr>
                    <w:widowControl/>
                    <w:jc w:val="center"/>
                    <w:textAlignment w:val="center"/>
                    <w:rPr>
                      <w:rFonts w:hint="eastAsia"/>
                      <w:color w:val="auto"/>
                      <w:kern w:val="0"/>
                      <w:szCs w:val="21"/>
                      <w:lang w:val="en-US" w:eastAsia="zh-CN" w:bidi="ar"/>
                    </w:rPr>
                  </w:pPr>
                  <w:r>
                    <w:rPr>
                      <w:rFonts w:hint="eastAsia"/>
                      <w:color w:val="auto"/>
                      <w:kern w:val="0"/>
                      <w:szCs w:val="21"/>
                      <w:lang w:val="en-US" w:eastAsia="zh-CN" w:bidi="ar"/>
                    </w:rPr>
                    <w:t>0.0001</w:t>
                  </w:r>
                </w:p>
              </w:tc>
              <w:tc>
                <w:tcPr>
                  <w:tcW w:w="947" w:type="pct"/>
                  <w:tcBorders>
                    <w:top w:val="single" w:color="auto" w:sz="4" w:space="0"/>
                    <w:left w:val="single" w:color="auto" w:sz="4" w:space="0"/>
                    <w:bottom w:val="single" w:color="auto" w:sz="4" w:space="0"/>
                    <w:right w:val="nil"/>
                  </w:tcBorders>
                  <w:shd w:val="clear" w:color="auto" w:fill="CCE8CF"/>
                  <w:vAlign w:val="center"/>
                </w:tcPr>
                <w:p>
                  <w:pPr>
                    <w:widowControl/>
                    <w:jc w:val="center"/>
                    <w:textAlignment w:val="center"/>
                    <w:rPr>
                      <w:rFonts w:hint="eastAsia"/>
                      <w:color w:val="auto"/>
                      <w:kern w:val="0"/>
                      <w:szCs w:val="21"/>
                      <w:lang w:val="en-US" w:eastAsia="zh-CN" w:bidi="ar"/>
                    </w:rPr>
                  </w:pPr>
                  <w:r>
                    <w:rPr>
                      <w:rFonts w:hint="eastAsia"/>
                      <w:color w:val="auto"/>
                      <w:kern w:val="0"/>
                      <w:szCs w:val="21"/>
                      <w:lang w:val="en-US" w:eastAsia="zh-CN" w:bidi="ar"/>
                    </w:rPr>
                    <w:t>0.01</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152" w:type="pct"/>
                  <w:tcBorders>
                    <w:top w:val="single" w:color="auto" w:sz="4" w:space="0"/>
                    <w:left w:val="nil"/>
                    <w:bottom w:val="single" w:color="auto" w:sz="4" w:space="0"/>
                    <w:right w:val="single" w:color="auto" w:sz="4" w:space="0"/>
                  </w:tcBorders>
                  <w:shd w:val="clear" w:color="auto" w:fill="CCE8CF"/>
                  <w:vAlign w:val="center"/>
                </w:tcPr>
                <w:p>
                  <w:pPr>
                    <w:widowControl/>
                    <w:jc w:val="center"/>
                    <w:textAlignment w:val="center"/>
                    <w:rPr>
                      <w:color w:val="auto"/>
                      <w:kern w:val="0"/>
                      <w:szCs w:val="21"/>
                      <w:lang w:bidi="ar"/>
                    </w:rPr>
                  </w:pPr>
                  <w:r>
                    <w:rPr>
                      <w:rFonts w:hint="eastAsia"/>
                      <w:color w:val="auto"/>
                      <w:kern w:val="0"/>
                      <w:szCs w:val="21"/>
                      <w:lang w:bidi="ar"/>
                    </w:rPr>
                    <w:t>250</w:t>
                  </w:r>
                </w:p>
              </w:tc>
              <w:tc>
                <w:tcPr>
                  <w:tcW w:w="961" w:type="pct"/>
                  <w:tcBorders>
                    <w:top w:val="single" w:color="auto" w:sz="4" w:space="0"/>
                    <w:left w:val="single" w:color="auto" w:sz="4" w:space="0"/>
                    <w:bottom w:val="single" w:color="auto" w:sz="4" w:space="0"/>
                    <w:right w:val="single" w:color="auto" w:sz="4" w:space="0"/>
                  </w:tcBorders>
                  <w:shd w:val="clear" w:color="auto" w:fill="CCE8CF"/>
                  <w:vAlign w:val="center"/>
                </w:tcPr>
                <w:p>
                  <w:pPr>
                    <w:widowControl/>
                    <w:jc w:val="center"/>
                    <w:textAlignment w:val="center"/>
                    <w:rPr>
                      <w:rFonts w:hint="eastAsia"/>
                      <w:color w:val="auto"/>
                      <w:kern w:val="0"/>
                      <w:szCs w:val="21"/>
                      <w:lang w:val="en-US" w:eastAsia="zh-CN" w:bidi="ar"/>
                    </w:rPr>
                  </w:pPr>
                  <w:r>
                    <w:rPr>
                      <w:rFonts w:hint="eastAsia"/>
                      <w:color w:val="auto"/>
                      <w:kern w:val="0"/>
                      <w:szCs w:val="21"/>
                      <w:lang w:val="en-US" w:eastAsia="zh-CN" w:bidi="ar"/>
                    </w:rPr>
                    <w:t>0.0015</w:t>
                  </w:r>
                </w:p>
              </w:tc>
              <w:tc>
                <w:tcPr>
                  <w:tcW w:w="961" w:type="pct"/>
                  <w:tcBorders>
                    <w:top w:val="single" w:color="auto" w:sz="4" w:space="0"/>
                    <w:left w:val="single" w:color="auto" w:sz="4" w:space="0"/>
                    <w:bottom w:val="single" w:color="auto" w:sz="4" w:space="0"/>
                    <w:right w:val="single" w:color="auto" w:sz="4" w:space="0"/>
                  </w:tcBorders>
                  <w:shd w:val="clear" w:color="auto" w:fill="CCE8CF"/>
                  <w:vAlign w:val="center"/>
                </w:tcPr>
                <w:p>
                  <w:pPr>
                    <w:widowControl/>
                    <w:jc w:val="center"/>
                    <w:textAlignment w:val="center"/>
                    <w:rPr>
                      <w:rFonts w:hint="eastAsia"/>
                      <w:color w:val="auto"/>
                      <w:kern w:val="0"/>
                      <w:szCs w:val="21"/>
                      <w:lang w:val="en-US" w:eastAsia="zh-CN" w:bidi="ar"/>
                    </w:rPr>
                  </w:pPr>
                  <w:r>
                    <w:rPr>
                      <w:rFonts w:hint="eastAsia"/>
                      <w:color w:val="auto"/>
                      <w:kern w:val="0"/>
                      <w:szCs w:val="21"/>
                      <w:lang w:val="en-US" w:eastAsia="zh-CN" w:bidi="ar"/>
                    </w:rPr>
                    <w:t>0.33</w:t>
                  </w:r>
                </w:p>
              </w:tc>
              <w:tc>
                <w:tcPr>
                  <w:tcW w:w="977" w:type="pct"/>
                  <w:tcBorders>
                    <w:top w:val="single" w:color="auto" w:sz="4" w:space="0"/>
                    <w:left w:val="single" w:color="auto" w:sz="4" w:space="0"/>
                    <w:bottom w:val="single" w:color="auto" w:sz="4" w:space="0"/>
                    <w:right w:val="single" w:color="auto" w:sz="4" w:space="0"/>
                  </w:tcBorders>
                  <w:shd w:val="clear" w:color="auto" w:fill="CCE8CF"/>
                  <w:vAlign w:val="center"/>
                </w:tcPr>
                <w:p>
                  <w:pPr>
                    <w:widowControl/>
                    <w:jc w:val="center"/>
                    <w:textAlignment w:val="center"/>
                    <w:rPr>
                      <w:rFonts w:hint="eastAsia"/>
                      <w:color w:val="auto"/>
                      <w:kern w:val="0"/>
                      <w:szCs w:val="21"/>
                      <w:lang w:val="en-US" w:eastAsia="zh-CN" w:bidi="ar"/>
                    </w:rPr>
                  </w:pPr>
                  <w:r>
                    <w:rPr>
                      <w:rFonts w:hint="eastAsia"/>
                      <w:color w:val="auto"/>
                      <w:kern w:val="0"/>
                      <w:szCs w:val="21"/>
                      <w:lang w:val="en-US" w:eastAsia="zh-CN" w:bidi="ar"/>
                    </w:rPr>
                    <w:t>0.0001</w:t>
                  </w:r>
                </w:p>
              </w:tc>
              <w:tc>
                <w:tcPr>
                  <w:tcW w:w="947" w:type="pct"/>
                  <w:tcBorders>
                    <w:top w:val="single" w:color="auto" w:sz="4" w:space="0"/>
                    <w:left w:val="single" w:color="auto" w:sz="4" w:space="0"/>
                    <w:bottom w:val="single" w:color="auto" w:sz="4" w:space="0"/>
                    <w:right w:val="nil"/>
                  </w:tcBorders>
                  <w:shd w:val="clear" w:color="auto" w:fill="CCE8CF"/>
                  <w:vAlign w:val="center"/>
                </w:tcPr>
                <w:p>
                  <w:pPr>
                    <w:widowControl/>
                    <w:jc w:val="center"/>
                    <w:textAlignment w:val="center"/>
                    <w:rPr>
                      <w:rFonts w:hint="eastAsia"/>
                      <w:color w:val="auto"/>
                      <w:kern w:val="0"/>
                      <w:szCs w:val="21"/>
                      <w:lang w:val="en-US" w:eastAsia="zh-CN" w:bidi="ar"/>
                    </w:rPr>
                  </w:pPr>
                  <w:r>
                    <w:rPr>
                      <w:rFonts w:hint="eastAsia"/>
                      <w:color w:val="auto"/>
                      <w:kern w:val="0"/>
                      <w:szCs w:val="21"/>
                      <w:lang w:val="en-US" w:eastAsia="zh-CN" w:bidi="ar"/>
                    </w:rPr>
                    <w:t>0.01</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152" w:type="pct"/>
                  <w:tcBorders>
                    <w:top w:val="single" w:color="auto" w:sz="4" w:space="0"/>
                    <w:left w:val="nil"/>
                    <w:bottom w:val="single" w:color="auto" w:sz="4" w:space="0"/>
                    <w:right w:val="single" w:color="auto" w:sz="4" w:space="0"/>
                  </w:tcBorders>
                  <w:shd w:val="clear" w:color="auto" w:fill="CCE8CF"/>
                  <w:vAlign w:val="center"/>
                </w:tcPr>
                <w:p>
                  <w:pPr>
                    <w:widowControl/>
                    <w:jc w:val="center"/>
                    <w:textAlignment w:val="center"/>
                    <w:rPr>
                      <w:color w:val="auto"/>
                      <w:kern w:val="0"/>
                      <w:szCs w:val="21"/>
                      <w:lang w:bidi="ar"/>
                    </w:rPr>
                  </w:pPr>
                  <w:r>
                    <w:rPr>
                      <w:rFonts w:hint="eastAsia"/>
                      <w:color w:val="auto"/>
                      <w:kern w:val="0"/>
                      <w:szCs w:val="21"/>
                      <w:lang w:bidi="ar"/>
                    </w:rPr>
                    <w:t>275</w:t>
                  </w:r>
                </w:p>
              </w:tc>
              <w:tc>
                <w:tcPr>
                  <w:tcW w:w="961" w:type="pct"/>
                  <w:tcBorders>
                    <w:top w:val="single" w:color="auto" w:sz="4" w:space="0"/>
                    <w:left w:val="single" w:color="auto" w:sz="4" w:space="0"/>
                    <w:bottom w:val="single" w:color="auto" w:sz="4" w:space="0"/>
                    <w:right w:val="single" w:color="auto" w:sz="4" w:space="0"/>
                  </w:tcBorders>
                  <w:shd w:val="clear" w:color="auto" w:fill="CCE8CF"/>
                  <w:vAlign w:val="center"/>
                </w:tcPr>
                <w:p>
                  <w:pPr>
                    <w:widowControl/>
                    <w:jc w:val="center"/>
                    <w:textAlignment w:val="center"/>
                    <w:rPr>
                      <w:rFonts w:hint="eastAsia"/>
                      <w:color w:val="auto"/>
                      <w:kern w:val="0"/>
                      <w:szCs w:val="21"/>
                      <w:lang w:val="en-US" w:eastAsia="zh-CN" w:bidi="ar"/>
                    </w:rPr>
                  </w:pPr>
                  <w:r>
                    <w:rPr>
                      <w:rFonts w:hint="eastAsia"/>
                      <w:color w:val="auto"/>
                      <w:kern w:val="0"/>
                      <w:szCs w:val="21"/>
                      <w:lang w:val="en-US" w:eastAsia="zh-CN" w:bidi="ar"/>
                    </w:rPr>
                    <w:t>0.0013</w:t>
                  </w:r>
                </w:p>
              </w:tc>
              <w:tc>
                <w:tcPr>
                  <w:tcW w:w="961" w:type="pct"/>
                  <w:tcBorders>
                    <w:top w:val="single" w:color="auto" w:sz="4" w:space="0"/>
                    <w:left w:val="single" w:color="auto" w:sz="4" w:space="0"/>
                    <w:bottom w:val="single" w:color="auto" w:sz="4" w:space="0"/>
                    <w:right w:val="single" w:color="auto" w:sz="4" w:space="0"/>
                  </w:tcBorders>
                  <w:shd w:val="clear" w:color="auto" w:fill="CCE8CF"/>
                  <w:vAlign w:val="center"/>
                </w:tcPr>
                <w:p>
                  <w:pPr>
                    <w:widowControl/>
                    <w:jc w:val="center"/>
                    <w:textAlignment w:val="center"/>
                    <w:rPr>
                      <w:rFonts w:hint="eastAsia"/>
                      <w:color w:val="auto"/>
                      <w:kern w:val="0"/>
                      <w:szCs w:val="21"/>
                      <w:lang w:val="en-US" w:eastAsia="zh-CN" w:bidi="ar"/>
                    </w:rPr>
                  </w:pPr>
                  <w:r>
                    <w:rPr>
                      <w:rFonts w:hint="eastAsia"/>
                      <w:color w:val="auto"/>
                      <w:kern w:val="0"/>
                      <w:szCs w:val="21"/>
                      <w:lang w:val="en-US" w:eastAsia="zh-CN" w:bidi="ar"/>
                    </w:rPr>
                    <w:t>0.3</w:t>
                  </w:r>
                </w:p>
              </w:tc>
              <w:tc>
                <w:tcPr>
                  <w:tcW w:w="977" w:type="pct"/>
                  <w:tcBorders>
                    <w:top w:val="single" w:color="auto" w:sz="4" w:space="0"/>
                    <w:left w:val="single" w:color="auto" w:sz="4" w:space="0"/>
                    <w:bottom w:val="single" w:color="auto" w:sz="4" w:space="0"/>
                    <w:right w:val="single" w:color="auto" w:sz="4" w:space="0"/>
                  </w:tcBorders>
                  <w:shd w:val="clear" w:color="auto" w:fill="CCE8CF"/>
                  <w:vAlign w:val="center"/>
                </w:tcPr>
                <w:p>
                  <w:pPr>
                    <w:widowControl/>
                    <w:jc w:val="center"/>
                    <w:textAlignment w:val="center"/>
                    <w:rPr>
                      <w:rFonts w:hint="eastAsia"/>
                      <w:color w:val="auto"/>
                      <w:kern w:val="0"/>
                      <w:szCs w:val="21"/>
                      <w:lang w:val="en-US" w:eastAsia="zh-CN" w:bidi="ar"/>
                    </w:rPr>
                  </w:pPr>
                  <w:r>
                    <w:rPr>
                      <w:rFonts w:hint="eastAsia"/>
                      <w:color w:val="auto"/>
                      <w:kern w:val="0"/>
                      <w:szCs w:val="21"/>
                      <w:lang w:val="en-US" w:eastAsia="zh-CN" w:bidi="ar"/>
                    </w:rPr>
                    <w:t>0.0001</w:t>
                  </w:r>
                </w:p>
              </w:tc>
              <w:tc>
                <w:tcPr>
                  <w:tcW w:w="947" w:type="pct"/>
                  <w:tcBorders>
                    <w:top w:val="single" w:color="auto" w:sz="4" w:space="0"/>
                    <w:left w:val="single" w:color="auto" w:sz="4" w:space="0"/>
                    <w:bottom w:val="single" w:color="auto" w:sz="4" w:space="0"/>
                    <w:right w:val="nil"/>
                  </w:tcBorders>
                  <w:shd w:val="clear" w:color="auto" w:fill="CCE8CF"/>
                  <w:vAlign w:val="center"/>
                </w:tcPr>
                <w:p>
                  <w:pPr>
                    <w:widowControl/>
                    <w:jc w:val="center"/>
                    <w:textAlignment w:val="center"/>
                    <w:rPr>
                      <w:rFonts w:hint="eastAsia"/>
                      <w:color w:val="auto"/>
                      <w:kern w:val="0"/>
                      <w:szCs w:val="21"/>
                      <w:lang w:val="en-US" w:eastAsia="zh-CN" w:bidi="ar"/>
                    </w:rPr>
                  </w:pPr>
                  <w:r>
                    <w:rPr>
                      <w:rFonts w:hint="eastAsia"/>
                      <w:color w:val="auto"/>
                      <w:kern w:val="0"/>
                      <w:szCs w:val="21"/>
                      <w:lang w:val="en-US" w:eastAsia="zh-CN" w:bidi="ar"/>
                    </w:rPr>
                    <w:t>0</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152" w:type="pct"/>
                  <w:tcBorders>
                    <w:top w:val="single" w:color="auto" w:sz="4" w:space="0"/>
                    <w:left w:val="nil"/>
                    <w:bottom w:val="single" w:color="auto" w:sz="4" w:space="0"/>
                    <w:right w:val="single" w:color="auto" w:sz="4" w:space="0"/>
                  </w:tcBorders>
                  <w:shd w:val="clear" w:color="auto" w:fill="CCE8CF"/>
                  <w:vAlign w:val="center"/>
                </w:tcPr>
                <w:p>
                  <w:pPr>
                    <w:widowControl/>
                    <w:jc w:val="center"/>
                    <w:textAlignment w:val="center"/>
                    <w:rPr>
                      <w:color w:val="auto"/>
                      <w:kern w:val="0"/>
                      <w:szCs w:val="21"/>
                      <w:lang w:bidi="ar"/>
                    </w:rPr>
                  </w:pPr>
                  <w:r>
                    <w:rPr>
                      <w:rFonts w:hint="eastAsia"/>
                      <w:color w:val="auto"/>
                      <w:kern w:val="0"/>
                      <w:szCs w:val="21"/>
                      <w:lang w:bidi="ar"/>
                    </w:rPr>
                    <w:t>300</w:t>
                  </w:r>
                </w:p>
              </w:tc>
              <w:tc>
                <w:tcPr>
                  <w:tcW w:w="961" w:type="pct"/>
                  <w:tcBorders>
                    <w:top w:val="single" w:color="auto" w:sz="4" w:space="0"/>
                    <w:left w:val="single" w:color="auto" w:sz="4" w:space="0"/>
                    <w:bottom w:val="single" w:color="auto" w:sz="4" w:space="0"/>
                    <w:right w:val="single" w:color="auto" w:sz="4" w:space="0"/>
                  </w:tcBorders>
                  <w:shd w:val="clear" w:color="auto" w:fill="CCE8CF"/>
                  <w:vAlign w:val="center"/>
                </w:tcPr>
                <w:p>
                  <w:pPr>
                    <w:widowControl/>
                    <w:jc w:val="center"/>
                    <w:textAlignment w:val="center"/>
                    <w:rPr>
                      <w:rFonts w:hint="eastAsia"/>
                      <w:color w:val="auto"/>
                      <w:kern w:val="0"/>
                      <w:szCs w:val="21"/>
                      <w:lang w:val="en-US" w:eastAsia="zh-CN" w:bidi="ar"/>
                    </w:rPr>
                  </w:pPr>
                  <w:r>
                    <w:rPr>
                      <w:rFonts w:hint="eastAsia"/>
                      <w:color w:val="auto"/>
                      <w:kern w:val="0"/>
                      <w:szCs w:val="21"/>
                      <w:lang w:val="en-US" w:eastAsia="zh-CN" w:bidi="ar"/>
                    </w:rPr>
                    <w:t>0.0012</w:t>
                  </w:r>
                </w:p>
              </w:tc>
              <w:tc>
                <w:tcPr>
                  <w:tcW w:w="961" w:type="pct"/>
                  <w:tcBorders>
                    <w:top w:val="single" w:color="auto" w:sz="4" w:space="0"/>
                    <w:left w:val="single" w:color="auto" w:sz="4" w:space="0"/>
                    <w:bottom w:val="single" w:color="auto" w:sz="4" w:space="0"/>
                    <w:right w:val="single" w:color="auto" w:sz="4" w:space="0"/>
                  </w:tcBorders>
                  <w:shd w:val="clear" w:color="auto" w:fill="CCE8CF"/>
                  <w:vAlign w:val="center"/>
                </w:tcPr>
                <w:p>
                  <w:pPr>
                    <w:widowControl/>
                    <w:jc w:val="center"/>
                    <w:textAlignment w:val="center"/>
                    <w:rPr>
                      <w:rFonts w:hint="eastAsia"/>
                      <w:color w:val="auto"/>
                      <w:kern w:val="0"/>
                      <w:szCs w:val="21"/>
                      <w:lang w:val="en-US" w:eastAsia="zh-CN" w:bidi="ar"/>
                    </w:rPr>
                  </w:pPr>
                  <w:r>
                    <w:rPr>
                      <w:rFonts w:hint="eastAsia"/>
                      <w:color w:val="auto"/>
                      <w:kern w:val="0"/>
                      <w:szCs w:val="21"/>
                      <w:lang w:val="en-US" w:eastAsia="zh-CN" w:bidi="ar"/>
                    </w:rPr>
                    <w:t>0.27</w:t>
                  </w:r>
                </w:p>
              </w:tc>
              <w:tc>
                <w:tcPr>
                  <w:tcW w:w="977" w:type="pct"/>
                  <w:tcBorders>
                    <w:top w:val="single" w:color="auto" w:sz="4" w:space="0"/>
                    <w:left w:val="single" w:color="auto" w:sz="4" w:space="0"/>
                    <w:bottom w:val="single" w:color="auto" w:sz="4" w:space="0"/>
                    <w:right w:val="single" w:color="auto" w:sz="4" w:space="0"/>
                  </w:tcBorders>
                  <w:shd w:val="clear" w:color="auto" w:fill="CCE8CF"/>
                  <w:vAlign w:val="center"/>
                </w:tcPr>
                <w:p>
                  <w:pPr>
                    <w:widowControl/>
                    <w:jc w:val="center"/>
                    <w:textAlignment w:val="center"/>
                    <w:rPr>
                      <w:rFonts w:hint="eastAsia"/>
                      <w:color w:val="auto"/>
                      <w:kern w:val="0"/>
                      <w:szCs w:val="21"/>
                      <w:lang w:val="en-US" w:eastAsia="zh-CN" w:bidi="ar"/>
                    </w:rPr>
                  </w:pPr>
                  <w:r>
                    <w:rPr>
                      <w:rFonts w:hint="eastAsia"/>
                      <w:color w:val="auto"/>
                      <w:kern w:val="0"/>
                      <w:szCs w:val="21"/>
                      <w:lang w:val="en-US" w:eastAsia="zh-CN" w:bidi="ar"/>
                    </w:rPr>
                    <w:t>0.0001</w:t>
                  </w:r>
                </w:p>
              </w:tc>
              <w:tc>
                <w:tcPr>
                  <w:tcW w:w="947" w:type="pct"/>
                  <w:tcBorders>
                    <w:top w:val="single" w:color="auto" w:sz="4" w:space="0"/>
                    <w:left w:val="single" w:color="auto" w:sz="4" w:space="0"/>
                    <w:bottom w:val="single" w:color="auto" w:sz="4" w:space="0"/>
                    <w:right w:val="nil"/>
                  </w:tcBorders>
                  <w:shd w:val="clear" w:color="auto" w:fill="CCE8CF"/>
                  <w:vAlign w:val="center"/>
                </w:tcPr>
                <w:p>
                  <w:pPr>
                    <w:widowControl/>
                    <w:jc w:val="center"/>
                    <w:textAlignment w:val="center"/>
                    <w:rPr>
                      <w:rFonts w:hint="eastAsia"/>
                      <w:color w:val="auto"/>
                      <w:kern w:val="0"/>
                      <w:szCs w:val="21"/>
                      <w:lang w:val="en-US" w:eastAsia="zh-CN" w:bidi="ar"/>
                    </w:rPr>
                  </w:pPr>
                  <w:r>
                    <w:rPr>
                      <w:rFonts w:hint="eastAsia"/>
                      <w:color w:val="auto"/>
                      <w:kern w:val="0"/>
                      <w:szCs w:val="21"/>
                      <w:lang w:val="en-US" w:eastAsia="zh-CN" w:bidi="ar"/>
                    </w:rPr>
                    <w:t>0</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152" w:type="pct"/>
                  <w:tcBorders>
                    <w:top w:val="single" w:color="auto" w:sz="4" w:space="0"/>
                    <w:left w:val="nil"/>
                    <w:bottom w:val="single" w:color="auto" w:sz="4" w:space="0"/>
                    <w:right w:val="single" w:color="auto" w:sz="4" w:space="0"/>
                  </w:tcBorders>
                  <w:shd w:val="clear" w:color="auto" w:fill="CCE8CF"/>
                  <w:vAlign w:val="center"/>
                </w:tcPr>
                <w:p>
                  <w:pPr>
                    <w:widowControl/>
                    <w:jc w:val="center"/>
                    <w:textAlignment w:val="center"/>
                    <w:rPr>
                      <w:color w:val="auto"/>
                      <w:kern w:val="0"/>
                      <w:szCs w:val="21"/>
                      <w:lang w:bidi="ar"/>
                    </w:rPr>
                  </w:pPr>
                  <w:r>
                    <w:rPr>
                      <w:rFonts w:hint="eastAsia"/>
                      <w:color w:val="auto"/>
                      <w:kern w:val="0"/>
                      <w:szCs w:val="21"/>
                      <w:lang w:bidi="ar"/>
                    </w:rPr>
                    <w:t>325</w:t>
                  </w:r>
                </w:p>
              </w:tc>
              <w:tc>
                <w:tcPr>
                  <w:tcW w:w="961" w:type="pct"/>
                  <w:tcBorders>
                    <w:top w:val="single" w:color="auto" w:sz="4" w:space="0"/>
                    <w:left w:val="single" w:color="auto" w:sz="4" w:space="0"/>
                    <w:bottom w:val="single" w:color="auto" w:sz="4" w:space="0"/>
                    <w:right w:val="single" w:color="auto" w:sz="4" w:space="0"/>
                  </w:tcBorders>
                  <w:shd w:val="clear" w:color="auto" w:fill="CCE8CF"/>
                  <w:vAlign w:val="center"/>
                </w:tcPr>
                <w:p>
                  <w:pPr>
                    <w:widowControl/>
                    <w:jc w:val="center"/>
                    <w:textAlignment w:val="center"/>
                    <w:rPr>
                      <w:rFonts w:hint="eastAsia"/>
                      <w:color w:val="auto"/>
                      <w:kern w:val="0"/>
                      <w:szCs w:val="21"/>
                      <w:lang w:val="en-US" w:eastAsia="zh-CN" w:bidi="ar"/>
                    </w:rPr>
                  </w:pPr>
                  <w:r>
                    <w:rPr>
                      <w:rFonts w:hint="eastAsia"/>
                      <w:color w:val="auto"/>
                      <w:kern w:val="0"/>
                      <w:szCs w:val="21"/>
                      <w:lang w:val="en-US" w:eastAsia="zh-CN" w:bidi="ar"/>
                    </w:rPr>
                    <w:t>0.0011</w:t>
                  </w:r>
                </w:p>
              </w:tc>
              <w:tc>
                <w:tcPr>
                  <w:tcW w:w="961" w:type="pct"/>
                  <w:tcBorders>
                    <w:top w:val="single" w:color="auto" w:sz="4" w:space="0"/>
                    <w:left w:val="single" w:color="auto" w:sz="4" w:space="0"/>
                    <w:bottom w:val="single" w:color="auto" w:sz="4" w:space="0"/>
                    <w:right w:val="single" w:color="auto" w:sz="4" w:space="0"/>
                  </w:tcBorders>
                  <w:shd w:val="clear" w:color="auto" w:fill="CCE8CF"/>
                  <w:vAlign w:val="center"/>
                </w:tcPr>
                <w:p>
                  <w:pPr>
                    <w:widowControl/>
                    <w:jc w:val="center"/>
                    <w:textAlignment w:val="center"/>
                    <w:rPr>
                      <w:rFonts w:hint="eastAsia"/>
                      <w:color w:val="auto"/>
                      <w:kern w:val="0"/>
                      <w:szCs w:val="21"/>
                      <w:lang w:val="en-US" w:eastAsia="zh-CN" w:bidi="ar"/>
                    </w:rPr>
                  </w:pPr>
                  <w:r>
                    <w:rPr>
                      <w:rFonts w:hint="eastAsia"/>
                      <w:color w:val="auto"/>
                      <w:kern w:val="0"/>
                      <w:szCs w:val="21"/>
                      <w:lang w:val="en-US" w:eastAsia="zh-CN" w:bidi="ar"/>
                    </w:rPr>
                    <w:t>0.25</w:t>
                  </w:r>
                </w:p>
              </w:tc>
              <w:tc>
                <w:tcPr>
                  <w:tcW w:w="977" w:type="pct"/>
                  <w:tcBorders>
                    <w:top w:val="single" w:color="auto" w:sz="4" w:space="0"/>
                    <w:left w:val="single" w:color="auto" w:sz="4" w:space="0"/>
                    <w:bottom w:val="single" w:color="auto" w:sz="4" w:space="0"/>
                    <w:right w:val="single" w:color="auto" w:sz="4" w:space="0"/>
                  </w:tcBorders>
                  <w:shd w:val="clear" w:color="auto" w:fill="CCE8CF"/>
                  <w:vAlign w:val="center"/>
                </w:tcPr>
                <w:p>
                  <w:pPr>
                    <w:widowControl/>
                    <w:jc w:val="center"/>
                    <w:textAlignment w:val="center"/>
                    <w:rPr>
                      <w:rFonts w:hint="eastAsia"/>
                      <w:color w:val="auto"/>
                      <w:kern w:val="0"/>
                      <w:szCs w:val="21"/>
                      <w:lang w:val="en-US" w:eastAsia="zh-CN" w:bidi="ar"/>
                    </w:rPr>
                  </w:pPr>
                  <w:r>
                    <w:rPr>
                      <w:rFonts w:hint="eastAsia"/>
                      <w:color w:val="auto"/>
                      <w:kern w:val="0"/>
                      <w:szCs w:val="21"/>
                      <w:lang w:val="en-US" w:eastAsia="zh-CN" w:bidi="ar"/>
                    </w:rPr>
                    <w:t>0.0001</w:t>
                  </w:r>
                </w:p>
              </w:tc>
              <w:tc>
                <w:tcPr>
                  <w:tcW w:w="947" w:type="pct"/>
                  <w:tcBorders>
                    <w:top w:val="single" w:color="auto" w:sz="4" w:space="0"/>
                    <w:left w:val="single" w:color="auto" w:sz="4" w:space="0"/>
                    <w:bottom w:val="single" w:color="auto" w:sz="4" w:space="0"/>
                    <w:right w:val="nil"/>
                  </w:tcBorders>
                  <w:shd w:val="clear" w:color="auto" w:fill="CCE8CF"/>
                  <w:vAlign w:val="center"/>
                </w:tcPr>
                <w:p>
                  <w:pPr>
                    <w:widowControl/>
                    <w:jc w:val="center"/>
                    <w:textAlignment w:val="center"/>
                    <w:rPr>
                      <w:rFonts w:hint="eastAsia"/>
                      <w:color w:val="auto"/>
                      <w:kern w:val="0"/>
                      <w:szCs w:val="21"/>
                      <w:lang w:val="en-US" w:eastAsia="zh-CN" w:bidi="ar"/>
                    </w:rPr>
                  </w:pPr>
                  <w:r>
                    <w:rPr>
                      <w:rFonts w:hint="eastAsia"/>
                      <w:color w:val="auto"/>
                      <w:kern w:val="0"/>
                      <w:szCs w:val="21"/>
                      <w:lang w:val="en-US" w:eastAsia="zh-CN" w:bidi="ar"/>
                    </w:rPr>
                    <w:t>0</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152" w:type="pct"/>
                  <w:tcBorders>
                    <w:top w:val="single" w:color="auto" w:sz="4" w:space="0"/>
                    <w:left w:val="nil"/>
                    <w:bottom w:val="single" w:color="auto" w:sz="4" w:space="0"/>
                    <w:right w:val="single" w:color="auto" w:sz="4" w:space="0"/>
                  </w:tcBorders>
                  <w:shd w:val="clear" w:color="auto" w:fill="CCE8CF"/>
                  <w:vAlign w:val="center"/>
                </w:tcPr>
                <w:p>
                  <w:pPr>
                    <w:widowControl/>
                    <w:jc w:val="center"/>
                    <w:textAlignment w:val="center"/>
                    <w:rPr>
                      <w:color w:val="auto"/>
                      <w:kern w:val="0"/>
                      <w:szCs w:val="21"/>
                      <w:lang w:bidi="ar"/>
                    </w:rPr>
                  </w:pPr>
                  <w:r>
                    <w:rPr>
                      <w:rFonts w:hint="eastAsia"/>
                      <w:color w:val="auto"/>
                      <w:kern w:val="0"/>
                      <w:szCs w:val="21"/>
                      <w:lang w:bidi="ar"/>
                    </w:rPr>
                    <w:t>350</w:t>
                  </w:r>
                </w:p>
              </w:tc>
              <w:tc>
                <w:tcPr>
                  <w:tcW w:w="961" w:type="pct"/>
                  <w:tcBorders>
                    <w:top w:val="single" w:color="auto" w:sz="4" w:space="0"/>
                    <w:left w:val="single" w:color="auto" w:sz="4" w:space="0"/>
                    <w:bottom w:val="single" w:color="auto" w:sz="4" w:space="0"/>
                    <w:right w:val="single" w:color="auto" w:sz="4" w:space="0"/>
                  </w:tcBorders>
                  <w:shd w:val="clear" w:color="auto" w:fill="CCE8CF"/>
                  <w:vAlign w:val="center"/>
                </w:tcPr>
                <w:p>
                  <w:pPr>
                    <w:widowControl/>
                    <w:jc w:val="center"/>
                    <w:textAlignment w:val="center"/>
                    <w:rPr>
                      <w:rFonts w:hint="eastAsia"/>
                      <w:color w:val="auto"/>
                      <w:kern w:val="0"/>
                      <w:szCs w:val="21"/>
                      <w:lang w:val="en-US" w:eastAsia="zh-CN" w:bidi="ar"/>
                    </w:rPr>
                  </w:pPr>
                  <w:r>
                    <w:rPr>
                      <w:rFonts w:hint="eastAsia"/>
                      <w:color w:val="auto"/>
                      <w:kern w:val="0"/>
                      <w:szCs w:val="21"/>
                      <w:lang w:val="en-US" w:eastAsia="zh-CN" w:bidi="ar"/>
                    </w:rPr>
                    <w:t>0.001</w:t>
                  </w:r>
                </w:p>
              </w:tc>
              <w:tc>
                <w:tcPr>
                  <w:tcW w:w="961" w:type="pct"/>
                  <w:tcBorders>
                    <w:top w:val="single" w:color="auto" w:sz="4" w:space="0"/>
                    <w:left w:val="single" w:color="auto" w:sz="4" w:space="0"/>
                    <w:bottom w:val="single" w:color="auto" w:sz="4" w:space="0"/>
                    <w:right w:val="single" w:color="auto" w:sz="4" w:space="0"/>
                  </w:tcBorders>
                  <w:shd w:val="clear" w:color="auto" w:fill="CCE8CF"/>
                  <w:vAlign w:val="center"/>
                </w:tcPr>
                <w:p>
                  <w:pPr>
                    <w:widowControl/>
                    <w:jc w:val="center"/>
                    <w:textAlignment w:val="center"/>
                    <w:rPr>
                      <w:rFonts w:hint="eastAsia"/>
                      <w:color w:val="auto"/>
                      <w:kern w:val="0"/>
                      <w:szCs w:val="21"/>
                      <w:lang w:val="en-US" w:eastAsia="zh-CN" w:bidi="ar"/>
                    </w:rPr>
                  </w:pPr>
                  <w:r>
                    <w:rPr>
                      <w:rFonts w:hint="eastAsia"/>
                      <w:color w:val="auto"/>
                      <w:kern w:val="0"/>
                      <w:szCs w:val="21"/>
                      <w:lang w:val="en-US" w:eastAsia="zh-CN" w:bidi="ar"/>
                    </w:rPr>
                    <w:t>0.23</w:t>
                  </w:r>
                </w:p>
              </w:tc>
              <w:tc>
                <w:tcPr>
                  <w:tcW w:w="977" w:type="pct"/>
                  <w:tcBorders>
                    <w:top w:val="single" w:color="auto" w:sz="4" w:space="0"/>
                    <w:left w:val="single" w:color="auto" w:sz="4" w:space="0"/>
                    <w:bottom w:val="single" w:color="auto" w:sz="4" w:space="0"/>
                    <w:right w:val="single" w:color="auto" w:sz="4" w:space="0"/>
                  </w:tcBorders>
                  <w:shd w:val="clear" w:color="auto" w:fill="CCE8CF"/>
                  <w:vAlign w:val="center"/>
                </w:tcPr>
                <w:p>
                  <w:pPr>
                    <w:widowControl/>
                    <w:jc w:val="center"/>
                    <w:textAlignment w:val="center"/>
                    <w:rPr>
                      <w:rFonts w:hint="eastAsia"/>
                      <w:color w:val="auto"/>
                      <w:kern w:val="0"/>
                      <w:szCs w:val="21"/>
                      <w:lang w:val="en-US" w:eastAsia="zh-CN" w:bidi="ar"/>
                    </w:rPr>
                  </w:pPr>
                  <w:r>
                    <w:rPr>
                      <w:rFonts w:hint="eastAsia"/>
                      <w:color w:val="auto"/>
                      <w:kern w:val="0"/>
                      <w:szCs w:val="21"/>
                      <w:lang w:val="en-US" w:eastAsia="zh-CN" w:bidi="ar"/>
                    </w:rPr>
                    <w:t>0.0001</w:t>
                  </w:r>
                </w:p>
              </w:tc>
              <w:tc>
                <w:tcPr>
                  <w:tcW w:w="947" w:type="pct"/>
                  <w:tcBorders>
                    <w:top w:val="single" w:color="auto" w:sz="4" w:space="0"/>
                    <w:left w:val="single" w:color="auto" w:sz="4" w:space="0"/>
                    <w:bottom w:val="single" w:color="auto" w:sz="4" w:space="0"/>
                    <w:right w:val="nil"/>
                  </w:tcBorders>
                  <w:shd w:val="clear" w:color="auto" w:fill="CCE8CF"/>
                  <w:vAlign w:val="center"/>
                </w:tcPr>
                <w:p>
                  <w:pPr>
                    <w:widowControl/>
                    <w:jc w:val="center"/>
                    <w:textAlignment w:val="center"/>
                    <w:rPr>
                      <w:rFonts w:hint="eastAsia"/>
                      <w:color w:val="auto"/>
                      <w:kern w:val="0"/>
                      <w:szCs w:val="21"/>
                      <w:lang w:val="en-US" w:eastAsia="zh-CN" w:bidi="ar"/>
                    </w:rPr>
                  </w:pPr>
                  <w:r>
                    <w:rPr>
                      <w:rFonts w:hint="eastAsia"/>
                      <w:color w:val="auto"/>
                      <w:kern w:val="0"/>
                      <w:szCs w:val="21"/>
                      <w:lang w:val="en-US" w:eastAsia="zh-CN" w:bidi="ar"/>
                    </w:rPr>
                    <w:t>0</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152" w:type="pct"/>
                  <w:tcBorders>
                    <w:top w:val="single" w:color="auto" w:sz="4" w:space="0"/>
                    <w:left w:val="nil"/>
                    <w:bottom w:val="single" w:color="auto" w:sz="4" w:space="0"/>
                    <w:right w:val="single" w:color="auto" w:sz="4" w:space="0"/>
                  </w:tcBorders>
                  <w:shd w:val="clear" w:color="auto" w:fill="CCE8CF"/>
                  <w:vAlign w:val="center"/>
                </w:tcPr>
                <w:p>
                  <w:pPr>
                    <w:widowControl/>
                    <w:jc w:val="center"/>
                    <w:textAlignment w:val="center"/>
                    <w:rPr>
                      <w:color w:val="auto"/>
                      <w:kern w:val="0"/>
                      <w:szCs w:val="21"/>
                      <w:lang w:bidi="ar"/>
                    </w:rPr>
                  </w:pPr>
                  <w:r>
                    <w:rPr>
                      <w:rFonts w:hint="eastAsia"/>
                      <w:color w:val="auto"/>
                      <w:kern w:val="0"/>
                      <w:szCs w:val="21"/>
                      <w:lang w:bidi="ar"/>
                    </w:rPr>
                    <w:t>375</w:t>
                  </w:r>
                </w:p>
              </w:tc>
              <w:tc>
                <w:tcPr>
                  <w:tcW w:w="961" w:type="pct"/>
                  <w:tcBorders>
                    <w:top w:val="single" w:color="auto" w:sz="4" w:space="0"/>
                    <w:left w:val="single" w:color="auto" w:sz="4" w:space="0"/>
                    <w:bottom w:val="single" w:color="auto" w:sz="4" w:space="0"/>
                    <w:right w:val="single" w:color="auto" w:sz="4" w:space="0"/>
                  </w:tcBorders>
                  <w:shd w:val="clear" w:color="auto" w:fill="CCE8CF"/>
                  <w:vAlign w:val="center"/>
                </w:tcPr>
                <w:p>
                  <w:pPr>
                    <w:widowControl/>
                    <w:jc w:val="center"/>
                    <w:textAlignment w:val="center"/>
                    <w:rPr>
                      <w:rFonts w:hint="eastAsia"/>
                      <w:color w:val="auto"/>
                      <w:kern w:val="0"/>
                      <w:szCs w:val="21"/>
                      <w:lang w:val="en-US" w:eastAsia="zh-CN" w:bidi="ar"/>
                    </w:rPr>
                  </w:pPr>
                  <w:r>
                    <w:rPr>
                      <w:rFonts w:hint="eastAsia"/>
                      <w:color w:val="auto"/>
                      <w:kern w:val="0"/>
                      <w:szCs w:val="21"/>
                      <w:lang w:val="en-US" w:eastAsia="zh-CN" w:bidi="ar"/>
                    </w:rPr>
                    <w:t>0.0009</w:t>
                  </w:r>
                </w:p>
              </w:tc>
              <w:tc>
                <w:tcPr>
                  <w:tcW w:w="961" w:type="pct"/>
                  <w:tcBorders>
                    <w:top w:val="single" w:color="auto" w:sz="4" w:space="0"/>
                    <w:left w:val="single" w:color="auto" w:sz="4" w:space="0"/>
                    <w:bottom w:val="single" w:color="auto" w:sz="4" w:space="0"/>
                    <w:right w:val="single" w:color="auto" w:sz="4" w:space="0"/>
                  </w:tcBorders>
                  <w:shd w:val="clear" w:color="auto" w:fill="CCE8CF"/>
                  <w:vAlign w:val="center"/>
                </w:tcPr>
                <w:p>
                  <w:pPr>
                    <w:widowControl/>
                    <w:jc w:val="center"/>
                    <w:textAlignment w:val="center"/>
                    <w:rPr>
                      <w:rFonts w:hint="eastAsia"/>
                      <w:color w:val="auto"/>
                      <w:kern w:val="0"/>
                      <w:szCs w:val="21"/>
                      <w:lang w:val="en-US" w:eastAsia="zh-CN" w:bidi="ar"/>
                    </w:rPr>
                  </w:pPr>
                  <w:r>
                    <w:rPr>
                      <w:rFonts w:hint="eastAsia"/>
                      <w:color w:val="auto"/>
                      <w:kern w:val="0"/>
                      <w:szCs w:val="21"/>
                      <w:lang w:val="en-US" w:eastAsia="zh-CN" w:bidi="ar"/>
                    </w:rPr>
                    <w:t>0.21</w:t>
                  </w:r>
                </w:p>
              </w:tc>
              <w:tc>
                <w:tcPr>
                  <w:tcW w:w="977" w:type="pct"/>
                  <w:tcBorders>
                    <w:top w:val="single" w:color="auto" w:sz="4" w:space="0"/>
                    <w:left w:val="single" w:color="auto" w:sz="4" w:space="0"/>
                    <w:bottom w:val="single" w:color="auto" w:sz="4" w:space="0"/>
                    <w:right w:val="single" w:color="auto" w:sz="4" w:space="0"/>
                  </w:tcBorders>
                  <w:shd w:val="clear" w:color="auto" w:fill="CCE8CF"/>
                  <w:vAlign w:val="center"/>
                </w:tcPr>
                <w:p>
                  <w:pPr>
                    <w:widowControl/>
                    <w:jc w:val="center"/>
                    <w:textAlignment w:val="center"/>
                    <w:rPr>
                      <w:rFonts w:hint="eastAsia"/>
                      <w:color w:val="auto"/>
                      <w:kern w:val="0"/>
                      <w:szCs w:val="21"/>
                      <w:lang w:val="en-US" w:eastAsia="zh-CN" w:bidi="ar"/>
                    </w:rPr>
                  </w:pPr>
                  <w:r>
                    <w:rPr>
                      <w:rFonts w:hint="eastAsia"/>
                      <w:color w:val="auto"/>
                      <w:kern w:val="0"/>
                      <w:szCs w:val="21"/>
                      <w:lang w:val="en-US" w:eastAsia="zh-CN" w:bidi="ar"/>
                    </w:rPr>
                    <w:t>0.0001</w:t>
                  </w:r>
                </w:p>
              </w:tc>
              <w:tc>
                <w:tcPr>
                  <w:tcW w:w="947" w:type="pct"/>
                  <w:tcBorders>
                    <w:top w:val="single" w:color="auto" w:sz="4" w:space="0"/>
                    <w:left w:val="single" w:color="auto" w:sz="4" w:space="0"/>
                    <w:bottom w:val="single" w:color="auto" w:sz="4" w:space="0"/>
                    <w:right w:val="nil"/>
                  </w:tcBorders>
                  <w:shd w:val="clear" w:color="auto" w:fill="CCE8CF"/>
                  <w:vAlign w:val="center"/>
                </w:tcPr>
                <w:p>
                  <w:pPr>
                    <w:widowControl/>
                    <w:jc w:val="center"/>
                    <w:textAlignment w:val="center"/>
                    <w:rPr>
                      <w:rFonts w:hint="eastAsia"/>
                      <w:color w:val="auto"/>
                      <w:kern w:val="0"/>
                      <w:szCs w:val="21"/>
                      <w:lang w:val="en-US" w:eastAsia="zh-CN" w:bidi="ar"/>
                    </w:rPr>
                  </w:pPr>
                  <w:r>
                    <w:rPr>
                      <w:rFonts w:hint="eastAsia"/>
                      <w:color w:val="auto"/>
                      <w:kern w:val="0"/>
                      <w:szCs w:val="21"/>
                      <w:lang w:val="en-US" w:eastAsia="zh-CN" w:bidi="ar"/>
                    </w:rPr>
                    <w:t>0</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152" w:type="pct"/>
                  <w:tcBorders>
                    <w:top w:val="single" w:color="auto" w:sz="4" w:space="0"/>
                    <w:left w:val="nil"/>
                    <w:bottom w:val="single" w:color="auto" w:sz="4" w:space="0"/>
                    <w:right w:val="single" w:color="auto" w:sz="4" w:space="0"/>
                  </w:tcBorders>
                  <w:shd w:val="clear" w:color="auto" w:fill="CCE8CF"/>
                  <w:vAlign w:val="center"/>
                </w:tcPr>
                <w:p>
                  <w:pPr>
                    <w:widowControl/>
                    <w:jc w:val="center"/>
                    <w:textAlignment w:val="center"/>
                    <w:rPr>
                      <w:color w:val="auto"/>
                      <w:kern w:val="0"/>
                      <w:szCs w:val="21"/>
                      <w:lang w:bidi="ar"/>
                    </w:rPr>
                  </w:pPr>
                  <w:r>
                    <w:rPr>
                      <w:rFonts w:hint="eastAsia"/>
                      <w:color w:val="auto"/>
                      <w:kern w:val="0"/>
                      <w:szCs w:val="21"/>
                      <w:lang w:bidi="ar"/>
                    </w:rPr>
                    <w:t>400</w:t>
                  </w:r>
                </w:p>
              </w:tc>
              <w:tc>
                <w:tcPr>
                  <w:tcW w:w="961" w:type="pct"/>
                  <w:tcBorders>
                    <w:top w:val="single" w:color="auto" w:sz="4" w:space="0"/>
                    <w:left w:val="single" w:color="auto" w:sz="4" w:space="0"/>
                    <w:bottom w:val="single" w:color="auto" w:sz="4" w:space="0"/>
                    <w:right w:val="single" w:color="auto" w:sz="4" w:space="0"/>
                  </w:tcBorders>
                  <w:shd w:val="clear" w:color="auto" w:fill="CCE8CF"/>
                  <w:vAlign w:val="center"/>
                </w:tcPr>
                <w:p>
                  <w:pPr>
                    <w:widowControl/>
                    <w:jc w:val="center"/>
                    <w:textAlignment w:val="center"/>
                    <w:rPr>
                      <w:rFonts w:hint="eastAsia"/>
                      <w:color w:val="auto"/>
                      <w:kern w:val="0"/>
                      <w:szCs w:val="21"/>
                      <w:lang w:val="en-US" w:eastAsia="zh-CN" w:bidi="ar"/>
                    </w:rPr>
                  </w:pPr>
                  <w:r>
                    <w:rPr>
                      <w:rFonts w:hint="eastAsia"/>
                      <w:color w:val="auto"/>
                      <w:kern w:val="0"/>
                      <w:szCs w:val="21"/>
                      <w:lang w:val="en-US" w:eastAsia="zh-CN" w:bidi="ar"/>
                    </w:rPr>
                    <w:t>0.0009</w:t>
                  </w:r>
                </w:p>
              </w:tc>
              <w:tc>
                <w:tcPr>
                  <w:tcW w:w="961" w:type="pct"/>
                  <w:tcBorders>
                    <w:top w:val="single" w:color="auto" w:sz="4" w:space="0"/>
                    <w:left w:val="single" w:color="auto" w:sz="4" w:space="0"/>
                    <w:bottom w:val="single" w:color="auto" w:sz="4" w:space="0"/>
                    <w:right w:val="single" w:color="auto" w:sz="4" w:space="0"/>
                  </w:tcBorders>
                  <w:shd w:val="clear" w:color="auto" w:fill="CCE8CF"/>
                  <w:vAlign w:val="center"/>
                </w:tcPr>
                <w:p>
                  <w:pPr>
                    <w:widowControl/>
                    <w:jc w:val="center"/>
                    <w:textAlignment w:val="center"/>
                    <w:rPr>
                      <w:rFonts w:hint="eastAsia"/>
                      <w:color w:val="auto"/>
                      <w:kern w:val="0"/>
                      <w:szCs w:val="21"/>
                      <w:lang w:val="en-US" w:eastAsia="zh-CN" w:bidi="ar"/>
                    </w:rPr>
                  </w:pPr>
                  <w:r>
                    <w:rPr>
                      <w:rFonts w:hint="eastAsia"/>
                      <w:color w:val="auto"/>
                      <w:kern w:val="0"/>
                      <w:szCs w:val="21"/>
                      <w:lang w:val="en-US" w:eastAsia="zh-CN" w:bidi="ar"/>
                    </w:rPr>
                    <w:t>0.19</w:t>
                  </w:r>
                </w:p>
              </w:tc>
              <w:tc>
                <w:tcPr>
                  <w:tcW w:w="977" w:type="pct"/>
                  <w:tcBorders>
                    <w:top w:val="single" w:color="auto" w:sz="4" w:space="0"/>
                    <w:left w:val="single" w:color="auto" w:sz="4" w:space="0"/>
                    <w:bottom w:val="single" w:color="auto" w:sz="4" w:space="0"/>
                    <w:right w:val="single" w:color="auto" w:sz="4" w:space="0"/>
                  </w:tcBorders>
                  <w:shd w:val="clear" w:color="auto" w:fill="CCE8CF"/>
                  <w:vAlign w:val="center"/>
                </w:tcPr>
                <w:p>
                  <w:pPr>
                    <w:widowControl/>
                    <w:jc w:val="center"/>
                    <w:textAlignment w:val="center"/>
                    <w:rPr>
                      <w:rFonts w:hint="eastAsia"/>
                      <w:color w:val="auto"/>
                      <w:kern w:val="0"/>
                      <w:szCs w:val="21"/>
                      <w:lang w:val="en-US" w:eastAsia="zh-CN" w:bidi="ar"/>
                    </w:rPr>
                  </w:pPr>
                  <w:r>
                    <w:rPr>
                      <w:rFonts w:hint="eastAsia"/>
                      <w:color w:val="auto"/>
                      <w:kern w:val="0"/>
                      <w:szCs w:val="21"/>
                      <w:lang w:val="en-US" w:eastAsia="zh-CN" w:bidi="ar"/>
                    </w:rPr>
                    <w:t>0.0001</w:t>
                  </w:r>
                </w:p>
              </w:tc>
              <w:tc>
                <w:tcPr>
                  <w:tcW w:w="947" w:type="pct"/>
                  <w:tcBorders>
                    <w:top w:val="single" w:color="auto" w:sz="4" w:space="0"/>
                    <w:left w:val="single" w:color="auto" w:sz="4" w:space="0"/>
                    <w:bottom w:val="single" w:color="auto" w:sz="4" w:space="0"/>
                    <w:right w:val="nil"/>
                  </w:tcBorders>
                  <w:shd w:val="clear" w:color="auto" w:fill="CCE8CF"/>
                  <w:vAlign w:val="center"/>
                </w:tcPr>
                <w:p>
                  <w:pPr>
                    <w:widowControl/>
                    <w:jc w:val="center"/>
                    <w:textAlignment w:val="center"/>
                    <w:rPr>
                      <w:rFonts w:hint="eastAsia"/>
                      <w:color w:val="auto"/>
                      <w:kern w:val="0"/>
                      <w:szCs w:val="21"/>
                      <w:lang w:val="en-US" w:eastAsia="zh-CN" w:bidi="ar"/>
                    </w:rPr>
                  </w:pPr>
                  <w:r>
                    <w:rPr>
                      <w:rFonts w:hint="eastAsia"/>
                      <w:color w:val="auto"/>
                      <w:kern w:val="0"/>
                      <w:szCs w:val="21"/>
                      <w:lang w:val="en-US" w:eastAsia="zh-CN" w:bidi="ar"/>
                    </w:rPr>
                    <w:t>0</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152" w:type="pct"/>
                  <w:tcBorders>
                    <w:top w:val="single" w:color="auto" w:sz="4" w:space="0"/>
                    <w:left w:val="nil"/>
                    <w:bottom w:val="single" w:color="auto" w:sz="4" w:space="0"/>
                    <w:right w:val="single" w:color="auto" w:sz="4" w:space="0"/>
                  </w:tcBorders>
                  <w:shd w:val="clear" w:color="auto" w:fill="CCE8CF"/>
                  <w:vAlign w:val="center"/>
                </w:tcPr>
                <w:p>
                  <w:pPr>
                    <w:widowControl/>
                    <w:jc w:val="center"/>
                    <w:textAlignment w:val="center"/>
                    <w:rPr>
                      <w:rFonts w:hint="eastAsia"/>
                      <w:color w:val="auto"/>
                      <w:kern w:val="0"/>
                      <w:szCs w:val="21"/>
                      <w:lang w:bidi="ar"/>
                    </w:rPr>
                  </w:pPr>
                  <w:r>
                    <w:rPr>
                      <w:rFonts w:hint="eastAsia"/>
                      <w:color w:val="auto"/>
                      <w:kern w:val="0"/>
                      <w:szCs w:val="21"/>
                      <w:lang w:bidi="ar"/>
                    </w:rPr>
                    <w:t>425</w:t>
                  </w:r>
                </w:p>
              </w:tc>
              <w:tc>
                <w:tcPr>
                  <w:tcW w:w="961" w:type="pct"/>
                  <w:tcBorders>
                    <w:top w:val="single" w:color="auto" w:sz="4" w:space="0"/>
                    <w:left w:val="single" w:color="auto" w:sz="4" w:space="0"/>
                    <w:bottom w:val="single" w:color="auto" w:sz="4" w:space="0"/>
                    <w:right w:val="single" w:color="auto" w:sz="4" w:space="0"/>
                  </w:tcBorders>
                  <w:shd w:val="clear" w:color="auto" w:fill="CCE8CF"/>
                  <w:vAlign w:val="center"/>
                </w:tcPr>
                <w:p>
                  <w:pPr>
                    <w:widowControl/>
                    <w:jc w:val="center"/>
                    <w:textAlignment w:val="center"/>
                    <w:rPr>
                      <w:rFonts w:hint="eastAsia"/>
                      <w:color w:val="auto"/>
                      <w:kern w:val="0"/>
                      <w:szCs w:val="21"/>
                      <w:lang w:val="en-US" w:eastAsia="zh-CN" w:bidi="ar"/>
                    </w:rPr>
                  </w:pPr>
                  <w:r>
                    <w:rPr>
                      <w:rFonts w:hint="eastAsia"/>
                      <w:color w:val="auto"/>
                      <w:kern w:val="0"/>
                      <w:szCs w:val="21"/>
                      <w:lang w:val="en-US" w:eastAsia="zh-CN" w:bidi="ar"/>
                    </w:rPr>
                    <w:t>0.0008</w:t>
                  </w:r>
                </w:p>
              </w:tc>
              <w:tc>
                <w:tcPr>
                  <w:tcW w:w="961" w:type="pct"/>
                  <w:tcBorders>
                    <w:top w:val="single" w:color="auto" w:sz="4" w:space="0"/>
                    <w:left w:val="single" w:color="auto" w:sz="4" w:space="0"/>
                    <w:bottom w:val="single" w:color="auto" w:sz="4" w:space="0"/>
                    <w:right w:val="single" w:color="auto" w:sz="4" w:space="0"/>
                  </w:tcBorders>
                  <w:shd w:val="clear" w:color="auto" w:fill="CCE8CF"/>
                  <w:vAlign w:val="center"/>
                </w:tcPr>
                <w:p>
                  <w:pPr>
                    <w:widowControl/>
                    <w:jc w:val="center"/>
                    <w:textAlignment w:val="center"/>
                    <w:rPr>
                      <w:rFonts w:hint="eastAsia"/>
                      <w:color w:val="auto"/>
                      <w:kern w:val="0"/>
                      <w:szCs w:val="21"/>
                      <w:lang w:val="en-US" w:eastAsia="zh-CN" w:bidi="ar"/>
                    </w:rPr>
                  </w:pPr>
                  <w:r>
                    <w:rPr>
                      <w:rFonts w:hint="eastAsia"/>
                      <w:color w:val="auto"/>
                      <w:kern w:val="0"/>
                      <w:szCs w:val="21"/>
                      <w:lang w:val="en-US" w:eastAsia="zh-CN" w:bidi="ar"/>
                    </w:rPr>
                    <w:t>0.18</w:t>
                  </w:r>
                </w:p>
              </w:tc>
              <w:tc>
                <w:tcPr>
                  <w:tcW w:w="977" w:type="pct"/>
                  <w:tcBorders>
                    <w:top w:val="single" w:color="auto" w:sz="4" w:space="0"/>
                    <w:left w:val="single" w:color="auto" w:sz="4" w:space="0"/>
                    <w:bottom w:val="single" w:color="auto" w:sz="4" w:space="0"/>
                    <w:right w:val="single" w:color="auto" w:sz="4" w:space="0"/>
                  </w:tcBorders>
                  <w:shd w:val="clear" w:color="auto" w:fill="CCE8CF"/>
                  <w:vAlign w:val="center"/>
                </w:tcPr>
                <w:p>
                  <w:pPr>
                    <w:widowControl/>
                    <w:jc w:val="center"/>
                    <w:textAlignment w:val="center"/>
                    <w:rPr>
                      <w:rFonts w:hint="eastAsia"/>
                      <w:color w:val="auto"/>
                      <w:kern w:val="0"/>
                      <w:szCs w:val="21"/>
                      <w:lang w:bidi="ar"/>
                    </w:rPr>
                  </w:pPr>
                  <w:r>
                    <w:rPr>
                      <w:rFonts w:hint="eastAsia"/>
                      <w:color w:val="auto"/>
                      <w:kern w:val="0"/>
                      <w:szCs w:val="21"/>
                      <w:lang w:val="en-US" w:eastAsia="zh-CN" w:bidi="ar"/>
                    </w:rPr>
                    <w:t>0.0001</w:t>
                  </w:r>
                </w:p>
              </w:tc>
              <w:tc>
                <w:tcPr>
                  <w:tcW w:w="947" w:type="pct"/>
                  <w:tcBorders>
                    <w:top w:val="single" w:color="auto" w:sz="4" w:space="0"/>
                    <w:left w:val="single" w:color="auto" w:sz="4" w:space="0"/>
                    <w:bottom w:val="single" w:color="auto" w:sz="4" w:space="0"/>
                    <w:right w:val="nil"/>
                  </w:tcBorders>
                  <w:shd w:val="clear" w:color="auto" w:fill="CCE8CF"/>
                  <w:vAlign w:val="center"/>
                </w:tcPr>
                <w:p>
                  <w:pPr>
                    <w:widowControl/>
                    <w:jc w:val="center"/>
                    <w:textAlignment w:val="center"/>
                    <w:rPr>
                      <w:rFonts w:hint="eastAsia"/>
                      <w:color w:val="auto"/>
                      <w:kern w:val="0"/>
                      <w:szCs w:val="21"/>
                      <w:lang w:bidi="ar"/>
                    </w:rPr>
                  </w:pPr>
                  <w:r>
                    <w:rPr>
                      <w:rFonts w:hint="eastAsia"/>
                      <w:color w:val="auto"/>
                      <w:kern w:val="0"/>
                      <w:szCs w:val="21"/>
                      <w:lang w:val="en-US" w:eastAsia="zh-CN" w:bidi="ar"/>
                    </w:rPr>
                    <w:t>0</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152" w:type="pct"/>
                  <w:tcBorders>
                    <w:top w:val="single" w:color="auto" w:sz="4" w:space="0"/>
                    <w:left w:val="nil"/>
                    <w:bottom w:val="single" w:color="auto" w:sz="4" w:space="0"/>
                    <w:right w:val="single" w:color="auto" w:sz="4" w:space="0"/>
                  </w:tcBorders>
                  <w:shd w:val="clear" w:color="auto" w:fill="CCE8CF"/>
                  <w:vAlign w:val="center"/>
                </w:tcPr>
                <w:p>
                  <w:pPr>
                    <w:widowControl/>
                    <w:jc w:val="center"/>
                    <w:textAlignment w:val="center"/>
                    <w:rPr>
                      <w:rFonts w:hint="eastAsia"/>
                      <w:color w:val="auto"/>
                      <w:kern w:val="0"/>
                      <w:szCs w:val="21"/>
                      <w:lang w:bidi="ar"/>
                    </w:rPr>
                  </w:pPr>
                  <w:r>
                    <w:rPr>
                      <w:rFonts w:hint="eastAsia"/>
                      <w:color w:val="auto"/>
                      <w:kern w:val="0"/>
                      <w:szCs w:val="21"/>
                      <w:lang w:bidi="ar"/>
                    </w:rPr>
                    <w:t>450</w:t>
                  </w:r>
                </w:p>
              </w:tc>
              <w:tc>
                <w:tcPr>
                  <w:tcW w:w="961" w:type="pct"/>
                  <w:tcBorders>
                    <w:top w:val="single" w:color="auto" w:sz="4" w:space="0"/>
                    <w:left w:val="single" w:color="auto" w:sz="4" w:space="0"/>
                    <w:bottom w:val="single" w:color="auto" w:sz="4" w:space="0"/>
                    <w:right w:val="single" w:color="auto" w:sz="4" w:space="0"/>
                  </w:tcBorders>
                  <w:shd w:val="clear" w:color="auto" w:fill="CCE8CF"/>
                  <w:vAlign w:val="center"/>
                </w:tcPr>
                <w:p>
                  <w:pPr>
                    <w:widowControl/>
                    <w:jc w:val="center"/>
                    <w:textAlignment w:val="center"/>
                    <w:rPr>
                      <w:rFonts w:hint="eastAsia"/>
                      <w:color w:val="auto"/>
                      <w:kern w:val="0"/>
                      <w:szCs w:val="21"/>
                      <w:lang w:val="en-US" w:eastAsia="zh-CN" w:bidi="ar"/>
                    </w:rPr>
                  </w:pPr>
                  <w:r>
                    <w:rPr>
                      <w:rFonts w:hint="eastAsia"/>
                      <w:color w:val="auto"/>
                      <w:kern w:val="0"/>
                      <w:szCs w:val="21"/>
                      <w:lang w:val="en-US" w:eastAsia="zh-CN" w:bidi="ar"/>
                    </w:rPr>
                    <w:t>0.0008</w:t>
                  </w:r>
                </w:p>
              </w:tc>
              <w:tc>
                <w:tcPr>
                  <w:tcW w:w="961" w:type="pct"/>
                  <w:tcBorders>
                    <w:top w:val="single" w:color="auto" w:sz="4" w:space="0"/>
                    <w:left w:val="single" w:color="auto" w:sz="4" w:space="0"/>
                    <w:bottom w:val="single" w:color="auto" w:sz="4" w:space="0"/>
                    <w:right w:val="single" w:color="auto" w:sz="4" w:space="0"/>
                  </w:tcBorders>
                  <w:shd w:val="clear" w:color="auto" w:fill="CCE8CF"/>
                  <w:vAlign w:val="center"/>
                </w:tcPr>
                <w:p>
                  <w:pPr>
                    <w:widowControl/>
                    <w:jc w:val="center"/>
                    <w:textAlignment w:val="center"/>
                    <w:rPr>
                      <w:rFonts w:hint="eastAsia"/>
                      <w:color w:val="auto"/>
                      <w:kern w:val="0"/>
                      <w:szCs w:val="21"/>
                      <w:lang w:val="en-US" w:eastAsia="zh-CN" w:bidi="ar"/>
                    </w:rPr>
                  </w:pPr>
                  <w:r>
                    <w:rPr>
                      <w:rFonts w:hint="eastAsia"/>
                      <w:color w:val="auto"/>
                      <w:kern w:val="0"/>
                      <w:szCs w:val="21"/>
                      <w:lang w:val="en-US" w:eastAsia="zh-CN" w:bidi="ar"/>
                    </w:rPr>
                    <w:t>0.17</w:t>
                  </w:r>
                </w:p>
              </w:tc>
              <w:tc>
                <w:tcPr>
                  <w:tcW w:w="977" w:type="pct"/>
                  <w:tcBorders>
                    <w:top w:val="single" w:color="auto" w:sz="4" w:space="0"/>
                    <w:left w:val="single" w:color="auto" w:sz="4" w:space="0"/>
                    <w:bottom w:val="single" w:color="auto" w:sz="4" w:space="0"/>
                    <w:right w:val="single" w:color="auto" w:sz="4" w:space="0"/>
                  </w:tcBorders>
                  <w:shd w:val="clear" w:color="auto" w:fill="CCE8CF"/>
                  <w:vAlign w:val="center"/>
                </w:tcPr>
                <w:p>
                  <w:pPr>
                    <w:widowControl/>
                    <w:jc w:val="center"/>
                    <w:textAlignment w:val="center"/>
                    <w:rPr>
                      <w:rFonts w:hint="eastAsia"/>
                      <w:color w:val="auto"/>
                      <w:kern w:val="0"/>
                      <w:szCs w:val="21"/>
                      <w:lang w:bidi="ar"/>
                    </w:rPr>
                  </w:pPr>
                  <w:r>
                    <w:rPr>
                      <w:rFonts w:hint="eastAsia"/>
                      <w:color w:val="auto"/>
                      <w:kern w:val="0"/>
                      <w:szCs w:val="21"/>
                      <w:lang w:val="en-US" w:eastAsia="zh-CN" w:bidi="ar"/>
                    </w:rPr>
                    <w:t>0.0001</w:t>
                  </w:r>
                </w:p>
              </w:tc>
              <w:tc>
                <w:tcPr>
                  <w:tcW w:w="947" w:type="pct"/>
                  <w:tcBorders>
                    <w:top w:val="single" w:color="auto" w:sz="4" w:space="0"/>
                    <w:left w:val="single" w:color="auto" w:sz="4" w:space="0"/>
                    <w:bottom w:val="single" w:color="auto" w:sz="4" w:space="0"/>
                    <w:right w:val="nil"/>
                  </w:tcBorders>
                  <w:shd w:val="clear" w:color="auto" w:fill="CCE8CF"/>
                  <w:vAlign w:val="center"/>
                </w:tcPr>
                <w:p>
                  <w:pPr>
                    <w:widowControl/>
                    <w:jc w:val="center"/>
                    <w:textAlignment w:val="center"/>
                    <w:rPr>
                      <w:rFonts w:hint="eastAsia"/>
                      <w:color w:val="auto"/>
                      <w:kern w:val="0"/>
                      <w:szCs w:val="21"/>
                      <w:lang w:bidi="ar"/>
                    </w:rPr>
                  </w:pPr>
                  <w:r>
                    <w:rPr>
                      <w:rFonts w:hint="eastAsia"/>
                      <w:color w:val="auto"/>
                      <w:kern w:val="0"/>
                      <w:szCs w:val="21"/>
                      <w:lang w:val="en-US" w:eastAsia="zh-CN" w:bidi="ar"/>
                    </w:rPr>
                    <w:t>0</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152" w:type="pct"/>
                  <w:tcBorders>
                    <w:top w:val="single" w:color="auto" w:sz="4" w:space="0"/>
                    <w:left w:val="nil"/>
                    <w:bottom w:val="single" w:color="auto" w:sz="4" w:space="0"/>
                    <w:right w:val="single" w:color="auto" w:sz="4" w:space="0"/>
                  </w:tcBorders>
                  <w:shd w:val="clear" w:color="auto" w:fill="CCE8CF"/>
                  <w:vAlign w:val="center"/>
                </w:tcPr>
                <w:p>
                  <w:pPr>
                    <w:widowControl/>
                    <w:jc w:val="center"/>
                    <w:textAlignment w:val="center"/>
                    <w:rPr>
                      <w:rFonts w:hint="eastAsia"/>
                      <w:color w:val="auto"/>
                      <w:kern w:val="0"/>
                      <w:szCs w:val="21"/>
                      <w:lang w:bidi="ar"/>
                    </w:rPr>
                  </w:pPr>
                  <w:r>
                    <w:rPr>
                      <w:rFonts w:hint="eastAsia"/>
                      <w:color w:val="auto"/>
                      <w:kern w:val="0"/>
                      <w:szCs w:val="21"/>
                      <w:lang w:bidi="ar"/>
                    </w:rPr>
                    <w:t>475</w:t>
                  </w:r>
                </w:p>
              </w:tc>
              <w:tc>
                <w:tcPr>
                  <w:tcW w:w="961" w:type="pct"/>
                  <w:tcBorders>
                    <w:top w:val="single" w:color="auto" w:sz="4" w:space="0"/>
                    <w:left w:val="single" w:color="auto" w:sz="4" w:space="0"/>
                    <w:bottom w:val="single" w:color="auto" w:sz="4" w:space="0"/>
                    <w:right w:val="single" w:color="auto" w:sz="4" w:space="0"/>
                  </w:tcBorders>
                  <w:shd w:val="clear" w:color="auto" w:fill="CCE8CF"/>
                  <w:vAlign w:val="center"/>
                </w:tcPr>
                <w:p>
                  <w:pPr>
                    <w:widowControl/>
                    <w:jc w:val="center"/>
                    <w:textAlignment w:val="center"/>
                    <w:rPr>
                      <w:rFonts w:hint="eastAsia"/>
                      <w:color w:val="auto"/>
                      <w:kern w:val="0"/>
                      <w:szCs w:val="21"/>
                      <w:lang w:val="en-US" w:eastAsia="zh-CN" w:bidi="ar"/>
                    </w:rPr>
                  </w:pPr>
                  <w:r>
                    <w:rPr>
                      <w:rFonts w:hint="eastAsia"/>
                      <w:color w:val="auto"/>
                      <w:kern w:val="0"/>
                      <w:szCs w:val="21"/>
                      <w:lang w:val="en-US" w:eastAsia="zh-CN" w:bidi="ar"/>
                    </w:rPr>
                    <w:t>0.0007</w:t>
                  </w:r>
                </w:p>
              </w:tc>
              <w:tc>
                <w:tcPr>
                  <w:tcW w:w="961" w:type="pct"/>
                  <w:tcBorders>
                    <w:top w:val="single" w:color="auto" w:sz="4" w:space="0"/>
                    <w:left w:val="single" w:color="auto" w:sz="4" w:space="0"/>
                    <w:bottom w:val="single" w:color="auto" w:sz="4" w:space="0"/>
                    <w:right w:val="single" w:color="auto" w:sz="4" w:space="0"/>
                  </w:tcBorders>
                  <w:shd w:val="clear" w:color="auto" w:fill="CCE8CF"/>
                  <w:vAlign w:val="center"/>
                </w:tcPr>
                <w:p>
                  <w:pPr>
                    <w:widowControl/>
                    <w:jc w:val="center"/>
                    <w:textAlignment w:val="center"/>
                    <w:rPr>
                      <w:rFonts w:hint="eastAsia"/>
                      <w:color w:val="auto"/>
                      <w:kern w:val="0"/>
                      <w:szCs w:val="21"/>
                      <w:lang w:val="en-US" w:eastAsia="zh-CN" w:bidi="ar"/>
                    </w:rPr>
                  </w:pPr>
                  <w:r>
                    <w:rPr>
                      <w:rFonts w:hint="eastAsia"/>
                      <w:color w:val="auto"/>
                      <w:kern w:val="0"/>
                      <w:szCs w:val="21"/>
                      <w:lang w:val="en-US" w:eastAsia="zh-CN" w:bidi="ar"/>
                    </w:rPr>
                    <w:t>0.16</w:t>
                  </w:r>
                </w:p>
              </w:tc>
              <w:tc>
                <w:tcPr>
                  <w:tcW w:w="977" w:type="pct"/>
                  <w:tcBorders>
                    <w:top w:val="single" w:color="auto" w:sz="4" w:space="0"/>
                    <w:left w:val="single" w:color="auto" w:sz="4" w:space="0"/>
                    <w:bottom w:val="single" w:color="auto" w:sz="4" w:space="0"/>
                    <w:right w:val="single" w:color="auto" w:sz="4" w:space="0"/>
                  </w:tcBorders>
                  <w:shd w:val="clear" w:color="auto" w:fill="CCE8CF"/>
                  <w:vAlign w:val="center"/>
                </w:tcPr>
                <w:p>
                  <w:pPr>
                    <w:widowControl/>
                    <w:jc w:val="center"/>
                    <w:textAlignment w:val="center"/>
                    <w:rPr>
                      <w:rFonts w:hint="eastAsia"/>
                      <w:color w:val="auto"/>
                      <w:kern w:val="0"/>
                      <w:szCs w:val="21"/>
                      <w:lang w:bidi="ar"/>
                    </w:rPr>
                  </w:pPr>
                  <w:r>
                    <w:rPr>
                      <w:rFonts w:hint="eastAsia"/>
                      <w:color w:val="auto"/>
                      <w:kern w:val="0"/>
                      <w:szCs w:val="21"/>
                      <w:lang w:val="en-US" w:eastAsia="zh-CN" w:bidi="ar"/>
                    </w:rPr>
                    <w:t>0.0001</w:t>
                  </w:r>
                </w:p>
              </w:tc>
              <w:tc>
                <w:tcPr>
                  <w:tcW w:w="947" w:type="pct"/>
                  <w:tcBorders>
                    <w:top w:val="single" w:color="auto" w:sz="4" w:space="0"/>
                    <w:left w:val="single" w:color="auto" w:sz="4" w:space="0"/>
                    <w:bottom w:val="single" w:color="auto" w:sz="4" w:space="0"/>
                    <w:right w:val="nil"/>
                  </w:tcBorders>
                  <w:shd w:val="clear" w:color="auto" w:fill="CCE8CF"/>
                  <w:vAlign w:val="center"/>
                </w:tcPr>
                <w:p>
                  <w:pPr>
                    <w:widowControl/>
                    <w:jc w:val="center"/>
                    <w:textAlignment w:val="center"/>
                    <w:rPr>
                      <w:rFonts w:hint="eastAsia"/>
                      <w:color w:val="auto"/>
                      <w:kern w:val="0"/>
                      <w:szCs w:val="21"/>
                      <w:lang w:bidi="ar"/>
                    </w:rPr>
                  </w:pPr>
                  <w:r>
                    <w:rPr>
                      <w:rFonts w:hint="eastAsia"/>
                      <w:color w:val="auto"/>
                      <w:kern w:val="0"/>
                      <w:szCs w:val="21"/>
                      <w:lang w:val="en-US" w:eastAsia="zh-CN" w:bidi="ar"/>
                    </w:rPr>
                    <w:t>0</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152" w:type="pct"/>
                  <w:tcBorders>
                    <w:top w:val="single" w:color="auto" w:sz="4" w:space="0"/>
                    <w:left w:val="nil"/>
                    <w:bottom w:val="single" w:color="auto" w:sz="4" w:space="0"/>
                    <w:right w:val="single" w:color="auto" w:sz="4" w:space="0"/>
                  </w:tcBorders>
                  <w:shd w:val="clear" w:color="auto" w:fill="CCE8CF"/>
                  <w:vAlign w:val="center"/>
                </w:tcPr>
                <w:p>
                  <w:pPr>
                    <w:widowControl/>
                    <w:jc w:val="center"/>
                    <w:textAlignment w:val="center"/>
                    <w:rPr>
                      <w:rFonts w:hint="eastAsia"/>
                      <w:color w:val="auto"/>
                      <w:kern w:val="0"/>
                      <w:szCs w:val="21"/>
                      <w:lang w:bidi="ar"/>
                    </w:rPr>
                  </w:pPr>
                  <w:r>
                    <w:rPr>
                      <w:rFonts w:hint="eastAsia"/>
                      <w:color w:val="auto"/>
                      <w:kern w:val="0"/>
                      <w:szCs w:val="21"/>
                      <w:lang w:bidi="ar"/>
                    </w:rPr>
                    <w:t>500</w:t>
                  </w:r>
                </w:p>
              </w:tc>
              <w:tc>
                <w:tcPr>
                  <w:tcW w:w="961" w:type="pct"/>
                  <w:tcBorders>
                    <w:top w:val="single" w:color="auto" w:sz="4" w:space="0"/>
                    <w:left w:val="single" w:color="auto" w:sz="4" w:space="0"/>
                    <w:bottom w:val="single" w:color="auto" w:sz="4" w:space="0"/>
                    <w:right w:val="single" w:color="auto" w:sz="4" w:space="0"/>
                  </w:tcBorders>
                  <w:shd w:val="clear" w:color="auto" w:fill="CCE8CF"/>
                  <w:vAlign w:val="center"/>
                </w:tcPr>
                <w:p>
                  <w:pPr>
                    <w:widowControl/>
                    <w:jc w:val="center"/>
                    <w:textAlignment w:val="center"/>
                    <w:rPr>
                      <w:rFonts w:hint="eastAsia"/>
                      <w:color w:val="auto"/>
                      <w:kern w:val="0"/>
                      <w:szCs w:val="21"/>
                      <w:lang w:val="en-US" w:eastAsia="zh-CN" w:bidi="ar"/>
                    </w:rPr>
                  </w:pPr>
                  <w:r>
                    <w:rPr>
                      <w:rFonts w:hint="eastAsia"/>
                      <w:color w:val="auto"/>
                      <w:kern w:val="0"/>
                      <w:szCs w:val="21"/>
                      <w:lang w:val="en-US" w:eastAsia="zh-CN" w:bidi="ar"/>
                    </w:rPr>
                    <w:t>0.0007</w:t>
                  </w:r>
                </w:p>
              </w:tc>
              <w:tc>
                <w:tcPr>
                  <w:tcW w:w="961" w:type="pct"/>
                  <w:tcBorders>
                    <w:top w:val="single" w:color="auto" w:sz="4" w:space="0"/>
                    <w:left w:val="single" w:color="auto" w:sz="4" w:space="0"/>
                    <w:bottom w:val="single" w:color="auto" w:sz="4" w:space="0"/>
                    <w:right w:val="single" w:color="auto" w:sz="4" w:space="0"/>
                  </w:tcBorders>
                  <w:shd w:val="clear" w:color="auto" w:fill="CCE8CF"/>
                  <w:vAlign w:val="center"/>
                </w:tcPr>
                <w:p>
                  <w:pPr>
                    <w:widowControl/>
                    <w:jc w:val="center"/>
                    <w:textAlignment w:val="center"/>
                    <w:rPr>
                      <w:rFonts w:hint="eastAsia"/>
                      <w:color w:val="auto"/>
                      <w:kern w:val="0"/>
                      <w:szCs w:val="21"/>
                      <w:lang w:val="en-US" w:eastAsia="zh-CN" w:bidi="ar"/>
                    </w:rPr>
                  </w:pPr>
                  <w:r>
                    <w:rPr>
                      <w:rFonts w:hint="eastAsia"/>
                      <w:color w:val="auto"/>
                      <w:kern w:val="0"/>
                      <w:szCs w:val="21"/>
                      <w:lang w:val="en-US" w:eastAsia="zh-CN" w:bidi="ar"/>
                    </w:rPr>
                    <w:t>0.15</w:t>
                  </w:r>
                </w:p>
              </w:tc>
              <w:tc>
                <w:tcPr>
                  <w:tcW w:w="977" w:type="pct"/>
                  <w:tcBorders>
                    <w:top w:val="single" w:color="auto" w:sz="4" w:space="0"/>
                    <w:left w:val="single" w:color="auto" w:sz="4" w:space="0"/>
                    <w:bottom w:val="single" w:color="auto" w:sz="4" w:space="0"/>
                    <w:right w:val="single" w:color="auto" w:sz="4" w:space="0"/>
                  </w:tcBorders>
                  <w:shd w:val="clear" w:color="auto" w:fill="CCE8CF"/>
                  <w:vAlign w:val="center"/>
                </w:tcPr>
                <w:p>
                  <w:pPr>
                    <w:widowControl/>
                    <w:jc w:val="center"/>
                    <w:textAlignment w:val="center"/>
                    <w:rPr>
                      <w:rFonts w:hint="eastAsia"/>
                      <w:color w:val="auto"/>
                      <w:kern w:val="0"/>
                      <w:szCs w:val="21"/>
                      <w:lang w:bidi="ar"/>
                    </w:rPr>
                  </w:pPr>
                  <w:r>
                    <w:rPr>
                      <w:rFonts w:hint="eastAsia"/>
                      <w:color w:val="auto"/>
                      <w:kern w:val="0"/>
                      <w:szCs w:val="21"/>
                      <w:lang w:val="en-US" w:eastAsia="zh-CN" w:bidi="ar"/>
                    </w:rPr>
                    <w:t>0</w:t>
                  </w:r>
                </w:p>
              </w:tc>
              <w:tc>
                <w:tcPr>
                  <w:tcW w:w="947" w:type="pct"/>
                  <w:tcBorders>
                    <w:top w:val="single" w:color="auto" w:sz="4" w:space="0"/>
                    <w:left w:val="single" w:color="auto" w:sz="4" w:space="0"/>
                    <w:bottom w:val="single" w:color="auto" w:sz="4" w:space="0"/>
                    <w:right w:val="nil"/>
                  </w:tcBorders>
                  <w:shd w:val="clear" w:color="auto" w:fill="CCE8CF"/>
                  <w:vAlign w:val="center"/>
                </w:tcPr>
                <w:p>
                  <w:pPr>
                    <w:widowControl/>
                    <w:jc w:val="center"/>
                    <w:textAlignment w:val="center"/>
                    <w:rPr>
                      <w:rFonts w:hint="eastAsia"/>
                      <w:color w:val="auto"/>
                      <w:kern w:val="0"/>
                      <w:szCs w:val="21"/>
                      <w:lang w:bidi="ar"/>
                    </w:rPr>
                  </w:pPr>
                  <w:r>
                    <w:rPr>
                      <w:rFonts w:hint="eastAsia"/>
                      <w:color w:val="auto"/>
                      <w:kern w:val="0"/>
                      <w:szCs w:val="21"/>
                      <w:lang w:val="en-US" w:eastAsia="zh-CN" w:bidi="ar"/>
                    </w:rPr>
                    <w:t>0</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152" w:type="pct"/>
                  <w:tcBorders>
                    <w:top w:val="single" w:color="auto" w:sz="4" w:space="0"/>
                    <w:left w:val="nil"/>
                    <w:bottom w:val="single" w:color="auto" w:sz="4" w:space="0"/>
                    <w:right w:val="single" w:color="auto" w:sz="4" w:space="0"/>
                  </w:tcBorders>
                  <w:shd w:val="clear" w:color="auto" w:fill="CCE8CF"/>
                  <w:vAlign w:val="center"/>
                </w:tcPr>
                <w:p>
                  <w:pPr>
                    <w:widowControl/>
                    <w:jc w:val="center"/>
                    <w:textAlignment w:val="center"/>
                    <w:rPr>
                      <w:rFonts w:hint="eastAsia"/>
                      <w:color w:val="auto"/>
                      <w:kern w:val="0"/>
                      <w:szCs w:val="21"/>
                      <w:lang w:bidi="ar"/>
                    </w:rPr>
                  </w:pPr>
                  <w:r>
                    <w:rPr>
                      <w:rFonts w:hint="eastAsia"/>
                      <w:color w:val="auto"/>
                      <w:kern w:val="0"/>
                      <w:szCs w:val="21"/>
                      <w:lang w:bidi="ar"/>
                    </w:rPr>
                    <w:t>600</w:t>
                  </w:r>
                </w:p>
              </w:tc>
              <w:tc>
                <w:tcPr>
                  <w:tcW w:w="961" w:type="pct"/>
                  <w:tcBorders>
                    <w:top w:val="single" w:color="auto" w:sz="4" w:space="0"/>
                    <w:left w:val="single" w:color="auto" w:sz="4" w:space="0"/>
                    <w:bottom w:val="single" w:color="auto" w:sz="4" w:space="0"/>
                    <w:right w:val="single" w:color="auto" w:sz="4" w:space="0"/>
                  </w:tcBorders>
                  <w:shd w:val="clear" w:color="auto" w:fill="CCE8CF"/>
                  <w:vAlign w:val="center"/>
                </w:tcPr>
                <w:p>
                  <w:pPr>
                    <w:widowControl/>
                    <w:jc w:val="center"/>
                    <w:textAlignment w:val="center"/>
                    <w:rPr>
                      <w:rFonts w:hint="eastAsia"/>
                      <w:color w:val="auto"/>
                      <w:kern w:val="0"/>
                      <w:szCs w:val="21"/>
                      <w:lang w:val="en-US" w:eastAsia="zh-CN" w:bidi="ar"/>
                    </w:rPr>
                  </w:pPr>
                  <w:r>
                    <w:rPr>
                      <w:rFonts w:hint="eastAsia"/>
                      <w:color w:val="auto"/>
                      <w:kern w:val="0"/>
                      <w:szCs w:val="21"/>
                      <w:lang w:val="en-US" w:eastAsia="zh-CN" w:bidi="ar"/>
                    </w:rPr>
                    <w:t>0.0005</w:t>
                  </w:r>
                </w:p>
              </w:tc>
              <w:tc>
                <w:tcPr>
                  <w:tcW w:w="961" w:type="pct"/>
                  <w:tcBorders>
                    <w:top w:val="single" w:color="auto" w:sz="4" w:space="0"/>
                    <w:left w:val="single" w:color="auto" w:sz="4" w:space="0"/>
                    <w:bottom w:val="single" w:color="auto" w:sz="4" w:space="0"/>
                    <w:right w:val="single" w:color="auto" w:sz="4" w:space="0"/>
                  </w:tcBorders>
                  <w:shd w:val="clear" w:color="auto" w:fill="CCE8CF"/>
                  <w:vAlign w:val="center"/>
                </w:tcPr>
                <w:p>
                  <w:pPr>
                    <w:widowControl/>
                    <w:jc w:val="center"/>
                    <w:textAlignment w:val="center"/>
                    <w:rPr>
                      <w:rFonts w:hint="eastAsia"/>
                      <w:color w:val="auto"/>
                      <w:kern w:val="0"/>
                      <w:szCs w:val="21"/>
                      <w:lang w:val="en-US" w:eastAsia="zh-CN" w:bidi="ar"/>
                    </w:rPr>
                  </w:pPr>
                  <w:r>
                    <w:rPr>
                      <w:rFonts w:hint="eastAsia"/>
                      <w:color w:val="auto"/>
                      <w:kern w:val="0"/>
                      <w:szCs w:val="21"/>
                      <w:lang w:val="en-US" w:eastAsia="zh-CN" w:bidi="ar"/>
                    </w:rPr>
                    <w:t>0.12</w:t>
                  </w:r>
                </w:p>
              </w:tc>
              <w:tc>
                <w:tcPr>
                  <w:tcW w:w="977" w:type="pct"/>
                  <w:tcBorders>
                    <w:top w:val="single" w:color="auto" w:sz="4" w:space="0"/>
                    <w:left w:val="single" w:color="auto" w:sz="4" w:space="0"/>
                    <w:bottom w:val="single" w:color="auto" w:sz="4" w:space="0"/>
                    <w:right w:val="single" w:color="auto" w:sz="4" w:space="0"/>
                  </w:tcBorders>
                  <w:shd w:val="clear" w:color="auto" w:fill="CCE8CF"/>
                  <w:vAlign w:val="center"/>
                </w:tcPr>
                <w:p>
                  <w:pPr>
                    <w:widowControl/>
                    <w:jc w:val="center"/>
                    <w:textAlignment w:val="center"/>
                    <w:rPr>
                      <w:rFonts w:hint="eastAsia"/>
                      <w:color w:val="auto"/>
                      <w:kern w:val="0"/>
                      <w:szCs w:val="21"/>
                      <w:lang w:bidi="ar"/>
                    </w:rPr>
                  </w:pPr>
                  <w:r>
                    <w:rPr>
                      <w:rFonts w:hint="eastAsia"/>
                      <w:color w:val="auto"/>
                      <w:kern w:val="0"/>
                      <w:szCs w:val="21"/>
                      <w:lang w:val="en-US" w:eastAsia="zh-CN" w:bidi="ar"/>
                    </w:rPr>
                    <w:t>0</w:t>
                  </w:r>
                </w:p>
              </w:tc>
              <w:tc>
                <w:tcPr>
                  <w:tcW w:w="947" w:type="pct"/>
                  <w:tcBorders>
                    <w:top w:val="single" w:color="auto" w:sz="4" w:space="0"/>
                    <w:left w:val="single" w:color="auto" w:sz="4" w:space="0"/>
                    <w:bottom w:val="single" w:color="auto" w:sz="4" w:space="0"/>
                    <w:right w:val="nil"/>
                  </w:tcBorders>
                  <w:shd w:val="clear" w:color="auto" w:fill="CCE8CF"/>
                  <w:vAlign w:val="center"/>
                </w:tcPr>
                <w:p>
                  <w:pPr>
                    <w:widowControl/>
                    <w:jc w:val="center"/>
                    <w:textAlignment w:val="center"/>
                    <w:rPr>
                      <w:rFonts w:hint="eastAsia"/>
                      <w:color w:val="auto"/>
                      <w:kern w:val="0"/>
                      <w:szCs w:val="21"/>
                      <w:lang w:bidi="ar"/>
                    </w:rPr>
                  </w:pPr>
                  <w:r>
                    <w:rPr>
                      <w:rFonts w:hint="eastAsia"/>
                      <w:color w:val="auto"/>
                      <w:kern w:val="0"/>
                      <w:szCs w:val="21"/>
                      <w:lang w:val="en-US" w:eastAsia="zh-CN" w:bidi="ar"/>
                    </w:rPr>
                    <w:t>0</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152" w:type="pct"/>
                  <w:tcBorders>
                    <w:top w:val="single" w:color="auto" w:sz="4" w:space="0"/>
                    <w:left w:val="nil"/>
                    <w:bottom w:val="single" w:color="auto" w:sz="4" w:space="0"/>
                    <w:right w:val="single" w:color="auto" w:sz="4" w:space="0"/>
                  </w:tcBorders>
                  <w:shd w:val="clear" w:color="auto" w:fill="CCE8CF"/>
                  <w:vAlign w:val="center"/>
                </w:tcPr>
                <w:p>
                  <w:pPr>
                    <w:widowControl/>
                    <w:jc w:val="center"/>
                    <w:textAlignment w:val="center"/>
                    <w:rPr>
                      <w:rFonts w:hint="eastAsia"/>
                      <w:color w:val="auto"/>
                      <w:kern w:val="0"/>
                      <w:szCs w:val="21"/>
                      <w:lang w:bidi="ar"/>
                    </w:rPr>
                  </w:pPr>
                  <w:r>
                    <w:rPr>
                      <w:rFonts w:hint="eastAsia"/>
                      <w:color w:val="auto"/>
                      <w:kern w:val="0"/>
                      <w:szCs w:val="21"/>
                      <w:lang w:bidi="ar"/>
                    </w:rPr>
                    <w:t>700</w:t>
                  </w:r>
                </w:p>
              </w:tc>
              <w:tc>
                <w:tcPr>
                  <w:tcW w:w="961" w:type="pct"/>
                  <w:tcBorders>
                    <w:top w:val="single" w:color="auto" w:sz="4" w:space="0"/>
                    <w:left w:val="single" w:color="auto" w:sz="4" w:space="0"/>
                    <w:bottom w:val="single" w:color="auto" w:sz="4" w:space="0"/>
                    <w:right w:val="single" w:color="auto" w:sz="4" w:space="0"/>
                  </w:tcBorders>
                  <w:shd w:val="clear" w:color="auto" w:fill="CCE8CF"/>
                  <w:vAlign w:val="center"/>
                </w:tcPr>
                <w:p>
                  <w:pPr>
                    <w:widowControl/>
                    <w:jc w:val="center"/>
                    <w:textAlignment w:val="center"/>
                    <w:rPr>
                      <w:rFonts w:hint="eastAsia"/>
                      <w:color w:val="auto"/>
                      <w:kern w:val="0"/>
                      <w:szCs w:val="21"/>
                      <w:lang w:val="en-US" w:eastAsia="zh-CN" w:bidi="ar"/>
                    </w:rPr>
                  </w:pPr>
                  <w:r>
                    <w:rPr>
                      <w:rFonts w:hint="eastAsia"/>
                      <w:color w:val="auto"/>
                      <w:kern w:val="0"/>
                      <w:szCs w:val="21"/>
                      <w:lang w:val="en-US" w:eastAsia="zh-CN" w:bidi="ar"/>
                    </w:rPr>
                    <w:t>0.0004</w:t>
                  </w:r>
                </w:p>
              </w:tc>
              <w:tc>
                <w:tcPr>
                  <w:tcW w:w="961" w:type="pct"/>
                  <w:tcBorders>
                    <w:top w:val="single" w:color="auto" w:sz="4" w:space="0"/>
                    <w:left w:val="single" w:color="auto" w:sz="4" w:space="0"/>
                    <w:bottom w:val="single" w:color="auto" w:sz="4" w:space="0"/>
                    <w:right w:val="single" w:color="auto" w:sz="4" w:space="0"/>
                  </w:tcBorders>
                  <w:shd w:val="clear" w:color="auto" w:fill="CCE8CF"/>
                  <w:vAlign w:val="center"/>
                </w:tcPr>
                <w:p>
                  <w:pPr>
                    <w:widowControl/>
                    <w:jc w:val="center"/>
                    <w:textAlignment w:val="center"/>
                    <w:rPr>
                      <w:rFonts w:hint="eastAsia"/>
                      <w:color w:val="auto"/>
                      <w:kern w:val="0"/>
                      <w:szCs w:val="21"/>
                      <w:lang w:val="en-US" w:eastAsia="zh-CN" w:bidi="ar"/>
                    </w:rPr>
                  </w:pPr>
                  <w:r>
                    <w:rPr>
                      <w:rFonts w:hint="eastAsia"/>
                      <w:color w:val="auto"/>
                      <w:kern w:val="0"/>
                      <w:szCs w:val="21"/>
                      <w:lang w:val="en-US" w:eastAsia="zh-CN" w:bidi="ar"/>
                    </w:rPr>
                    <w:t>0.1</w:t>
                  </w:r>
                </w:p>
              </w:tc>
              <w:tc>
                <w:tcPr>
                  <w:tcW w:w="977" w:type="pct"/>
                  <w:tcBorders>
                    <w:top w:val="single" w:color="auto" w:sz="4" w:space="0"/>
                    <w:left w:val="single" w:color="auto" w:sz="4" w:space="0"/>
                    <w:bottom w:val="single" w:color="auto" w:sz="4" w:space="0"/>
                    <w:right w:val="single" w:color="auto" w:sz="4" w:space="0"/>
                  </w:tcBorders>
                  <w:shd w:val="clear" w:color="auto" w:fill="CCE8CF"/>
                  <w:vAlign w:val="center"/>
                </w:tcPr>
                <w:p>
                  <w:pPr>
                    <w:widowControl/>
                    <w:jc w:val="center"/>
                    <w:textAlignment w:val="center"/>
                    <w:rPr>
                      <w:rFonts w:hint="eastAsia"/>
                      <w:color w:val="auto"/>
                      <w:kern w:val="0"/>
                      <w:szCs w:val="21"/>
                      <w:lang w:bidi="ar"/>
                    </w:rPr>
                  </w:pPr>
                  <w:r>
                    <w:rPr>
                      <w:rFonts w:hint="eastAsia"/>
                      <w:color w:val="auto"/>
                      <w:kern w:val="0"/>
                      <w:szCs w:val="21"/>
                      <w:lang w:val="en-US" w:eastAsia="zh-CN" w:bidi="ar"/>
                    </w:rPr>
                    <w:t>0</w:t>
                  </w:r>
                </w:p>
              </w:tc>
              <w:tc>
                <w:tcPr>
                  <w:tcW w:w="947" w:type="pct"/>
                  <w:tcBorders>
                    <w:top w:val="single" w:color="auto" w:sz="4" w:space="0"/>
                    <w:left w:val="single" w:color="auto" w:sz="4" w:space="0"/>
                    <w:bottom w:val="single" w:color="auto" w:sz="4" w:space="0"/>
                    <w:right w:val="nil"/>
                  </w:tcBorders>
                  <w:shd w:val="clear" w:color="auto" w:fill="CCE8CF"/>
                  <w:vAlign w:val="center"/>
                </w:tcPr>
                <w:p>
                  <w:pPr>
                    <w:widowControl/>
                    <w:jc w:val="center"/>
                    <w:textAlignment w:val="center"/>
                    <w:rPr>
                      <w:rFonts w:hint="eastAsia"/>
                      <w:color w:val="auto"/>
                      <w:kern w:val="0"/>
                      <w:szCs w:val="21"/>
                      <w:lang w:bidi="ar"/>
                    </w:rPr>
                  </w:pPr>
                  <w:r>
                    <w:rPr>
                      <w:rFonts w:hint="eastAsia"/>
                      <w:color w:val="auto"/>
                      <w:kern w:val="0"/>
                      <w:szCs w:val="21"/>
                      <w:lang w:val="en-US" w:eastAsia="zh-CN" w:bidi="ar"/>
                    </w:rPr>
                    <w:t>0</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152" w:type="pct"/>
                  <w:tcBorders>
                    <w:top w:val="single" w:color="auto" w:sz="4" w:space="0"/>
                    <w:left w:val="nil"/>
                    <w:bottom w:val="single" w:color="auto" w:sz="4" w:space="0"/>
                    <w:right w:val="single" w:color="auto" w:sz="4" w:space="0"/>
                  </w:tcBorders>
                  <w:shd w:val="clear" w:color="auto" w:fill="CCE8CF"/>
                  <w:vAlign w:val="center"/>
                </w:tcPr>
                <w:p>
                  <w:pPr>
                    <w:widowControl/>
                    <w:jc w:val="center"/>
                    <w:textAlignment w:val="center"/>
                    <w:rPr>
                      <w:rFonts w:hint="eastAsia"/>
                      <w:color w:val="auto"/>
                      <w:kern w:val="0"/>
                      <w:szCs w:val="21"/>
                      <w:lang w:bidi="ar"/>
                    </w:rPr>
                  </w:pPr>
                  <w:r>
                    <w:rPr>
                      <w:rFonts w:hint="eastAsia"/>
                      <w:color w:val="auto"/>
                      <w:kern w:val="0"/>
                      <w:szCs w:val="21"/>
                      <w:lang w:bidi="ar"/>
                    </w:rPr>
                    <w:t>800</w:t>
                  </w:r>
                </w:p>
              </w:tc>
              <w:tc>
                <w:tcPr>
                  <w:tcW w:w="961" w:type="pct"/>
                  <w:tcBorders>
                    <w:top w:val="single" w:color="auto" w:sz="4" w:space="0"/>
                    <w:left w:val="single" w:color="auto" w:sz="4" w:space="0"/>
                    <w:bottom w:val="single" w:color="auto" w:sz="4" w:space="0"/>
                    <w:right w:val="single" w:color="auto" w:sz="4" w:space="0"/>
                  </w:tcBorders>
                  <w:shd w:val="clear" w:color="auto" w:fill="CCE8CF"/>
                  <w:vAlign w:val="center"/>
                </w:tcPr>
                <w:p>
                  <w:pPr>
                    <w:widowControl/>
                    <w:jc w:val="center"/>
                    <w:textAlignment w:val="center"/>
                    <w:rPr>
                      <w:rFonts w:hint="eastAsia"/>
                      <w:color w:val="auto"/>
                      <w:kern w:val="0"/>
                      <w:szCs w:val="21"/>
                      <w:lang w:val="en-US" w:eastAsia="zh-CN" w:bidi="ar"/>
                    </w:rPr>
                  </w:pPr>
                  <w:r>
                    <w:rPr>
                      <w:rFonts w:hint="eastAsia"/>
                      <w:color w:val="auto"/>
                      <w:kern w:val="0"/>
                      <w:szCs w:val="21"/>
                      <w:lang w:val="en-US" w:eastAsia="zh-CN" w:bidi="ar"/>
                    </w:rPr>
                    <w:t>0.0004</w:t>
                  </w:r>
                </w:p>
              </w:tc>
              <w:tc>
                <w:tcPr>
                  <w:tcW w:w="961" w:type="pct"/>
                  <w:tcBorders>
                    <w:top w:val="single" w:color="auto" w:sz="4" w:space="0"/>
                    <w:left w:val="single" w:color="auto" w:sz="4" w:space="0"/>
                    <w:bottom w:val="single" w:color="auto" w:sz="4" w:space="0"/>
                    <w:right w:val="single" w:color="auto" w:sz="4" w:space="0"/>
                  </w:tcBorders>
                  <w:shd w:val="clear" w:color="auto" w:fill="CCE8CF"/>
                  <w:vAlign w:val="center"/>
                </w:tcPr>
                <w:p>
                  <w:pPr>
                    <w:widowControl/>
                    <w:jc w:val="center"/>
                    <w:textAlignment w:val="center"/>
                    <w:rPr>
                      <w:rFonts w:hint="eastAsia"/>
                      <w:color w:val="auto"/>
                      <w:kern w:val="0"/>
                      <w:szCs w:val="21"/>
                      <w:lang w:val="en-US" w:eastAsia="zh-CN" w:bidi="ar"/>
                    </w:rPr>
                  </w:pPr>
                  <w:r>
                    <w:rPr>
                      <w:rFonts w:hint="eastAsia"/>
                      <w:color w:val="auto"/>
                      <w:kern w:val="0"/>
                      <w:szCs w:val="21"/>
                      <w:lang w:val="en-US" w:eastAsia="zh-CN" w:bidi="ar"/>
                    </w:rPr>
                    <w:t>0.08</w:t>
                  </w:r>
                </w:p>
              </w:tc>
              <w:tc>
                <w:tcPr>
                  <w:tcW w:w="977" w:type="pct"/>
                  <w:tcBorders>
                    <w:top w:val="single" w:color="auto" w:sz="4" w:space="0"/>
                    <w:left w:val="single" w:color="auto" w:sz="4" w:space="0"/>
                    <w:bottom w:val="single" w:color="auto" w:sz="4" w:space="0"/>
                    <w:right w:val="single" w:color="auto" w:sz="4" w:space="0"/>
                  </w:tcBorders>
                  <w:shd w:val="clear" w:color="auto" w:fill="CCE8CF"/>
                  <w:vAlign w:val="center"/>
                </w:tcPr>
                <w:p>
                  <w:pPr>
                    <w:widowControl/>
                    <w:jc w:val="center"/>
                    <w:textAlignment w:val="center"/>
                    <w:rPr>
                      <w:rFonts w:hint="eastAsia"/>
                      <w:color w:val="auto"/>
                      <w:kern w:val="0"/>
                      <w:szCs w:val="21"/>
                      <w:lang w:bidi="ar"/>
                    </w:rPr>
                  </w:pPr>
                  <w:r>
                    <w:rPr>
                      <w:rFonts w:hint="eastAsia"/>
                      <w:color w:val="auto"/>
                      <w:kern w:val="0"/>
                      <w:szCs w:val="21"/>
                      <w:lang w:val="en-US" w:eastAsia="zh-CN" w:bidi="ar"/>
                    </w:rPr>
                    <w:t>0</w:t>
                  </w:r>
                </w:p>
              </w:tc>
              <w:tc>
                <w:tcPr>
                  <w:tcW w:w="947" w:type="pct"/>
                  <w:tcBorders>
                    <w:top w:val="single" w:color="auto" w:sz="4" w:space="0"/>
                    <w:left w:val="single" w:color="auto" w:sz="4" w:space="0"/>
                    <w:bottom w:val="single" w:color="auto" w:sz="4" w:space="0"/>
                    <w:right w:val="nil"/>
                  </w:tcBorders>
                  <w:shd w:val="clear" w:color="auto" w:fill="CCE8CF"/>
                  <w:vAlign w:val="center"/>
                </w:tcPr>
                <w:p>
                  <w:pPr>
                    <w:widowControl/>
                    <w:jc w:val="center"/>
                    <w:textAlignment w:val="center"/>
                    <w:rPr>
                      <w:rFonts w:hint="eastAsia"/>
                      <w:color w:val="auto"/>
                      <w:kern w:val="0"/>
                      <w:szCs w:val="21"/>
                      <w:lang w:bidi="ar"/>
                    </w:rPr>
                  </w:pPr>
                  <w:r>
                    <w:rPr>
                      <w:rFonts w:hint="eastAsia"/>
                      <w:color w:val="auto"/>
                      <w:kern w:val="0"/>
                      <w:szCs w:val="21"/>
                      <w:lang w:val="en-US" w:eastAsia="zh-CN" w:bidi="ar"/>
                    </w:rPr>
                    <w:t>0</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152" w:type="pct"/>
                  <w:tcBorders>
                    <w:top w:val="single" w:color="auto" w:sz="4" w:space="0"/>
                    <w:left w:val="nil"/>
                    <w:bottom w:val="single" w:color="auto" w:sz="4" w:space="0"/>
                    <w:right w:val="single" w:color="auto" w:sz="4" w:space="0"/>
                  </w:tcBorders>
                  <w:shd w:val="clear" w:color="auto" w:fill="CCE8CF"/>
                  <w:vAlign w:val="center"/>
                </w:tcPr>
                <w:p>
                  <w:pPr>
                    <w:widowControl/>
                    <w:jc w:val="center"/>
                    <w:textAlignment w:val="center"/>
                    <w:rPr>
                      <w:rFonts w:hint="eastAsia"/>
                      <w:color w:val="auto"/>
                      <w:kern w:val="0"/>
                      <w:szCs w:val="21"/>
                      <w:lang w:bidi="ar"/>
                    </w:rPr>
                  </w:pPr>
                  <w:r>
                    <w:rPr>
                      <w:rFonts w:hint="eastAsia"/>
                      <w:color w:val="auto"/>
                      <w:kern w:val="0"/>
                      <w:szCs w:val="21"/>
                      <w:lang w:bidi="ar"/>
                    </w:rPr>
                    <w:t>900</w:t>
                  </w:r>
                </w:p>
              </w:tc>
              <w:tc>
                <w:tcPr>
                  <w:tcW w:w="961" w:type="pct"/>
                  <w:tcBorders>
                    <w:top w:val="single" w:color="auto" w:sz="4" w:space="0"/>
                    <w:left w:val="single" w:color="auto" w:sz="4" w:space="0"/>
                    <w:bottom w:val="single" w:color="auto" w:sz="4" w:space="0"/>
                    <w:right w:val="single" w:color="auto" w:sz="4" w:space="0"/>
                  </w:tcBorders>
                  <w:shd w:val="clear" w:color="auto" w:fill="CCE8CF"/>
                  <w:vAlign w:val="center"/>
                </w:tcPr>
                <w:p>
                  <w:pPr>
                    <w:widowControl/>
                    <w:jc w:val="center"/>
                    <w:textAlignment w:val="center"/>
                    <w:rPr>
                      <w:rFonts w:hint="eastAsia"/>
                      <w:color w:val="auto"/>
                      <w:kern w:val="0"/>
                      <w:szCs w:val="21"/>
                      <w:lang w:val="en-US" w:eastAsia="zh-CN" w:bidi="ar"/>
                    </w:rPr>
                  </w:pPr>
                  <w:r>
                    <w:rPr>
                      <w:rFonts w:hint="eastAsia"/>
                      <w:color w:val="auto"/>
                      <w:kern w:val="0"/>
                      <w:szCs w:val="21"/>
                      <w:lang w:val="en-US" w:eastAsia="zh-CN" w:bidi="ar"/>
                    </w:rPr>
                    <w:t>0.0003</w:t>
                  </w:r>
                </w:p>
              </w:tc>
              <w:tc>
                <w:tcPr>
                  <w:tcW w:w="961" w:type="pct"/>
                  <w:tcBorders>
                    <w:top w:val="single" w:color="auto" w:sz="4" w:space="0"/>
                    <w:left w:val="single" w:color="auto" w:sz="4" w:space="0"/>
                    <w:bottom w:val="single" w:color="auto" w:sz="4" w:space="0"/>
                    <w:right w:val="single" w:color="auto" w:sz="4" w:space="0"/>
                  </w:tcBorders>
                  <w:shd w:val="clear" w:color="auto" w:fill="CCE8CF"/>
                  <w:vAlign w:val="center"/>
                </w:tcPr>
                <w:p>
                  <w:pPr>
                    <w:widowControl/>
                    <w:jc w:val="center"/>
                    <w:textAlignment w:val="center"/>
                    <w:rPr>
                      <w:rFonts w:hint="eastAsia"/>
                      <w:color w:val="auto"/>
                      <w:kern w:val="0"/>
                      <w:szCs w:val="21"/>
                      <w:lang w:val="en-US" w:eastAsia="zh-CN" w:bidi="ar"/>
                    </w:rPr>
                  </w:pPr>
                  <w:r>
                    <w:rPr>
                      <w:rFonts w:hint="eastAsia"/>
                      <w:color w:val="auto"/>
                      <w:kern w:val="0"/>
                      <w:szCs w:val="21"/>
                      <w:lang w:val="en-US" w:eastAsia="zh-CN" w:bidi="ar"/>
                    </w:rPr>
                    <w:t>0.07</w:t>
                  </w:r>
                </w:p>
              </w:tc>
              <w:tc>
                <w:tcPr>
                  <w:tcW w:w="977" w:type="pct"/>
                  <w:tcBorders>
                    <w:top w:val="single" w:color="auto" w:sz="4" w:space="0"/>
                    <w:left w:val="single" w:color="auto" w:sz="4" w:space="0"/>
                    <w:bottom w:val="single" w:color="auto" w:sz="4" w:space="0"/>
                    <w:right w:val="single" w:color="auto" w:sz="4" w:space="0"/>
                  </w:tcBorders>
                  <w:shd w:val="clear" w:color="auto" w:fill="CCE8CF"/>
                  <w:vAlign w:val="center"/>
                </w:tcPr>
                <w:p>
                  <w:pPr>
                    <w:widowControl/>
                    <w:jc w:val="center"/>
                    <w:textAlignment w:val="center"/>
                    <w:rPr>
                      <w:rFonts w:hint="eastAsia"/>
                      <w:color w:val="auto"/>
                      <w:kern w:val="0"/>
                      <w:szCs w:val="21"/>
                      <w:lang w:bidi="ar"/>
                    </w:rPr>
                  </w:pPr>
                  <w:r>
                    <w:rPr>
                      <w:rFonts w:hint="eastAsia"/>
                      <w:color w:val="auto"/>
                      <w:kern w:val="0"/>
                      <w:szCs w:val="21"/>
                      <w:lang w:val="en-US" w:eastAsia="zh-CN" w:bidi="ar"/>
                    </w:rPr>
                    <w:t>0</w:t>
                  </w:r>
                </w:p>
              </w:tc>
              <w:tc>
                <w:tcPr>
                  <w:tcW w:w="947" w:type="pct"/>
                  <w:tcBorders>
                    <w:top w:val="single" w:color="auto" w:sz="4" w:space="0"/>
                    <w:left w:val="single" w:color="auto" w:sz="4" w:space="0"/>
                    <w:bottom w:val="single" w:color="auto" w:sz="4" w:space="0"/>
                    <w:right w:val="nil"/>
                  </w:tcBorders>
                  <w:shd w:val="clear" w:color="auto" w:fill="CCE8CF"/>
                  <w:vAlign w:val="center"/>
                </w:tcPr>
                <w:p>
                  <w:pPr>
                    <w:widowControl/>
                    <w:jc w:val="center"/>
                    <w:textAlignment w:val="center"/>
                    <w:rPr>
                      <w:rFonts w:hint="eastAsia"/>
                      <w:color w:val="auto"/>
                      <w:kern w:val="0"/>
                      <w:szCs w:val="21"/>
                      <w:lang w:bidi="ar"/>
                    </w:rPr>
                  </w:pPr>
                  <w:r>
                    <w:rPr>
                      <w:rFonts w:hint="eastAsia"/>
                      <w:color w:val="auto"/>
                      <w:kern w:val="0"/>
                      <w:szCs w:val="21"/>
                      <w:lang w:val="en-US" w:eastAsia="zh-CN" w:bidi="ar"/>
                    </w:rPr>
                    <w:t>0</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152" w:type="pct"/>
                  <w:tcBorders>
                    <w:top w:val="single" w:color="auto" w:sz="4" w:space="0"/>
                    <w:left w:val="nil"/>
                    <w:bottom w:val="single" w:color="auto" w:sz="4" w:space="0"/>
                    <w:right w:val="single" w:color="auto" w:sz="4" w:space="0"/>
                  </w:tcBorders>
                  <w:shd w:val="clear" w:color="auto" w:fill="CCE8CF"/>
                  <w:vAlign w:val="center"/>
                </w:tcPr>
                <w:p>
                  <w:pPr>
                    <w:widowControl/>
                    <w:jc w:val="center"/>
                    <w:textAlignment w:val="center"/>
                    <w:rPr>
                      <w:rFonts w:hint="eastAsia"/>
                      <w:color w:val="auto"/>
                      <w:kern w:val="0"/>
                      <w:szCs w:val="21"/>
                      <w:lang w:bidi="ar"/>
                    </w:rPr>
                  </w:pPr>
                  <w:r>
                    <w:rPr>
                      <w:rFonts w:hint="eastAsia"/>
                      <w:color w:val="auto"/>
                      <w:kern w:val="0"/>
                      <w:szCs w:val="21"/>
                      <w:lang w:bidi="ar"/>
                    </w:rPr>
                    <w:t>1000</w:t>
                  </w:r>
                </w:p>
              </w:tc>
              <w:tc>
                <w:tcPr>
                  <w:tcW w:w="961" w:type="pct"/>
                  <w:tcBorders>
                    <w:top w:val="single" w:color="auto" w:sz="4" w:space="0"/>
                    <w:left w:val="single" w:color="auto" w:sz="4" w:space="0"/>
                    <w:bottom w:val="single" w:color="auto" w:sz="4" w:space="0"/>
                    <w:right w:val="single" w:color="auto" w:sz="4" w:space="0"/>
                  </w:tcBorders>
                  <w:shd w:val="clear" w:color="auto" w:fill="CCE8CF"/>
                  <w:vAlign w:val="center"/>
                </w:tcPr>
                <w:p>
                  <w:pPr>
                    <w:widowControl/>
                    <w:jc w:val="center"/>
                    <w:textAlignment w:val="center"/>
                    <w:rPr>
                      <w:rFonts w:hint="eastAsia"/>
                      <w:color w:val="auto"/>
                      <w:kern w:val="0"/>
                      <w:szCs w:val="21"/>
                      <w:lang w:val="en-US" w:eastAsia="zh-CN" w:bidi="ar"/>
                    </w:rPr>
                  </w:pPr>
                  <w:r>
                    <w:rPr>
                      <w:rFonts w:hint="eastAsia"/>
                      <w:color w:val="auto"/>
                      <w:kern w:val="0"/>
                      <w:szCs w:val="21"/>
                      <w:lang w:val="en-US" w:eastAsia="zh-CN" w:bidi="ar"/>
                    </w:rPr>
                    <w:t>0.0003</w:t>
                  </w:r>
                </w:p>
              </w:tc>
              <w:tc>
                <w:tcPr>
                  <w:tcW w:w="961" w:type="pct"/>
                  <w:tcBorders>
                    <w:top w:val="single" w:color="auto" w:sz="4" w:space="0"/>
                    <w:left w:val="single" w:color="auto" w:sz="4" w:space="0"/>
                    <w:bottom w:val="single" w:color="auto" w:sz="4" w:space="0"/>
                    <w:right w:val="single" w:color="auto" w:sz="4" w:space="0"/>
                  </w:tcBorders>
                  <w:shd w:val="clear" w:color="auto" w:fill="CCE8CF"/>
                  <w:vAlign w:val="center"/>
                </w:tcPr>
                <w:p>
                  <w:pPr>
                    <w:widowControl/>
                    <w:jc w:val="center"/>
                    <w:textAlignment w:val="center"/>
                    <w:rPr>
                      <w:rFonts w:hint="eastAsia"/>
                      <w:color w:val="auto"/>
                      <w:kern w:val="0"/>
                      <w:szCs w:val="21"/>
                      <w:lang w:val="en-US" w:eastAsia="zh-CN" w:bidi="ar"/>
                    </w:rPr>
                  </w:pPr>
                  <w:r>
                    <w:rPr>
                      <w:rFonts w:hint="eastAsia"/>
                      <w:color w:val="auto"/>
                      <w:kern w:val="0"/>
                      <w:szCs w:val="21"/>
                      <w:lang w:val="en-US" w:eastAsia="zh-CN" w:bidi="ar"/>
                    </w:rPr>
                    <w:t>0.06</w:t>
                  </w:r>
                </w:p>
              </w:tc>
              <w:tc>
                <w:tcPr>
                  <w:tcW w:w="977" w:type="pct"/>
                  <w:tcBorders>
                    <w:top w:val="single" w:color="auto" w:sz="4" w:space="0"/>
                    <w:left w:val="single" w:color="auto" w:sz="4" w:space="0"/>
                    <w:bottom w:val="single" w:color="auto" w:sz="4" w:space="0"/>
                    <w:right w:val="single" w:color="auto" w:sz="4" w:space="0"/>
                  </w:tcBorders>
                  <w:shd w:val="clear" w:color="auto" w:fill="CCE8CF"/>
                  <w:vAlign w:val="center"/>
                </w:tcPr>
                <w:p>
                  <w:pPr>
                    <w:widowControl/>
                    <w:jc w:val="center"/>
                    <w:textAlignment w:val="center"/>
                    <w:rPr>
                      <w:rFonts w:hint="eastAsia"/>
                      <w:color w:val="auto"/>
                      <w:kern w:val="0"/>
                      <w:szCs w:val="21"/>
                      <w:lang w:bidi="ar"/>
                    </w:rPr>
                  </w:pPr>
                  <w:r>
                    <w:rPr>
                      <w:rFonts w:hint="eastAsia"/>
                      <w:color w:val="auto"/>
                      <w:kern w:val="0"/>
                      <w:szCs w:val="21"/>
                      <w:lang w:val="en-US" w:eastAsia="zh-CN" w:bidi="ar"/>
                    </w:rPr>
                    <w:t>0</w:t>
                  </w:r>
                </w:p>
              </w:tc>
              <w:tc>
                <w:tcPr>
                  <w:tcW w:w="947" w:type="pct"/>
                  <w:tcBorders>
                    <w:top w:val="single" w:color="auto" w:sz="4" w:space="0"/>
                    <w:left w:val="single" w:color="auto" w:sz="4" w:space="0"/>
                    <w:bottom w:val="single" w:color="auto" w:sz="4" w:space="0"/>
                    <w:right w:val="nil"/>
                  </w:tcBorders>
                  <w:shd w:val="clear" w:color="auto" w:fill="CCE8CF"/>
                  <w:vAlign w:val="center"/>
                </w:tcPr>
                <w:p>
                  <w:pPr>
                    <w:widowControl/>
                    <w:jc w:val="center"/>
                    <w:textAlignment w:val="center"/>
                    <w:rPr>
                      <w:rFonts w:hint="eastAsia"/>
                      <w:color w:val="auto"/>
                      <w:kern w:val="0"/>
                      <w:szCs w:val="21"/>
                      <w:lang w:bidi="ar"/>
                    </w:rPr>
                  </w:pPr>
                  <w:r>
                    <w:rPr>
                      <w:rFonts w:hint="eastAsia"/>
                      <w:color w:val="auto"/>
                      <w:kern w:val="0"/>
                      <w:szCs w:val="21"/>
                      <w:lang w:val="en-US" w:eastAsia="zh-CN" w:bidi="ar"/>
                    </w:rPr>
                    <w:t>0</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152" w:type="pct"/>
                  <w:tcBorders>
                    <w:top w:val="single" w:color="auto" w:sz="4" w:space="0"/>
                    <w:left w:val="nil"/>
                    <w:bottom w:val="single" w:color="auto" w:sz="4" w:space="0"/>
                    <w:right w:val="single" w:color="auto" w:sz="4" w:space="0"/>
                  </w:tcBorders>
                  <w:shd w:val="clear" w:color="auto" w:fill="CCE8CF"/>
                  <w:vAlign w:val="center"/>
                </w:tcPr>
                <w:p>
                  <w:pPr>
                    <w:widowControl/>
                    <w:jc w:val="center"/>
                    <w:textAlignment w:val="center"/>
                    <w:rPr>
                      <w:rFonts w:hint="eastAsia"/>
                      <w:color w:val="auto"/>
                      <w:kern w:val="0"/>
                      <w:szCs w:val="21"/>
                      <w:lang w:bidi="ar"/>
                    </w:rPr>
                  </w:pPr>
                  <w:r>
                    <w:rPr>
                      <w:rFonts w:hint="eastAsia"/>
                      <w:color w:val="auto"/>
                      <w:kern w:val="0"/>
                      <w:szCs w:val="21"/>
                      <w:lang w:bidi="ar"/>
                    </w:rPr>
                    <w:t>1500</w:t>
                  </w:r>
                </w:p>
              </w:tc>
              <w:tc>
                <w:tcPr>
                  <w:tcW w:w="961" w:type="pct"/>
                  <w:tcBorders>
                    <w:top w:val="single" w:color="auto" w:sz="4" w:space="0"/>
                    <w:left w:val="single" w:color="auto" w:sz="4" w:space="0"/>
                    <w:bottom w:val="single" w:color="auto" w:sz="4" w:space="0"/>
                    <w:right w:val="single" w:color="auto" w:sz="4" w:space="0"/>
                  </w:tcBorders>
                  <w:shd w:val="clear" w:color="auto" w:fill="CCE8CF"/>
                  <w:vAlign w:val="center"/>
                </w:tcPr>
                <w:p>
                  <w:pPr>
                    <w:widowControl/>
                    <w:jc w:val="center"/>
                    <w:textAlignment w:val="center"/>
                    <w:rPr>
                      <w:rFonts w:hint="eastAsia"/>
                      <w:color w:val="auto"/>
                      <w:kern w:val="0"/>
                      <w:szCs w:val="21"/>
                      <w:lang w:val="en-US" w:eastAsia="zh-CN" w:bidi="ar"/>
                    </w:rPr>
                  </w:pPr>
                  <w:r>
                    <w:rPr>
                      <w:rFonts w:hint="eastAsia"/>
                      <w:color w:val="auto"/>
                      <w:kern w:val="0"/>
                      <w:szCs w:val="21"/>
                      <w:lang w:val="en-US" w:eastAsia="zh-CN" w:bidi="ar"/>
                    </w:rPr>
                    <w:t>0.0002</w:t>
                  </w:r>
                </w:p>
              </w:tc>
              <w:tc>
                <w:tcPr>
                  <w:tcW w:w="961" w:type="pct"/>
                  <w:tcBorders>
                    <w:top w:val="single" w:color="auto" w:sz="4" w:space="0"/>
                    <w:left w:val="single" w:color="auto" w:sz="4" w:space="0"/>
                    <w:bottom w:val="single" w:color="auto" w:sz="4" w:space="0"/>
                    <w:right w:val="single" w:color="auto" w:sz="4" w:space="0"/>
                  </w:tcBorders>
                  <w:shd w:val="clear" w:color="auto" w:fill="CCE8CF"/>
                  <w:vAlign w:val="center"/>
                </w:tcPr>
                <w:p>
                  <w:pPr>
                    <w:widowControl/>
                    <w:jc w:val="center"/>
                    <w:textAlignment w:val="center"/>
                    <w:rPr>
                      <w:rFonts w:hint="eastAsia"/>
                      <w:color w:val="auto"/>
                      <w:kern w:val="0"/>
                      <w:szCs w:val="21"/>
                      <w:lang w:val="en-US" w:eastAsia="zh-CN" w:bidi="ar"/>
                    </w:rPr>
                  </w:pPr>
                  <w:r>
                    <w:rPr>
                      <w:rFonts w:hint="eastAsia"/>
                      <w:color w:val="auto"/>
                      <w:kern w:val="0"/>
                      <w:szCs w:val="21"/>
                      <w:lang w:val="en-US" w:eastAsia="zh-CN" w:bidi="ar"/>
                    </w:rPr>
                    <w:t>0.03</w:t>
                  </w:r>
                </w:p>
              </w:tc>
              <w:tc>
                <w:tcPr>
                  <w:tcW w:w="977" w:type="pct"/>
                  <w:tcBorders>
                    <w:top w:val="single" w:color="auto" w:sz="4" w:space="0"/>
                    <w:left w:val="single" w:color="auto" w:sz="4" w:space="0"/>
                    <w:bottom w:val="single" w:color="auto" w:sz="4" w:space="0"/>
                    <w:right w:val="single" w:color="auto" w:sz="4" w:space="0"/>
                  </w:tcBorders>
                  <w:shd w:val="clear" w:color="auto" w:fill="CCE8CF"/>
                  <w:vAlign w:val="center"/>
                </w:tcPr>
                <w:p>
                  <w:pPr>
                    <w:widowControl/>
                    <w:jc w:val="center"/>
                    <w:textAlignment w:val="center"/>
                    <w:rPr>
                      <w:rFonts w:hint="eastAsia"/>
                      <w:color w:val="auto"/>
                      <w:kern w:val="0"/>
                      <w:szCs w:val="21"/>
                      <w:lang w:bidi="ar"/>
                    </w:rPr>
                  </w:pPr>
                  <w:r>
                    <w:rPr>
                      <w:rFonts w:hint="eastAsia"/>
                      <w:color w:val="auto"/>
                      <w:kern w:val="0"/>
                      <w:szCs w:val="21"/>
                      <w:lang w:val="en-US" w:eastAsia="zh-CN" w:bidi="ar"/>
                    </w:rPr>
                    <w:t>0</w:t>
                  </w:r>
                </w:p>
              </w:tc>
              <w:tc>
                <w:tcPr>
                  <w:tcW w:w="947" w:type="pct"/>
                  <w:tcBorders>
                    <w:top w:val="single" w:color="auto" w:sz="4" w:space="0"/>
                    <w:left w:val="single" w:color="auto" w:sz="4" w:space="0"/>
                    <w:bottom w:val="single" w:color="auto" w:sz="4" w:space="0"/>
                    <w:right w:val="nil"/>
                  </w:tcBorders>
                  <w:shd w:val="clear" w:color="auto" w:fill="CCE8CF"/>
                  <w:vAlign w:val="center"/>
                </w:tcPr>
                <w:p>
                  <w:pPr>
                    <w:widowControl/>
                    <w:jc w:val="center"/>
                    <w:textAlignment w:val="center"/>
                    <w:rPr>
                      <w:rFonts w:hint="eastAsia"/>
                      <w:color w:val="auto"/>
                      <w:kern w:val="0"/>
                      <w:szCs w:val="21"/>
                      <w:lang w:bidi="ar"/>
                    </w:rPr>
                  </w:pPr>
                  <w:r>
                    <w:rPr>
                      <w:rFonts w:hint="eastAsia"/>
                      <w:color w:val="auto"/>
                      <w:kern w:val="0"/>
                      <w:szCs w:val="21"/>
                      <w:lang w:val="en-US" w:eastAsia="zh-CN" w:bidi="ar"/>
                    </w:rPr>
                    <w:t>0</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152" w:type="pct"/>
                  <w:tcBorders>
                    <w:top w:val="single" w:color="auto" w:sz="4" w:space="0"/>
                    <w:left w:val="nil"/>
                    <w:bottom w:val="single" w:color="auto" w:sz="4" w:space="0"/>
                    <w:right w:val="single" w:color="auto" w:sz="4" w:space="0"/>
                  </w:tcBorders>
                  <w:shd w:val="clear" w:color="auto" w:fill="CCE8CF"/>
                  <w:vAlign w:val="center"/>
                </w:tcPr>
                <w:p>
                  <w:pPr>
                    <w:widowControl/>
                    <w:jc w:val="center"/>
                    <w:textAlignment w:val="center"/>
                    <w:rPr>
                      <w:rFonts w:hint="eastAsia"/>
                      <w:color w:val="auto"/>
                      <w:kern w:val="0"/>
                      <w:szCs w:val="21"/>
                      <w:lang w:bidi="ar"/>
                    </w:rPr>
                  </w:pPr>
                  <w:r>
                    <w:rPr>
                      <w:rFonts w:hint="eastAsia"/>
                      <w:color w:val="auto"/>
                      <w:kern w:val="0"/>
                      <w:szCs w:val="21"/>
                      <w:lang w:bidi="ar"/>
                    </w:rPr>
                    <w:t>2000</w:t>
                  </w:r>
                </w:p>
              </w:tc>
              <w:tc>
                <w:tcPr>
                  <w:tcW w:w="961" w:type="pct"/>
                  <w:tcBorders>
                    <w:top w:val="single" w:color="auto" w:sz="4" w:space="0"/>
                    <w:left w:val="single" w:color="auto" w:sz="4" w:space="0"/>
                    <w:bottom w:val="single" w:color="auto" w:sz="4" w:space="0"/>
                    <w:right w:val="single" w:color="auto" w:sz="4" w:space="0"/>
                  </w:tcBorders>
                  <w:shd w:val="clear" w:color="auto" w:fill="CCE8CF"/>
                  <w:vAlign w:val="center"/>
                </w:tcPr>
                <w:p>
                  <w:pPr>
                    <w:widowControl/>
                    <w:jc w:val="center"/>
                    <w:textAlignment w:val="center"/>
                    <w:rPr>
                      <w:rFonts w:hint="eastAsia"/>
                      <w:color w:val="auto"/>
                      <w:kern w:val="0"/>
                      <w:szCs w:val="21"/>
                      <w:lang w:val="en-US" w:eastAsia="zh-CN" w:bidi="ar"/>
                    </w:rPr>
                  </w:pPr>
                  <w:r>
                    <w:rPr>
                      <w:rFonts w:hint="eastAsia"/>
                      <w:color w:val="auto"/>
                      <w:kern w:val="0"/>
                      <w:szCs w:val="21"/>
                      <w:lang w:val="en-US" w:eastAsia="zh-CN" w:bidi="ar"/>
                    </w:rPr>
                    <w:t>0.0001</w:t>
                  </w:r>
                </w:p>
              </w:tc>
              <w:tc>
                <w:tcPr>
                  <w:tcW w:w="961" w:type="pct"/>
                  <w:tcBorders>
                    <w:top w:val="single" w:color="auto" w:sz="4" w:space="0"/>
                    <w:left w:val="single" w:color="auto" w:sz="4" w:space="0"/>
                    <w:bottom w:val="single" w:color="auto" w:sz="4" w:space="0"/>
                    <w:right w:val="single" w:color="auto" w:sz="4" w:space="0"/>
                  </w:tcBorders>
                  <w:shd w:val="clear" w:color="auto" w:fill="CCE8CF"/>
                  <w:vAlign w:val="center"/>
                </w:tcPr>
                <w:p>
                  <w:pPr>
                    <w:widowControl/>
                    <w:jc w:val="center"/>
                    <w:textAlignment w:val="center"/>
                    <w:rPr>
                      <w:rFonts w:hint="eastAsia"/>
                      <w:color w:val="auto"/>
                      <w:kern w:val="0"/>
                      <w:szCs w:val="21"/>
                      <w:lang w:val="en-US" w:eastAsia="zh-CN" w:bidi="ar"/>
                    </w:rPr>
                  </w:pPr>
                  <w:r>
                    <w:rPr>
                      <w:rFonts w:hint="eastAsia"/>
                      <w:color w:val="auto"/>
                      <w:kern w:val="0"/>
                      <w:szCs w:val="21"/>
                      <w:lang w:val="en-US" w:eastAsia="zh-CN" w:bidi="ar"/>
                    </w:rPr>
                    <w:t>0.02</w:t>
                  </w:r>
                </w:p>
              </w:tc>
              <w:tc>
                <w:tcPr>
                  <w:tcW w:w="977" w:type="pct"/>
                  <w:tcBorders>
                    <w:top w:val="single" w:color="auto" w:sz="4" w:space="0"/>
                    <w:left w:val="single" w:color="auto" w:sz="4" w:space="0"/>
                    <w:bottom w:val="single" w:color="auto" w:sz="4" w:space="0"/>
                    <w:right w:val="single" w:color="auto" w:sz="4" w:space="0"/>
                  </w:tcBorders>
                  <w:shd w:val="clear" w:color="auto" w:fill="CCE8CF"/>
                  <w:vAlign w:val="center"/>
                </w:tcPr>
                <w:p>
                  <w:pPr>
                    <w:widowControl/>
                    <w:jc w:val="center"/>
                    <w:textAlignment w:val="center"/>
                    <w:rPr>
                      <w:rFonts w:hint="eastAsia"/>
                      <w:color w:val="auto"/>
                      <w:kern w:val="0"/>
                      <w:szCs w:val="21"/>
                      <w:lang w:bidi="ar"/>
                    </w:rPr>
                  </w:pPr>
                  <w:r>
                    <w:rPr>
                      <w:rFonts w:hint="eastAsia"/>
                      <w:color w:val="auto"/>
                      <w:kern w:val="0"/>
                      <w:szCs w:val="21"/>
                      <w:lang w:val="en-US" w:eastAsia="zh-CN" w:bidi="ar"/>
                    </w:rPr>
                    <w:t>0</w:t>
                  </w:r>
                </w:p>
              </w:tc>
              <w:tc>
                <w:tcPr>
                  <w:tcW w:w="947" w:type="pct"/>
                  <w:tcBorders>
                    <w:top w:val="single" w:color="auto" w:sz="4" w:space="0"/>
                    <w:left w:val="single" w:color="auto" w:sz="4" w:space="0"/>
                    <w:bottom w:val="single" w:color="auto" w:sz="4" w:space="0"/>
                    <w:right w:val="nil"/>
                  </w:tcBorders>
                  <w:shd w:val="clear" w:color="auto" w:fill="CCE8CF"/>
                  <w:vAlign w:val="center"/>
                </w:tcPr>
                <w:p>
                  <w:pPr>
                    <w:widowControl/>
                    <w:jc w:val="center"/>
                    <w:textAlignment w:val="center"/>
                    <w:rPr>
                      <w:rFonts w:hint="eastAsia"/>
                      <w:color w:val="auto"/>
                      <w:kern w:val="0"/>
                      <w:szCs w:val="21"/>
                      <w:lang w:bidi="ar"/>
                    </w:rPr>
                  </w:pPr>
                  <w:r>
                    <w:rPr>
                      <w:rFonts w:hint="eastAsia"/>
                      <w:color w:val="auto"/>
                      <w:kern w:val="0"/>
                      <w:szCs w:val="21"/>
                      <w:lang w:val="en-US" w:eastAsia="zh-CN" w:bidi="ar"/>
                    </w:rPr>
                    <w:t>0</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15" w:hRule="atLeast"/>
              </w:trPr>
              <w:tc>
                <w:tcPr>
                  <w:tcW w:w="1152" w:type="pct"/>
                  <w:tcBorders>
                    <w:top w:val="single" w:color="auto" w:sz="4" w:space="0"/>
                    <w:left w:val="nil"/>
                    <w:bottom w:val="single" w:color="auto" w:sz="4" w:space="0"/>
                    <w:right w:val="single" w:color="auto" w:sz="4" w:space="0"/>
                  </w:tcBorders>
                  <w:shd w:val="clear" w:color="auto" w:fill="CCE8CF"/>
                  <w:vAlign w:val="center"/>
                </w:tcPr>
                <w:p>
                  <w:pPr>
                    <w:widowControl/>
                    <w:jc w:val="center"/>
                    <w:textAlignment w:val="center"/>
                    <w:rPr>
                      <w:rFonts w:hint="eastAsia"/>
                      <w:color w:val="auto"/>
                      <w:kern w:val="0"/>
                      <w:szCs w:val="21"/>
                      <w:lang w:bidi="ar"/>
                    </w:rPr>
                  </w:pPr>
                  <w:r>
                    <w:rPr>
                      <w:rFonts w:hint="eastAsia"/>
                      <w:color w:val="auto"/>
                      <w:kern w:val="0"/>
                      <w:szCs w:val="21"/>
                      <w:lang w:bidi="ar"/>
                    </w:rPr>
                    <w:t>2500</w:t>
                  </w:r>
                </w:p>
              </w:tc>
              <w:tc>
                <w:tcPr>
                  <w:tcW w:w="961" w:type="pct"/>
                  <w:tcBorders>
                    <w:top w:val="single" w:color="auto" w:sz="4" w:space="0"/>
                    <w:left w:val="single" w:color="auto" w:sz="4" w:space="0"/>
                    <w:bottom w:val="single" w:color="auto" w:sz="4" w:space="0"/>
                    <w:right w:val="single" w:color="auto" w:sz="4" w:space="0"/>
                  </w:tcBorders>
                  <w:shd w:val="clear" w:color="auto" w:fill="CCE8CF"/>
                  <w:vAlign w:val="center"/>
                </w:tcPr>
                <w:p>
                  <w:pPr>
                    <w:widowControl/>
                    <w:jc w:val="center"/>
                    <w:textAlignment w:val="center"/>
                    <w:rPr>
                      <w:rFonts w:hint="eastAsia"/>
                      <w:color w:val="auto"/>
                      <w:kern w:val="0"/>
                      <w:szCs w:val="21"/>
                      <w:lang w:val="en-US" w:eastAsia="zh-CN" w:bidi="ar"/>
                    </w:rPr>
                  </w:pPr>
                  <w:r>
                    <w:rPr>
                      <w:rFonts w:hint="eastAsia"/>
                      <w:color w:val="auto"/>
                      <w:kern w:val="0"/>
                      <w:szCs w:val="21"/>
                      <w:lang w:val="en-US" w:eastAsia="zh-CN" w:bidi="ar"/>
                    </w:rPr>
                    <w:t>0.0001</w:t>
                  </w:r>
                </w:p>
              </w:tc>
              <w:tc>
                <w:tcPr>
                  <w:tcW w:w="961" w:type="pct"/>
                  <w:tcBorders>
                    <w:top w:val="single" w:color="auto" w:sz="4" w:space="0"/>
                    <w:left w:val="single" w:color="auto" w:sz="4" w:space="0"/>
                    <w:bottom w:val="single" w:color="auto" w:sz="4" w:space="0"/>
                    <w:right w:val="single" w:color="auto" w:sz="4" w:space="0"/>
                  </w:tcBorders>
                  <w:shd w:val="clear" w:color="auto" w:fill="CCE8CF"/>
                  <w:vAlign w:val="center"/>
                </w:tcPr>
                <w:p>
                  <w:pPr>
                    <w:widowControl/>
                    <w:jc w:val="center"/>
                    <w:textAlignment w:val="center"/>
                    <w:rPr>
                      <w:rFonts w:hint="eastAsia"/>
                      <w:color w:val="auto"/>
                      <w:kern w:val="0"/>
                      <w:szCs w:val="21"/>
                      <w:lang w:val="en-US" w:eastAsia="zh-CN" w:bidi="ar"/>
                    </w:rPr>
                  </w:pPr>
                  <w:r>
                    <w:rPr>
                      <w:rFonts w:hint="eastAsia"/>
                      <w:color w:val="auto"/>
                      <w:kern w:val="0"/>
                      <w:szCs w:val="21"/>
                      <w:lang w:val="en-US" w:eastAsia="zh-CN" w:bidi="ar"/>
                    </w:rPr>
                    <w:t>0.02</w:t>
                  </w:r>
                </w:p>
              </w:tc>
              <w:tc>
                <w:tcPr>
                  <w:tcW w:w="977" w:type="pct"/>
                  <w:tcBorders>
                    <w:top w:val="single" w:color="auto" w:sz="4" w:space="0"/>
                    <w:left w:val="single" w:color="auto" w:sz="4" w:space="0"/>
                    <w:bottom w:val="single" w:color="auto" w:sz="4" w:space="0"/>
                    <w:right w:val="single" w:color="auto" w:sz="4" w:space="0"/>
                  </w:tcBorders>
                  <w:shd w:val="clear" w:color="auto" w:fill="CCE8CF"/>
                  <w:vAlign w:val="center"/>
                </w:tcPr>
                <w:p>
                  <w:pPr>
                    <w:widowControl/>
                    <w:jc w:val="center"/>
                    <w:textAlignment w:val="center"/>
                    <w:rPr>
                      <w:rFonts w:hint="eastAsia"/>
                      <w:color w:val="auto"/>
                      <w:kern w:val="0"/>
                      <w:szCs w:val="21"/>
                      <w:lang w:bidi="ar"/>
                    </w:rPr>
                  </w:pPr>
                  <w:r>
                    <w:rPr>
                      <w:rFonts w:hint="eastAsia"/>
                      <w:color w:val="auto"/>
                      <w:kern w:val="0"/>
                      <w:szCs w:val="21"/>
                      <w:lang w:val="en-US" w:eastAsia="zh-CN" w:bidi="ar"/>
                    </w:rPr>
                    <w:t>0</w:t>
                  </w:r>
                </w:p>
              </w:tc>
              <w:tc>
                <w:tcPr>
                  <w:tcW w:w="947" w:type="pct"/>
                  <w:tcBorders>
                    <w:top w:val="single" w:color="auto" w:sz="4" w:space="0"/>
                    <w:left w:val="single" w:color="auto" w:sz="4" w:space="0"/>
                    <w:bottom w:val="single" w:color="auto" w:sz="4" w:space="0"/>
                    <w:right w:val="nil"/>
                  </w:tcBorders>
                  <w:shd w:val="clear" w:color="auto" w:fill="CCE8CF"/>
                  <w:vAlign w:val="center"/>
                </w:tcPr>
                <w:p>
                  <w:pPr>
                    <w:widowControl/>
                    <w:jc w:val="center"/>
                    <w:textAlignment w:val="center"/>
                    <w:rPr>
                      <w:rFonts w:hint="eastAsia"/>
                      <w:color w:val="auto"/>
                      <w:kern w:val="0"/>
                      <w:szCs w:val="21"/>
                      <w:lang w:bidi="ar"/>
                    </w:rPr>
                  </w:pPr>
                  <w:r>
                    <w:rPr>
                      <w:rFonts w:hint="eastAsia"/>
                      <w:color w:val="auto"/>
                      <w:kern w:val="0"/>
                      <w:szCs w:val="21"/>
                      <w:lang w:val="en-US" w:eastAsia="zh-CN" w:bidi="ar"/>
                    </w:rPr>
                    <w:t>0</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43" w:hRule="atLeast"/>
              </w:trPr>
              <w:tc>
                <w:tcPr>
                  <w:tcW w:w="1152" w:type="pct"/>
                  <w:tcBorders>
                    <w:top w:val="single" w:color="auto" w:sz="4" w:space="0"/>
                    <w:left w:val="nil"/>
                    <w:bottom w:val="single" w:color="auto" w:sz="4" w:space="0"/>
                    <w:right w:val="single" w:color="auto" w:sz="4" w:space="0"/>
                  </w:tcBorders>
                  <w:shd w:val="clear" w:color="auto" w:fill="CCE8CF"/>
                  <w:vAlign w:val="center"/>
                </w:tcPr>
                <w:p>
                  <w:pPr>
                    <w:pStyle w:val="210"/>
                    <w:rPr>
                      <w:color w:val="auto"/>
                      <w:kern w:val="0"/>
                      <w:szCs w:val="21"/>
                      <w:lang w:val="en-US" w:bidi="ar"/>
                    </w:rPr>
                  </w:pPr>
                  <w:r>
                    <w:rPr>
                      <w:color w:val="auto"/>
                      <w:kern w:val="0"/>
                      <w:szCs w:val="21"/>
                      <w:lang w:val="en-US" w:bidi="ar"/>
                    </w:rPr>
                    <w:t>最大地面浓度</w:t>
                  </w:r>
                  <w:r>
                    <w:rPr>
                      <w:rFonts w:hint="eastAsia"/>
                      <w:color w:val="auto"/>
                      <w:kern w:val="0"/>
                      <w:szCs w:val="21"/>
                      <w:lang w:val="en-US" w:bidi="ar"/>
                    </w:rPr>
                    <w:t>及占标率</w:t>
                  </w:r>
                </w:p>
              </w:tc>
              <w:tc>
                <w:tcPr>
                  <w:tcW w:w="961" w:type="pct"/>
                  <w:tcBorders>
                    <w:top w:val="single" w:color="auto" w:sz="4" w:space="0"/>
                    <w:left w:val="single" w:color="auto" w:sz="4" w:space="0"/>
                    <w:bottom w:val="single" w:color="auto" w:sz="4" w:space="0"/>
                    <w:right w:val="single" w:color="auto" w:sz="4" w:space="0"/>
                  </w:tcBorders>
                  <w:shd w:val="clear" w:color="auto" w:fill="CCE8CF"/>
                  <w:vAlign w:val="center"/>
                </w:tcPr>
                <w:p>
                  <w:pPr>
                    <w:widowControl/>
                    <w:jc w:val="center"/>
                    <w:textAlignment w:val="center"/>
                    <w:rPr>
                      <w:rFonts w:hint="eastAsia"/>
                      <w:color w:val="auto"/>
                      <w:kern w:val="0"/>
                      <w:szCs w:val="21"/>
                      <w:lang w:val="en-US" w:eastAsia="zh-CN" w:bidi="ar"/>
                    </w:rPr>
                  </w:pPr>
                  <w:r>
                    <w:rPr>
                      <w:rFonts w:hint="eastAsia"/>
                      <w:color w:val="auto"/>
                      <w:kern w:val="0"/>
                      <w:szCs w:val="21"/>
                      <w:lang w:val="en-US" w:eastAsia="zh-CN" w:bidi="ar"/>
                    </w:rPr>
                    <w:t>0.0027</w:t>
                  </w:r>
                </w:p>
              </w:tc>
              <w:tc>
                <w:tcPr>
                  <w:tcW w:w="961" w:type="pct"/>
                  <w:tcBorders>
                    <w:top w:val="single" w:color="auto" w:sz="4" w:space="0"/>
                    <w:left w:val="single" w:color="auto" w:sz="4" w:space="0"/>
                    <w:bottom w:val="single" w:color="auto" w:sz="4" w:space="0"/>
                    <w:right w:val="single" w:color="auto" w:sz="4" w:space="0"/>
                  </w:tcBorders>
                  <w:shd w:val="clear" w:color="auto" w:fill="CCE8CF"/>
                  <w:vAlign w:val="center"/>
                </w:tcPr>
                <w:p>
                  <w:pPr>
                    <w:widowControl/>
                    <w:jc w:val="center"/>
                    <w:textAlignment w:val="center"/>
                    <w:rPr>
                      <w:rFonts w:hint="eastAsia"/>
                      <w:color w:val="auto"/>
                      <w:kern w:val="0"/>
                      <w:szCs w:val="21"/>
                      <w:lang w:val="en-US" w:eastAsia="zh-CN" w:bidi="ar"/>
                    </w:rPr>
                  </w:pPr>
                  <w:r>
                    <w:rPr>
                      <w:rFonts w:hint="eastAsia"/>
                      <w:color w:val="auto"/>
                      <w:kern w:val="0"/>
                      <w:szCs w:val="21"/>
                      <w:lang w:val="en-US" w:eastAsia="zh-CN" w:bidi="ar"/>
                    </w:rPr>
                    <w:t>0.59</w:t>
                  </w:r>
                </w:p>
              </w:tc>
              <w:tc>
                <w:tcPr>
                  <w:tcW w:w="977" w:type="pct"/>
                  <w:tcBorders>
                    <w:top w:val="single" w:color="auto" w:sz="4" w:space="0"/>
                    <w:left w:val="single" w:color="auto" w:sz="4" w:space="0"/>
                    <w:bottom w:val="single" w:color="auto" w:sz="4" w:space="0"/>
                    <w:right w:val="single" w:color="auto" w:sz="4" w:space="0"/>
                  </w:tcBorders>
                  <w:shd w:val="clear" w:color="auto" w:fill="CCE8CF"/>
                  <w:vAlign w:val="center"/>
                </w:tcPr>
                <w:p>
                  <w:pPr>
                    <w:widowControl/>
                    <w:jc w:val="center"/>
                    <w:textAlignment w:val="center"/>
                    <w:rPr>
                      <w:rFonts w:hint="eastAsia"/>
                      <w:color w:val="auto"/>
                      <w:kern w:val="0"/>
                      <w:szCs w:val="21"/>
                      <w:lang w:bidi="ar"/>
                    </w:rPr>
                  </w:pPr>
                  <w:r>
                    <w:rPr>
                      <w:rFonts w:hint="eastAsia"/>
                      <w:color w:val="auto"/>
                      <w:kern w:val="0"/>
                      <w:szCs w:val="21"/>
                      <w:lang w:val="en-US" w:eastAsia="zh-CN" w:bidi="ar"/>
                    </w:rPr>
                    <w:t>0.0002</w:t>
                  </w:r>
                </w:p>
              </w:tc>
              <w:tc>
                <w:tcPr>
                  <w:tcW w:w="947" w:type="pct"/>
                  <w:tcBorders>
                    <w:top w:val="single" w:color="auto" w:sz="4" w:space="0"/>
                    <w:left w:val="single" w:color="auto" w:sz="4" w:space="0"/>
                    <w:bottom w:val="single" w:color="auto" w:sz="4" w:space="0"/>
                    <w:right w:val="nil"/>
                  </w:tcBorders>
                  <w:shd w:val="clear" w:color="auto" w:fill="CCE8CF"/>
                  <w:vAlign w:val="center"/>
                </w:tcPr>
                <w:p>
                  <w:pPr>
                    <w:widowControl/>
                    <w:jc w:val="center"/>
                    <w:textAlignment w:val="center"/>
                    <w:rPr>
                      <w:rFonts w:hint="eastAsia"/>
                      <w:color w:val="auto"/>
                      <w:kern w:val="0"/>
                      <w:szCs w:val="21"/>
                      <w:lang w:bidi="ar"/>
                    </w:rPr>
                  </w:pPr>
                  <w:r>
                    <w:rPr>
                      <w:rFonts w:hint="eastAsia"/>
                      <w:color w:val="auto"/>
                      <w:kern w:val="0"/>
                      <w:szCs w:val="21"/>
                      <w:lang w:val="en-US" w:eastAsia="zh-CN" w:bidi="ar"/>
                    </w:rPr>
                    <w:t>0.01</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152" w:type="pct"/>
                  <w:tcBorders>
                    <w:top w:val="single" w:color="auto" w:sz="4" w:space="0"/>
                    <w:left w:val="nil"/>
                    <w:bottom w:val="single" w:color="auto" w:sz="12" w:space="0"/>
                    <w:right w:val="single" w:color="auto" w:sz="4" w:space="0"/>
                  </w:tcBorders>
                  <w:shd w:val="clear" w:color="auto" w:fill="CCE8CF"/>
                  <w:vAlign w:val="center"/>
                </w:tcPr>
                <w:p>
                  <w:pPr>
                    <w:pStyle w:val="210"/>
                    <w:rPr>
                      <w:color w:val="auto"/>
                      <w:szCs w:val="21"/>
                      <w:lang w:val="en-US"/>
                    </w:rPr>
                  </w:pPr>
                  <w:r>
                    <w:rPr>
                      <w:color w:val="auto"/>
                      <w:szCs w:val="21"/>
                      <w:lang w:val="en-US"/>
                    </w:rPr>
                    <w:t>D10%,m</w:t>
                  </w:r>
                </w:p>
              </w:tc>
              <w:tc>
                <w:tcPr>
                  <w:tcW w:w="961" w:type="pct"/>
                  <w:tcBorders>
                    <w:top w:val="single" w:color="auto" w:sz="4" w:space="0"/>
                    <w:left w:val="single" w:color="auto" w:sz="4" w:space="0"/>
                    <w:bottom w:val="single" w:color="auto" w:sz="12" w:space="0"/>
                    <w:right w:val="single" w:color="auto" w:sz="4" w:space="0"/>
                  </w:tcBorders>
                  <w:shd w:val="clear" w:color="auto" w:fill="CCE8CF"/>
                  <w:vAlign w:val="center"/>
                </w:tcPr>
                <w:p>
                  <w:pPr>
                    <w:rPr>
                      <w:color w:val="auto"/>
                      <w:szCs w:val="21"/>
                      <w:lang w:val="en-US"/>
                    </w:rPr>
                  </w:pPr>
                  <w:r>
                    <w:rPr>
                      <w:color w:val="auto"/>
                      <w:szCs w:val="21"/>
                      <w:lang w:val="en-US"/>
                    </w:rPr>
                    <w:t>/</w:t>
                  </w:r>
                </w:p>
              </w:tc>
              <w:tc>
                <w:tcPr>
                  <w:tcW w:w="961" w:type="pct"/>
                  <w:tcBorders>
                    <w:top w:val="single" w:color="auto" w:sz="4" w:space="0"/>
                    <w:left w:val="single" w:color="auto" w:sz="4" w:space="0"/>
                    <w:bottom w:val="single" w:color="auto" w:sz="12" w:space="0"/>
                    <w:right w:val="single" w:color="auto" w:sz="4" w:space="0"/>
                  </w:tcBorders>
                  <w:shd w:val="clear" w:color="auto" w:fill="CCE8CF"/>
                  <w:vAlign w:val="center"/>
                </w:tcPr>
                <w:p>
                  <w:pPr>
                    <w:rPr>
                      <w:color w:val="auto"/>
                      <w:szCs w:val="21"/>
                      <w:lang w:val="en-US"/>
                    </w:rPr>
                  </w:pPr>
                  <w:r>
                    <w:rPr>
                      <w:color w:val="auto"/>
                      <w:szCs w:val="21"/>
                      <w:lang w:val="en-US"/>
                    </w:rPr>
                    <w:t>/</w:t>
                  </w:r>
                </w:p>
              </w:tc>
              <w:tc>
                <w:tcPr>
                  <w:tcW w:w="977" w:type="pct"/>
                  <w:tcBorders>
                    <w:top w:val="single" w:color="auto" w:sz="4" w:space="0"/>
                    <w:left w:val="single" w:color="auto" w:sz="4" w:space="0"/>
                    <w:bottom w:val="single" w:color="auto" w:sz="12" w:space="0"/>
                    <w:right w:val="single" w:color="auto" w:sz="4" w:space="0"/>
                  </w:tcBorders>
                  <w:shd w:val="clear" w:color="auto" w:fill="CCE8CF"/>
                  <w:vAlign w:val="center"/>
                </w:tcPr>
                <w:p>
                  <w:pPr>
                    <w:pStyle w:val="210"/>
                    <w:rPr>
                      <w:color w:val="auto"/>
                      <w:szCs w:val="21"/>
                      <w:lang w:val="en-US"/>
                    </w:rPr>
                  </w:pPr>
                  <w:r>
                    <w:rPr>
                      <w:color w:val="auto"/>
                      <w:szCs w:val="21"/>
                      <w:lang w:val="en-US"/>
                    </w:rPr>
                    <w:t>/</w:t>
                  </w:r>
                </w:p>
              </w:tc>
              <w:tc>
                <w:tcPr>
                  <w:tcW w:w="947" w:type="pct"/>
                  <w:tcBorders>
                    <w:top w:val="single" w:color="auto" w:sz="4" w:space="0"/>
                    <w:left w:val="single" w:color="auto" w:sz="4" w:space="0"/>
                    <w:bottom w:val="single" w:color="auto" w:sz="12" w:space="0"/>
                    <w:right w:val="nil"/>
                  </w:tcBorders>
                  <w:shd w:val="clear" w:color="auto" w:fill="CCE8CF"/>
                  <w:vAlign w:val="center"/>
                </w:tcPr>
                <w:p>
                  <w:pPr>
                    <w:pStyle w:val="210"/>
                    <w:rPr>
                      <w:color w:val="auto"/>
                      <w:szCs w:val="21"/>
                      <w:lang w:val="en-US"/>
                    </w:rPr>
                  </w:pPr>
                  <w:r>
                    <w:rPr>
                      <w:color w:val="auto"/>
                      <w:szCs w:val="21"/>
                      <w:lang w:val="en-US"/>
                    </w:rPr>
                    <w:t>/</w:t>
                  </w:r>
                </w:p>
              </w:tc>
            </w:tr>
          </w:tbl>
          <w:p>
            <w:pPr>
              <w:adjustRightInd w:val="0"/>
              <w:snapToGrid w:val="0"/>
              <w:jc w:val="center"/>
              <w:rPr>
                <w:b/>
                <w:bCs/>
                <w:color w:val="auto"/>
                <w:szCs w:val="22"/>
              </w:rPr>
            </w:pPr>
          </w:p>
          <w:p>
            <w:pPr>
              <w:adjustRightInd w:val="0"/>
              <w:snapToGrid w:val="0"/>
              <w:jc w:val="center"/>
              <w:rPr>
                <w:b/>
                <w:bCs/>
                <w:color w:val="auto"/>
                <w:szCs w:val="22"/>
              </w:rPr>
            </w:pPr>
            <w:r>
              <w:rPr>
                <w:b/>
                <w:bCs/>
                <w:color w:val="auto"/>
                <w:szCs w:val="22"/>
              </w:rPr>
              <w:t>表7-</w:t>
            </w:r>
            <w:r>
              <w:rPr>
                <w:rFonts w:hint="eastAsia"/>
                <w:b/>
                <w:bCs/>
                <w:color w:val="auto"/>
                <w:szCs w:val="22"/>
              </w:rPr>
              <w:t>7</w:t>
            </w:r>
            <w:r>
              <w:rPr>
                <w:b/>
                <w:bCs/>
                <w:color w:val="auto"/>
                <w:szCs w:val="22"/>
              </w:rPr>
              <w:t xml:space="preserve">  本项目污染物</w:t>
            </w:r>
            <w:r>
              <w:rPr>
                <w:rFonts w:hint="eastAsia"/>
                <w:b/>
                <w:bCs/>
                <w:color w:val="auto"/>
                <w:szCs w:val="22"/>
              </w:rPr>
              <w:t>无</w:t>
            </w:r>
            <w:r>
              <w:rPr>
                <w:b/>
                <w:bCs/>
                <w:color w:val="auto"/>
                <w:szCs w:val="22"/>
              </w:rPr>
              <w:t>组织排放时最大地面浓度及占标率表</w:t>
            </w:r>
          </w:p>
          <w:tbl>
            <w:tblPr>
              <w:tblStyle w:val="56"/>
              <w:tblW w:w="4998" w:type="pct"/>
              <w:tblInd w:w="0" w:type="dxa"/>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231"/>
              <w:gridCol w:w="1529"/>
              <w:gridCol w:w="1786"/>
              <w:gridCol w:w="1616"/>
              <w:gridCol w:w="1370"/>
              <w:gridCol w:w="1134"/>
            </w:tblGrid>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710" w:type="pct"/>
                  <w:vMerge w:val="restart"/>
                  <w:tcBorders>
                    <w:top w:val="single" w:color="auto" w:sz="12" w:space="0"/>
                    <w:left w:val="nil"/>
                    <w:bottom w:val="single" w:color="auto" w:sz="4" w:space="0"/>
                    <w:right w:val="single" w:color="auto" w:sz="4" w:space="0"/>
                  </w:tcBorders>
                  <w:vAlign w:val="center"/>
                </w:tcPr>
                <w:p>
                  <w:pPr>
                    <w:pStyle w:val="210"/>
                    <w:rPr>
                      <w:b/>
                      <w:color w:val="auto"/>
                      <w:szCs w:val="21"/>
                    </w:rPr>
                  </w:pPr>
                  <w:r>
                    <w:rPr>
                      <w:b/>
                      <w:color w:val="auto"/>
                      <w:szCs w:val="21"/>
                    </w:rPr>
                    <w:t>下风向距离D/m</w:t>
                  </w:r>
                </w:p>
              </w:tc>
              <w:tc>
                <w:tcPr>
                  <w:tcW w:w="1912" w:type="pct"/>
                  <w:gridSpan w:val="2"/>
                  <w:tcBorders>
                    <w:top w:val="single" w:color="auto" w:sz="12" w:space="0"/>
                    <w:left w:val="single" w:color="auto" w:sz="4" w:space="0"/>
                    <w:bottom w:val="single" w:color="auto" w:sz="4" w:space="0"/>
                    <w:right w:val="nil"/>
                  </w:tcBorders>
                  <w:vAlign w:val="center"/>
                </w:tcPr>
                <w:p>
                  <w:pPr>
                    <w:pStyle w:val="210"/>
                    <w:rPr>
                      <w:rFonts w:hint="eastAsia" w:eastAsia="宋体"/>
                      <w:b/>
                      <w:color w:val="auto"/>
                      <w:szCs w:val="21"/>
                      <w:lang w:eastAsia="zh-CN"/>
                    </w:rPr>
                  </w:pPr>
                  <w:r>
                    <w:rPr>
                      <w:rFonts w:hint="eastAsia"/>
                      <w:b/>
                      <w:color w:val="auto"/>
                      <w:szCs w:val="21"/>
                      <w:lang w:eastAsia="zh-CN"/>
                    </w:rPr>
                    <w:t>非甲烷总烃</w:t>
                  </w:r>
                </w:p>
              </w:tc>
              <w:tc>
                <w:tcPr>
                  <w:tcW w:w="932" w:type="pct"/>
                  <w:vMerge w:val="restart"/>
                  <w:tcBorders>
                    <w:top w:val="single" w:color="auto" w:sz="12" w:space="0"/>
                    <w:left w:val="single" w:color="auto" w:sz="4" w:space="0"/>
                    <w:right w:val="nil"/>
                  </w:tcBorders>
                  <w:vAlign w:val="center"/>
                </w:tcPr>
                <w:p>
                  <w:pPr>
                    <w:pStyle w:val="210"/>
                    <w:rPr>
                      <w:rFonts w:hint="eastAsia"/>
                      <w:b/>
                      <w:color w:val="auto"/>
                      <w:szCs w:val="21"/>
                      <w:lang w:eastAsia="zh-CN"/>
                    </w:rPr>
                  </w:pPr>
                  <w:r>
                    <w:rPr>
                      <w:b/>
                      <w:color w:val="auto"/>
                      <w:szCs w:val="21"/>
                    </w:rPr>
                    <w:t>下风向距离D/m</w:t>
                  </w:r>
                </w:p>
              </w:tc>
              <w:tc>
                <w:tcPr>
                  <w:tcW w:w="1444" w:type="pct"/>
                  <w:gridSpan w:val="2"/>
                  <w:tcBorders>
                    <w:top w:val="single" w:color="auto" w:sz="12" w:space="0"/>
                    <w:left w:val="single" w:color="auto" w:sz="4" w:space="0"/>
                    <w:bottom w:val="single" w:color="auto" w:sz="4" w:space="0"/>
                    <w:right w:val="nil"/>
                  </w:tcBorders>
                  <w:vAlign w:val="center"/>
                </w:tcPr>
                <w:p>
                  <w:pPr>
                    <w:pStyle w:val="210"/>
                    <w:rPr>
                      <w:rFonts w:hint="eastAsia"/>
                      <w:b/>
                      <w:color w:val="auto"/>
                      <w:szCs w:val="21"/>
                      <w:lang w:eastAsia="zh-CN"/>
                    </w:rPr>
                  </w:pPr>
                  <w:r>
                    <w:rPr>
                      <w:rFonts w:hint="eastAsia"/>
                      <w:b/>
                      <w:color w:val="auto"/>
                      <w:szCs w:val="21"/>
                      <w:lang w:eastAsia="zh-CN"/>
                    </w:rPr>
                    <w:t>颗粒物</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710" w:type="pct"/>
                  <w:vMerge w:val="continue"/>
                  <w:tcBorders>
                    <w:top w:val="single" w:color="auto" w:sz="12" w:space="0"/>
                    <w:left w:val="nil"/>
                    <w:bottom w:val="single" w:color="auto" w:sz="4" w:space="0"/>
                    <w:right w:val="single" w:color="auto" w:sz="4" w:space="0"/>
                  </w:tcBorders>
                  <w:vAlign w:val="center"/>
                </w:tcPr>
                <w:p>
                  <w:pPr>
                    <w:jc w:val="center"/>
                    <w:rPr>
                      <w:color w:val="auto"/>
                      <w:szCs w:val="21"/>
                    </w:rPr>
                  </w:pPr>
                </w:p>
              </w:tc>
              <w:tc>
                <w:tcPr>
                  <w:tcW w:w="882" w:type="pct"/>
                  <w:tcBorders>
                    <w:top w:val="single" w:color="auto" w:sz="4" w:space="0"/>
                    <w:left w:val="single" w:color="auto" w:sz="4" w:space="0"/>
                    <w:bottom w:val="single" w:color="auto" w:sz="4" w:space="0"/>
                    <w:right w:val="single" w:color="auto" w:sz="4" w:space="0"/>
                  </w:tcBorders>
                  <w:vAlign w:val="center"/>
                </w:tcPr>
                <w:p>
                  <w:pPr>
                    <w:pStyle w:val="210"/>
                    <w:rPr>
                      <w:b/>
                      <w:color w:val="auto"/>
                      <w:szCs w:val="21"/>
                      <w:lang w:val="en-US"/>
                    </w:rPr>
                  </w:pPr>
                  <w:r>
                    <w:rPr>
                      <w:b/>
                      <w:color w:val="auto"/>
                      <w:szCs w:val="21"/>
                      <w:lang w:val="en-US"/>
                    </w:rPr>
                    <w:t>Ci</w:t>
                  </w:r>
                  <w:r>
                    <w:rPr>
                      <w:b/>
                      <w:color w:val="auto"/>
                      <w:szCs w:val="21"/>
                    </w:rPr>
                    <w:t>浓度值</w:t>
                  </w:r>
                  <w:r>
                    <w:rPr>
                      <w:b/>
                      <w:color w:val="auto"/>
                      <w:szCs w:val="21"/>
                      <w:lang w:val="en-US"/>
                    </w:rPr>
                    <w:t>（mg/m</w:t>
                  </w:r>
                  <w:r>
                    <w:rPr>
                      <w:b/>
                      <w:color w:val="auto"/>
                      <w:szCs w:val="21"/>
                      <w:vertAlign w:val="superscript"/>
                      <w:lang w:val="en-US"/>
                    </w:rPr>
                    <w:t>3</w:t>
                  </w:r>
                  <w:r>
                    <w:rPr>
                      <w:b/>
                      <w:color w:val="auto"/>
                      <w:szCs w:val="21"/>
                      <w:lang w:val="en-US"/>
                    </w:rPr>
                    <w:t>)</w:t>
                  </w:r>
                </w:p>
              </w:tc>
              <w:tc>
                <w:tcPr>
                  <w:tcW w:w="1030" w:type="pct"/>
                  <w:tcBorders>
                    <w:top w:val="single" w:color="auto" w:sz="4" w:space="0"/>
                    <w:left w:val="single" w:color="auto" w:sz="4" w:space="0"/>
                    <w:bottom w:val="single" w:color="auto" w:sz="4" w:space="0"/>
                    <w:right w:val="nil"/>
                  </w:tcBorders>
                  <w:vAlign w:val="center"/>
                </w:tcPr>
                <w:p>
                  <w:pPr>
                    <w:pStyle w:val="210"/>
                    <w:rPr>
                      <w:b/>
                      <w:color w:val="auto"/>
                      <w:szCs w:val="21"/>
                      <w:lang w:val="en-US"/>
                    </w:rPr>
                  </w:pPr>
                  <w:r>
                    <w:rPr>
                      <w:b/>
                      <w:color w:val="auto"/>
                      <w:szCs w:val="21"/>
                      <w:lang w:val="en-US"/>
                    </w:rPr>
                    <w:t>Pi</w:t>
                  </w:r>
                  <w:r>
                    <w:rPr>
                      <w:b/>
                      <w:color w:val="auto"/>
                      <w:szCs w:val="21"/>
                    </w:rPr>
                    <w:t>占标率</w:t>
                  </w:r>
                  <w:r>
                    <w:rPr>
                      <w:b/>
                      <w:color w:val="auto"/>
                      <w:szCs w:val="21"/>
                      <w:lang w:val="en-US"/>
                    </w:rPr>
                    <w:t>(%)</w:t>
                  </w:r>
                </w:p>
              </w:tc>
              <w:tc>
                <w:tcPr>
                  <w:tcW w:w="932" w:type="pct"/>
                  <w:vMerge w:val="continue"/>
                  <w:tcBorders>
                    <w:left w:val="single" w:color="auto" w:sz="4" w:space="0"/>
                    <w:bottom w:val="single" w:color="auto" w:sz="4" w:space="0"/>
                    <w:right w:val="nil"/>
                  </w:tcBorders>
                  <w:vAlign w:val="center"/>
                </w:tcPr>
                <w:p>
                  <w:pPr>
                    <w:pStyle w:val="210"/>
                    <w:rPr>
                      <w:b/>
                      <w:color w:val="auto"/>
                      <w:szCs w:val="21"/>
                      <w:lang w:val="en-US"/>
                    </w:rPr>
                  </w:pPr>
                </w:p>
              </w:tc>
              <w:tc>
                <w:tcPr>
                  <w:tcW w:w="790" w:type="pct"/>
                  <w:tcBorders>
                    <w:top w:val="single" w:color="auto" w:sz="4" w:space="0"/>
                    <w:left w:val="single" w:color="auto" w:sz="4" w:space="0"/>
                    <w:bottom w:val="single" w:color="auto" w:sz="4" w:space="0"/>
                    <w:right w:val="nil"/>
                  </w:tcBorders>
                  <w:vAlign w:val="center"/>
                </w:tcPr>
                <w:p>
                  <w:pPr>
                    <w:pStyle w:val="210"/>
                    <w:rPr>
                      <w:b/>
                      <w:color w:val="auto"/>
                      <w:szCs w:val="21"/>
                      <w:lang w:val="en-US"/>
                    </w:rPr>
                  </w:pPr>
                  <w:r>
                    <w:rPr>
                      <w:b/>
                      <w:color w:val="auto"/>
                      <w:szCs w:val="21"/>
                      <w:lang w:val="en-US"/>
                    </w:rPr>
                    <w:t>Ci</w:t>
                  </w:r>
                  <w:r>
                    <w:rPr>
                      <w:b/>
                      <w:color w:val="auto"/>
                      <w:szCs w:val="21"/>
                    </w:rPr>
                    <w:t>浓度值</w:t>
                  </w:r>
                  <w:r>
                    <w:rPr>
                      <w:b/>
                      <w:color w:val="auto"/>
                      <w:szCs w:val="21"/>
                      <w:lang w:val="en-US"/>
                    </w:rPr>
                    <w:t>（mg/m</w:t>
                  </w:r>
                  <w:r>
                    <w:rPr>
                      <w:b/>
                      <w:color w:val="auto"/>
                      <w:szCs w:val="21"/>
                      <w:vertAlign w:val="superscript"/>
                      <w:lang w:val="en-US"/>
                    </w:rPr>
                    <w:t>3</w:t>
                  </w:r>
                  <w:r>
                    <w:rPr>
                      <w:b/>
                      <w:color w:val="auto"/>
                      <w:szCs w:val="21"/>
                      <w:lang w:val="en-US"/>
                    </w:rPr>
                    <w:t>)</w:t>
                  </w:r>
                </w:p>
              </w:tc>
              <w:tc>
                <w:tcPr>
                  <w:tcW w:w="654" w:type="pct"/>
                  <w:tcBorders>
                    <w:top w:val="single" w:color="auto" w:sz="4" w:space="0"/>
                    <w:left w:val="single" w:color="auto" w:sz="4" w:space="0"/>
                    <w:bottom w:val="single" w:color="auto" w:sz="4" w:space="0"/>
                    <w:right w:val="nil"/>
                  </w:tcBorders>
                  <w:vAlign w:val="center"/>
                </w:tcPr>
                <w:p>
                  <w:pPr>
                    <w:pStyle w:val="210"/>
                    <w:rPr>
                      <w:b/>
                      <w:color w:val="auto"/>
                      <w:szCs w:val="21"/>
                      <w:lang w:val="en-US"/>
                    </w:rPr>
                  </w:pPr>
                  <w:r>
                    <w:rPr>
                      <w:b/>
                      <w:color w:val="auto"/>
                      <w:szCs w:val="21"/>
                      <w:lang w:val="en-US"/>
                    </w:rPr>
                    <w:t>Pi</w:t>
                  </w:r>
                  <w:r>
                    <w:rPr>
                      <w:b/>
                      <w:color w:val="auto"/>
                      <w:szCs w:val="21"/>
                    </w:rPr>
                    <w:t>占标率</w:t>
                  </w:r>
                  <w:r>
                    <w:rPr>
                      <w:b/>
                      <w:color w:val="auto"/>
                      <w:szCs w:val="21"/>
                      <w:lang w:val="en-US"/>
                    </w:rPr>
                    <w:t>(%)</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PrEx>
              <w:trPr>
                <w:trHeight w:val="340" w:hRule="atLeast"/>
              </w:trPr>
              <w:tc>
                <w:tcPr>
                  <w:tcW w:w="710" w:type="pct"/>
                  <w:tcBorders>
                    <w:top w:val="single" w:color="auto" w:sz="4" w:space="0"/>
                    <w:left w:val="nil"/>
                    <w:bottom w:val="single" w:color="auto" w:sz="4" w:space="0"/>
                    <w:right w:val="single" w:color="auto" w:sz="4" w:space="0"/>
                  </w:tcBorders>
                  <w:shd w:val="clear" w:color="auto" w:fill="CCE8CF"/>
                  <w:vAlign w:val="center"/>
                </w:tcPr>
                <w:p>
                  <w:pPr>
                    <w:widowControl/>
                    <w:jc w:val="center"/>
                    <w:textAlignment w:val="center"/>
                    <w:rPr>
                      <w:color w:val="auto"/>
                      <w:kern w:val="0"/>
                      <w:szCs w:val="21"/>
                      <w:lang w:bidi="ar"/>
                    </w:rPr>
                  </w:pPr>
                  <w:r>
                    <w:rPr>
                      <w:rFonts w:hint="eastAsia"/>
                      <w:color w:val="auto"/>
                      <w:kern w:val="0"/>
                      <w:szCs w:val="21"/>
                      <w:lang w:bidi="ar"/>
                    </w:rPr>
                    <w:t>10</w:t>
                  </w:r>
                </w:p>
              </w:tc>
              <w:tc>
                <w:tcPr>
                  <w:tcW w:w="882" w:type="pct"/>
                  <w:tcBorders>
                    <w:top w:val="single" w:color="auto" w:sz="4" w:space="0"/>
                    <w:left w:val="single" w:color="auto" w:sz="4" w:space="0"/>
                    <w:bottom w:val="single" w:color="auto" w:sz="4" w:space="0"/>
                    <w:right w:val="single" w:color="auto" w:sz="4" w:space="0"/>
                  </w:tcBorders>
                  <w:shd w:val="clear" w:color="auto" w:fill="CCE8CF"/>
                  <w:vAlign w:val="center"/>
                </w:tcPr>
                <w:p>
                  <w:pPr>
                    <w:widowControl/>
                    <w:jc w:val="center"/>
                    <w:textAlignment w:val="center"/>
                    <w:rPr>
                      <w:rFonts w:hint="eastAsia"/>
                      <w:color w:val="auto"/>
                      <w:kern w:val="0"/>
                      <w:szCs w:val="21"/>
                      <w:lang w:bidi="ar"/>
                    </w:rPr>
                  </w:pPr>
                  <w:r>
                    <w:rPr>
                      <w:rFonts w:hint="eastAsia"/>
                      <w:color w:val="auto"/>
                      <w:kern w:val="0"/>
                      <w:szCs w:val="21"/>
                      <w:lang w:val="en-US" w:eastAsia="zh-CN" w:bidi="ar"/>
                    </w:rPr>
                    <w:t>0.0016</w:t>
                  </w:r>
                </w:p>
              </w:tc>
              <w:tc>
                <w:tcPr>
                  <w:tcW w:w="1030" w:type="pct"/>
                  <w:tcBorders>
                    <w:top w:val="single" w:color="auto" w:sz="4" w:space="0"/>
                    <w:left w:val="single" w:color="auto" w:sz="4" w:space="0"/>
                    <w:bottom w:val="single" w:color="auto" w:sz="4" w:space="0"/>
                    <w:right w:val="nil"/>
                  </w:tcBorders>
                  <w:shd w:val="clear" w:color="auto" w:fill="CCE8CF"/>
                  <w:vAlign w:val="center"/>
                </w:tcPr>
                <w:p>
                  <w:pPr>
                    <w:widowControl/>
                    <w:jc w:val="center"/>
                    <w:textAlignment w:val="center"/>
                    <w:rPr>
                      <w:rFonts w:hint="eastAsia"/>
                      <w:color w:val="auto"/>
                      <w:kern w:val="0"/>
                      <w:szCs w:val="21"/>
                      <w:lang w:bidi="ar"/>
                    </w:rPr>
                  </w:pPr>
                  <w:r>
                    <w:rPr>
                      <w:rFonts w:hint="eastAsia"/>
                      <w:color w:val="auto"/>
                      <w:kern w:val="0"/>
                      <w:szCs w:val="21"/>
                      <w:lang w:val="en-US" w:eastAsia="zh-CN" w:bidi="ar"/>
                    </w:rPr>
                    <w:t>0.08</w:t>
                  </w:r>
                </w:p>
              </w:tc>
              <w:tc>
                <w:tcPr>
                  <w:tcW w:w="1616" w:type="dxa"/>
                  <w:tcBorders>
                    <w:top w:val="single" w:color="auto" w:sz="4" w:space="0"/>
                    <w:left w:val="single" w:color="auto" w:sz="4" w:space="0"/>
                    <w:bottom w:val="single" w:color="auto" w:sz="4" w:space="0"/>
                    <w:right w:val="nil"/>
                  </w:tcBorders>
                  <w:shd w:val="clear" w:color="auto" w:fill="CCE8CF"/>
                  <w:vAlign w:val="center"/>
                </w:tcPr>
                <w:p>
                  <w:pPr>
                    <w:widowControl/>
                    <w:jc w:val="center"/>
                    <w:textAlignment w:val="center"/>
                    <w:rPr>
                      <w:rFonts w:hint="eastAsia"/>
                      <w:color w:val="auto"/>
                      <w:kern w:val="0"/>
                      <w:szCs w:val="21"/>
                      <w:lang w:val="en-US" w:eastAsia="zh-CN" w:bidi="ar"/>
                    </w:rPr>
                  </w:pPr>
                  <w:r>
                    <w:rPr>
                      <w:rFonts w:hint="eastAsia"/>
                      <w:color w:val="auto"/>
                      <w:kern w:val="0"/>
                      <w:szCs w:val="21"/>
                      <w:lang w:val="en-US" w:eastAsia="zh-CN" w:bidi="ar"/>
                    </w:rPr>
                    <w:t>10</w:t>
                  </w:r>
                </w:p>
              </w:tc>
              <w:tc>
                <w:tcPr>
                  <w:tcW w:w="1370" w:type="dxa"/>
                  <w:tcBorders>
                    <w:top w:val="single" w:color="auto" w:sz="4" w:space="0"/>
                    <w:left w:val="single" w:color="auto" w:sz="4" w:space="0"/>
                    <w:bottom w:val="single" w:color="auto" w:sz="4" w:space="0"/>
                    <w:right w:val="nil"/>
                  </w:tcBorders>
                  <w:shd w:val="clear" w:color="auto" w:fill="CCE8CF"/>
                  <w:vAlign w:val="center"/>
                </w:tcPr>
                <w:p>
                  <w:pPr>
                    <w:widowControl/>
                    <w:jc w:val="center"/>
                    <w:textAlignment w:val="center"/>
                    <w:rPr>
                      <w:rFonts w:hint="eastAsia"/>
                      <w:color w:val="auto"/>
                      <w:kern w:val="0"/>
                      <w:szCs w:val="21"/>
                      <w:lang w:val="en-US" w:eastAsia="zh-CN" w:bidi="ar"/>
                    </w:rPr>
                  </w:pPr>
                  <w:r>
                    <w:rPr>
                      <w:rFonts w:hint="eastAsia"/>
                      <w:color w:val="auto"/>
                      <w:kern w:val="0"/>
                      <w:szCs w:val="21"/>
                      <w:lang w:val="en-US" w:eastAsia="zh-CN" w:bidi="ar"/>
                    </w:rPr>
                    <w:t>0.017</w:t>
                  </w:r>
                </w:p>
              </w:tc>
              <w:tc>
                <w:tcPr>
                  <w:tcW w:w="1134" w:type="dxa"/>
                  <w:tcBorders>
                    <w:top w:val="single" w:color="auto" w:sz="4" w:space="0"/>
                    <w:left w:val="single" w:color="auto" w:sz="4" w:space="0"/>
                    <w:bottom w:val="single" w:color="auto" w:sz="4" w:space="0"/>
                    <w:right w:val="nil"/>
                  </w:tcBorders>
                  <w:shd w:val="clear" w:color="auto" w:fill="CCE8CF"/>
                  <w:vAlign w:val="center"/>
                </w:tcPr>
                <w:p>
                  <w:pPr>
                    <w:widowControl/>
                    <w:jc w:val="center"/>
                    <w:textAlignment w:val="center"/>
                    <w:rPr>
                      <w:rFonts w:hint="eastAsia"/>
                      <w:color w:val="auto"/>
                      <w:kern w:val="0"/>
                      <w:szCs w:val="21"/>
                      <w:lang w:val="en-US" w:eastAsia="zh-CN" w:bidi="ar"/>
                    </w:rPr>
                  </w:pPr>
                  <w:r>
                    <w:rPr>
                      <w:rFonts w:hint="eastAsia"/>
                      <w:color w:val="auto"/>
                      <w:kern w:val="0"/>
                      <w:szCs w:val="21"/>
                      <w:lang w:val="en-US" w:eastAsia="zh-CN" w:bidi="ar"/>
                    </w:rPr>
                    <w:t>3.77</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PrEx>
              <w:trPr>
                <w:trHeight w:val="340" w:hRule="atLeast"/>
              </w:trPr>
              <w:tc>
                <w:tcPr>
                  <w:tcW w:w="710" w:type="pct"/>
                  <w:tcBorders>
                    <w:top w:val="single" w:color="auto" w:sz="4" w:space="0"/>
                    <w:left w:val="nil"/>
                    <w:bottom w:val="single" w:color="auto" w:sz="4" w:space="0"/>
                    <w:right w:val="single" w:color="auto" w:sz="4" w:space="0"/>
                  </w:tcBorders>
                  <w:shd w:val="clear" w:color="auto" w:fill="auto"/>
                  <w:vAlign w:val="center"/>
                </w:tcPr>
                <w:p>
                  <w:pPr>
                    <w:widowControl/>
                    <w:jc w:val="center"/>
                    <w:textAlignment w:val="center"/>
                    <w:rPr>
                      <w:color w:val="auto"/>
                      <w:kern w:val="0"/>
                      <w:szCs w:val="21"/>
                      <w:lang w:bidi="ar"/>
                    </w:rPr>
                  </w:pPr>
                  <w:r>
                    <w:rPr>
                      <w:rFonts w:hint="eastAsia"/>
                      <w:color w:val="auto"/>
                      <w:kern w:val="0"/>
                      <w:szCs w:val="21"/>
                      <w:lang w:bidi="ar"/>
                    </w:rPr>
                    <w:t>25</w:t>
                  </w:r>
                </w:p>
              </w:tc>
              <w:tc>
                <w:tcPr>
                  <w:tcW w:w="882"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hint="eastAsia"/>
                      <w:color w:val="auto"/>
                      <w:kern w:val="0"/>
                      <w:szCs w:val="21"/>
                      <w:lang w:bidi="ar"/>
                    </w:rPr>
                  </w:pPr>
                  <w:r>
                    <w:rPr>
                      <w:rFonts w:hint="eastAsia"/>
                      <w:color w:val="auto"/>
                      <w:kern w:val="0"/>
                      <w:szCs w:val="21"/>
                      <w:lang w:val="en-US" w:eastAsia="zh-CN" w:bidi="ar"/>
                    </w:rPr>
                    <w:t>0.002</w:t>
                  </w:r>
                </w:p>
              </w:tc>
              <w:tc>
                <w:tcPr>
                  <w:tcW w:w="1030" w:type="pct"/>
                  <w:tcBorders>
                    <w:top w:val="single" w:color="auto" w:sz="4" w:space="0"/>
                    <w:left w:val="single" w:color="auto" w:sz="4" w:space="0"/>
                    <w:bottom w:val="single" w:color="auto" w:sz="4" w:space="0"/>
                    <w:right w:val="nil"/>
                  </w:tcBorders>
                  <w:shd w:val="clear" w:color="auto" w:fill="auto"/>
                  <w:vAlign w:val="center"/>
                </w:tcPr>
                <w:p>
                  <w:pPr>
                    <w:widowControl/>
                    <w:jc w:val="center"/>
                    <w:textAlignment w:val="center"/>
                    <w:rPr>
                      <w:rFonts w:hint="eastAsia"/>
                      <w:color w:val="auto"/>
                      <w:kern w:val="0"/>
                      <w:szCs w:val="21"/>
                      <w:lang w:bidi="ar"/>
                    </w:rPr>
                  </w:pPr>
                  <w:r>
                    <w:rPr>
                      <w:rFonts w:hint="eastAsia"/>
                      <w:color w:val="auto"/>
                      <w:kern w:val="0"/>
                      <w:szCs w:val="21"/>
                      <w:lang w:val="en-US" w:eastAsia="zh-CN" w:bidi="ar"/>
                    </w:rPr>
                    <w:t>0.1</w:t>
                  </w:r>
                </w:p>
              </w:tc>
              <w:tc>
                <w:tcPr>
                  <w:tcW w:w="1616" w:type="dxa"/>
                  <w:tcBorders>
                    <w:top w:val="single" w:color="auto" w:sz="4" w:space="0"/>
                    <w:left w:val="single" w:color="auto" w:sz="4" w:space="0"/>
                    <w:bottom w:val="single" w:color="auto" w:sz="4" w:space="0"/>
                    <w:right w:val="nil"/>
                  </w:tcBorders>
                  <w:shd w:val="clear" w:color="auto" w:fill="auto"/>
                  <w:vAlign w:val="center"/>
                </w:tcPr>
                <w:p>
                  <w:pPr>
                    <w:widowControl/>
                    <w:jc w:val="center"/>
                    <w:textAlignment w:val="center"/>
                    <w:rPr>
                      <w:rFonts w:hint="eastAsia"/>
                      <w:color w:val="auto"/>
                      <w:kern w:val="0"/>
                      <w:szCs w:val="21"/>
                      <w:lang w:val="en-US" w:eastAsia="zh-CN" w:bidi="ar"/>
                    </w:rPr>
                  </w:pPr>
                  <w:r>
                    <w:rPr>
                      <w:rFonts w:hint="eastAsia"/>
                      <w:color w:val="auto"/>
                      <w:kern w:val="0"/>
                      <w:szCs w:val="21"/>
                      <w:lang w:val="en-US" w:eastAsia="zh-CN" w:bidi="ar"/>
                    </w:rPr>
                    <w:t>25</w:t>
                  </w:r>
                </w:p>
              </w:tc>
              <w:tc>
                <w:tcPr>
                  <w:tcW w:w="1370" w:type="dxa"/>
                  <w:tcBorders>
                    <w:top w:val="single" w:color="auto" w:sz="4" w:space="0"/>
                    <w:left w:val="single" w:color="auto" w:sz="4" w:space="0"/>
                    <w:bottom w:val="single" w:color="auto" w:sz="4" w:space="0"/>
                    <w:right w:val="nil"/>
                  </w:tcBorders>
                  <w:shd w:val="clear" w:color="auto" w:fill="auto"/>
                  <w:vAlign w:val="center"/>
                </w:tcPr>
                <w:p>
                  <w:pPr>
                    <w:widowControl/>
                    <w:jc w:val="center"/>
                    <w:textAlignment w:val="center"/>
                    <w:rPr>
                      <w:rFonts w:hint="eastAsia"/>
                      <w:color w:val="auto"/>
                      <w:kern w:val="0"/>
                      <w:szCs w:val="21"/>
                      <w:lang w:val="en-US" w:eastAsia="zh-CN" w:bidi="ar"/>
                    </w:rPr>
                  </w:pPr>
                  <w:r>
                    <w:rPr>
                      <w:rFonts w:hint="eastAsia"/>
                      <w:color w:val="auto"/>
                      <w:kern w:val="0"/>
                      <w:szCs w:val="21"/>
                      <w:lang w:val="en-US" w:eastAsia="zh-CN" w:bidi="ar"/>
                    </w:rPr>
                    <w:t>0.0244</w:t>
                  </w:r>
                </w:p>
              </w:tc>
              <w:tc>
                <w:tcPr>
                  <w:tcW w:w="1134" w:type="dxa"/>
                  <w:tcBorders>
                    <w:top w:val="single" w:color="auto" w:sz="4" w:space="0"/>
                    <w:left w:val="single" w:color="auto" w:sz="4" w:space="0"/>
                    <w:bottom w:val="single" w:color="auto" w:sz="4" w:space="0"/>
                    <w:right w:val="nil"/>
                  </w:tcBorders>
                  <w:shd w:val="clear" w:color="auto" w:fill="auto"/>
                  <w:vAlign w:val="center"/>
                </w:tcPr>
                <w:p>
                  <w:pPr>
                    <w:widowControl/>
                    <w:jc w:val="center"/>
                    <w:textAlignment w:val="center"/>
                    <w:rPr>
                      <w:rFonts w:hint="eastAsia"/>
                      <w:color w:val="auto"/>
                      <w:kern w:val="0"/>
                      <w:szCs w:val="21"/>
                      <w:lang w:val="en-US" w:eastAsia="zh-CN" w:bidi="ar"/>
                    </w:rPr>
                  </w:pPr>
                  <w:r>
                    <w:rPr>
                      <w:rFonts w:hint="eastAsia"/>
                      <w:color w:val="auto"/>
                      <w:kern w:val="0"/>
                      <w:szCs w:val="21"/>
                      <w:lang w:val="en-US" w:eastAsia="zh-CN" w:bidi="ar"/>
                    </w:rPr>
                    <w:t>5.42</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PrEx>
              <w:trPr>
                <w:trHeight w:val="340" w:hRule="atLeast"/>
              </w:trPr>
              <w:tc>
                <w:tcPr>
                  <w:tcW w:w="710" w:type="pct"/>
                  <w:tcBorders>
                    <w:top w:val="single" w:color="auto" w:sz="4" w:space="0"/>
                    <w:left w:val="nil"/>
                    <w:bottom w:val="single" w:color="auto" w:sz="4" w:space="0"/>
                    <w:right w:val="single" w:color="auto" w:sz="4" w:space="0"/>
                  </w:tcBorders>
                  <w:shd w:val="clear" w:color="auto" w:fill="EEECE1" w:themeFill="background2"/>
                  <w:vAlign w:val="center"/>
                </w:tcPr>
                <w:p>
                  <w:pPr>
                    <w:widowControl/>
                    <w:jc w:val="center"/>
                    <w:textAlignment w:val="center"/>
                    <w:rPr>
                      <w:rFonts w:hint="default" w:eastAsia="宋体"/>
                      <w:color w:val="auto"/>
                      <w:kern w:val="0"/>
                      <w:szCs w:val="21"/>
                      <w:lang w:val="en-US" w:eastAsia="zh-CN" w:bidi="ar"/>
                    </w:rPr>
                  </w:pPr>
                  <w:r>
                    <w:rPr>
                      <w:rFonts w:hint="eastAsia"/>
                      <w:color w:val="auto"/>
                      <w:kern w:val="0"/>
                      <w:szCs w:val="21"/>
                      <w:lang w:val="en-US" w:eastAsia="zh-CN" w:bidi="ar"/>
                    </w:rPr>
                    <w:t>26</w:t>
                  </w:r>
                </w:p>
              </w:tc>
              <w:tc>
                <w:tcPr>
                  <w:tcW w:w="882" w:type="pct"/>
                  <w:tcBorders>
                    <w:top w:val="single" w:color="auto" w:sz="4" w:space="0"/>
                    <w:left w:val="single" w:color="auto" w:sz="4" w:space="0"/>
                    <w:bottom w:val="single" w:color="auto" w:sz="4" w:space="0"/>
                    <w:right w:val="single" w:color="auto" w:sz="4" w:space="0"/>
                  </w:tcBorders>
                  <w:shd w:val="clear" w:color="auto" w:fill="EEECE1" w:themeFill="background2"/>
                  <w:vAlign w:val="center"/>
                </w:tcPr>
                <w:p>
                  <w:pPr>
                    <w:widowControl/>
                    <w:jc w:val="center"/>
                    <w:textAlignment w:val="center"/>
                    <w:rPr>
                      <w:rFonts w:hint="eastAsia"/>
                      <w:color w:val="auto"/>
                      <w:kern w:val="0"/>
                      <w:szCs w:val="21"/>
                      <w:lang w:bidi="ar"/>
                    </w:rPr>
                  </w:pPr>
                  <w:r>
                    <w:rPr>
                      <w:rFonts w:hint="eastAsia"/>
                      <w:color w:val="auto"/>
                      <w:kern w:val="0"/>
                      <w:szCs w:val="21"/>
                      <w:lang w:val="en-US" w:eastAsia="zh-CN" w:bidi="ar"/>
                    </w:rPr>
                    <w:t>0.0021</w:t>
                  </w:r>
                </w:p>
              </w:tc>
              <w:tc>
                <w:tcPr>
                  <w:tcW w:w="1030" w:type="pct"/>
                  <w:tcBorders>
                    <w:top w:val="single" w:color="auto" w:sz="4" w:space="0"/>
                    <w:left w:val="single" w:color="auto" w:sz="4" w:space="0"/>
                    <w:bottom w:val="single" w:color="auto" w:sz="4" w:space="0"/>
                    <w:right w:val="nil"/>
                  </w:tcBorders>
                  <w:shd w:val="clear" w:color="auto" w:fill="EEECE1" w:themeFill="background2"/>
                  <w:vAlign w:val="center"/>
                </w:tcPr>
                <w:p>
                  <w:pPr>
                    <w:widowControl/>
                    <w:jc w:val="center"/>
                    <w:textAlignment w:val="center"/>
                    <w:rPr>
                      <w:rFonts w:hint="eastAsia"/>
                      <w:color w:val="auto"/>
                      <w:kern w:val="0"/>
                      <w:szCs w:val="21"/>
                      <w:lang w:bidi="ar"/>
                    </w:rPr>
                  </w:pPr>
                  <w:r>
                    <w:rPr>
                      <w:rFonts w:hint="eastAsia"/>
                      <w:color w:val="auto"/>
                      <w:kern w:val="0"/>
                      <w:szCs w:val="21"/>
                      <w:lang w:val="en-US" w:eastAsia="zh-CN" w:bidi="ar"/>
                    </w:rPr>
                    <w:t>0.1</w:t>
                  </w:r>
                </w:p>
              </w:tc>
              <w:tc>
                <w:tcPr>
                  <w:tcW w:w="1616" w:type="dxa"/>
                  <w:tcBorders>
                    <w:top w:val="single" w:color="auto" w:sz="4" w:space="0"/>
                    <w:left w:val="single" w:color="auto" w:sz="4" w:space="0"/>
                    <w:bottom w:val="single" w:color="auto" w:sz="4" w:space="0"/>
                    <w:right w:val="nil"/>
                  </w:tcBorders>
                  <w:shd w:val="clear" w:color="auto" w:fill="EEECE1" w:themeFill="background2"/>
                  <w:vAlign w:val="center"/>
                </w:tcPr>
                <w:p>
                  <w:pPr>
                    <w:widowControl/>
                    <w:jc w:val="center"/>
                    <w:textAlignment w:val="center"/>
                    <w:rPr>
                      <w:rFonts w:hint="eastAsia"/>
                      <w:color w:val="auto"/>
                      <w:kern w:val="0"/>
                      <w:szCs w:val="21"/>
                      <w:lang w:val="en-US" w:eastAsia="zh-CN" w:bidi="ar"/>
                    </w:rPr>
                  </w:pPr>
                  <w:r>
                    <w:rPr>
                      <w:rFonts w:hint="eastAsia"/>
                      <w:color w:val="auto"/>
                      <w:kern w:val="0"/>
                      <w:szCs w:val="21"/>
                      <w:lang w:val="en-US" w:eastAsia="zh-CN" w:bidi="ar"/>
                    </w:rPr>
                    <w:t>36</w:t>
                  </w:r>
                </w:p>
              </w:tc>
              <w:tc>
                <w:tcPr>
                  <w:tcW w:w="1370" w:type="dxa"/>
                  <w:tcBorders>
                    <w:top w:val="single" w:color="auto" w:sz="4" w:space="0"/>
                    <w:left w:val="single" w:color="auto" w:sz="4" w:space="0"/>
                    <w:bottom w:val="single" w:color="auto" w:sz="4" w:space="0"/>
                    <w:right w:val="nil"/>
                  </w:tcBorders>
                  <w:shd w:val="clear" w:color="auto" w:fill="EEECE1" w:themeFill="background2"/>
                  <w:vAlign w:val="center"/>
                </w:tcPr>
                <w:p>
                  <w:pPr>
                    <w:widowControl/>
                    <w:jc w:val="center"/>
                    <w:textAlignment w:val="center"/>
                    <w:rPr>
                      <w:rFonts w:hint="eastAsia"/>
                      <w:color w:val="auto"/>
                      <w:kern w:val="0"/>
                      <w:szCs w:val="21"/>
                      <w:lang w:val="en-US" w:eastAsia="zh-CN" w:bidi="ar"/>
                    </w:rPr>
                  </w:pPr>
                  <w:r>
                    <w:rPr>
                      <w:rFonts w:hint="eastAsia"/>
                      <w:color w:val="auto"/>
                      <w:kern w:val="0"/>
                      <w:szCs w:val="21"/>
                      <w:lang w:val="en-US" w:eastAsia="zh-CN" w:bidi="ar"/>
                    </w:rPr>
                    <w:t>0.0273</w:t>
                  </w:r>
                </w:p>
              </w:tc>
              <w:tc>
                <w:tcPr>
                  <w:tcW w:w="1134" w:type="dxa"/>
                  <w:tcBorders>
                    <w:top w:val="single" w:color="auto" w:sz="4" w:space="0"/>
                    <w:left w:val="single" w:color="auto" w:sz="4" w:space="0"/>
                    <w:bottom w:val="single" w:color="auto" w:sz="4" w:space="0"/>
                    <w:right w:val="nil"/>
                  </w:tcBorders>
                  <w:shd w:val="clear" w:color="auto" w:fill="EEECE1" w:themeFill="background2"/>
                  <w:vAlign w:val="center"/>
                </w:tcPr>
                <w:p>
                  <w:pPr>
                    <w:widowControl/>
                    <w:jc w:val="center"/>
                    <w:textAlignment w:val="center"/>
                    <w:rPr>
                      <w:rFonts w:hint="eastAsia"/>
                      <w:color w:val="auto"/>
                      <w:kern w:val="0"/>
                      <w:szCs w:val="21"/>
                      <w:lang w:val="en-US" w:eastAsia="zh-CN" w:bidi="ar"/>
                    </w:rPr>
                  </w:pPr>
                  <w:r>
                    <w:rPr>
                      <w:rFonts w:hint="eastAsia"/>
                      <w:color w:val="auto"/>
                      <w:kern w:val="0"/>
                      <w:szCs w:val="21"/>
                      <w:lang w:val="en-US" w:eastAsia="zh-CN" w:bidi="ar"/>
                    </w:rPr>
                    <w:t>6.06</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PrEx>
              <w:trPr>
                <w:trHeight w:val="340" w:hRule="atLeast"/>
              </w:trPr>
              <w:tc>
                <w:tcPr>
                  <w:tcW w:w="710" w:type="pct"/>
                  <w:tcBorders>
                    <w:top w:val="single" w:color="auto" w:sz="4" w:space="0"/>
                    <w:left w:val="nil"/>
                    <w:bottom w:val="single" w:color="auto" w:sz="4" w:space="0"/>
                    <w:right w:val="single" w:color="auto" w:sz="4" w:space="0"/>
                  </w:tcBorders>
                  <w:shd w:val="clear" w:color="auto" w:fill="CCE8CF"/>
                  <w:vAlign w:val="center"/>
                </w:tcPr>
                <w:p>
                  <w:pPr>
                    <w:widowControl/>
                    <w:jc w:val="center"/>
                    <w:textAlignment w:val="center"/>
                    <w:rPr>
                      <w:color w:val="auto"/>
                      <w:kern w:val="0"/>
                      <w:szCs w:val="21"/>
                      <w:lang w:bidi="ar"/>
                    </w:rPr>
                  </w:pPr>
                  <w:r>
                    <w:rPr>
                      <w:rFonts w:hint="eastAsia"/>
                      <w:color w:val="auto"/>
                      <w:kern w:val="0"/>
                      <w:szCs w:val="21"/>
                      <w:lang w:bidi="ar"/>
                    </w:rPr>
                    <w:t>50</w:t>
                  </w:r>
                </w:p>
              </w:tc>
              <w:tc>
                <w:tcPr>
                  <w:tcW w:w="882" w:type="pct"/>
                  <w:tcBorders>
                    <w:top w:val="single" w:color="auto" w:sz="4" w:space="0"/>
                    <w:left w:val="single" w:color="auto" w:sz="4" w:space="0"/>
                    <w:bottom w:val="single" w:color="auto" w:sz="4" w:space="0"/>
                    <w:right w:val="single" w:color="auto" w:sz="4" w:space="0"/>
                  </w:tcBorders>
                  <w:shd w:val="clear" w:color="auto" w:fill="CCE8CF"/>
                  <w:vAlign w:val="center"/>
                </w:tcPr>
                <w:p>
                  <w:pPr>
                    <w:widowControl/>
                    <w:jc w:val="center"/>
                    <w:textAlignment w:val="center"/>
                    <w:rPr>
                      <w:rFonts w:hint="eastAsia"/>
                      <w:color w:val="auto"/>
                      <w:kern w:val="0"/>
                      <w:szCs w:val="21"/>
                      <w:lang w:bidi="ar"/>
                    </w:rPr>
                  </w:pPr>
                  <w:r>
                    <w:rPr>
                      <w:rFonts w:hint="eastAsia"/>
                      <w:color w:val="auto"/>
                      <w:kern w:val="0"/>
                      <w:szCs w:val="21"/>
                      <w:lang w:val="en-US" w:eastAsia="zh-CN" w:bidi="ar"/>
                    </w:rPr>
                    <w:t>0.0017</w:t>
                  </w:r>
                </w:p>
              </w:tc>
              <w:tc>
                <w:tcPr>
                  <w:tcW w:w="1030" w:type="pct"/>
                  <w:tcBorders>
                    <w:top w:val="single" w:color="auto" w:sz="4" w:space="0"/>
                    <w:left w:val="single" w:color="auto" w:sz="4" w:space="0"/>
                    <w:bottom w:val="single" w:color="auto" w:sz="4" w:space="0"/>
                    <w:right w:val="nil"/>
                  </w:tcBorders>
                  <w:shd w:val="clear" w:color="auto" w:fill="CCE8CF"/>
                  <w:vAlign w:val="center"/>
                </w:tcPr>
                <w:p>
                  <w:pPr>
                    <w:widowControl/>
                    <w:jc w:val="center"/>
                    <w:textAlignment w:val="center"/>
                    <w:rPr>
                      <w:rFonts w:hint="eastAsia"/>
                      <w:color w:val="auto"/>
                      <w:kern w:val="0"/>
                      <w:szCs w:val="21"/>
                      <w:lang w:bidi="ar"/>
                    </w:rPr>
                  </w:pPr>
                  <w:r>
                    <w:rPr>
                      <w:rFonts w:hint="eastAsia"/>
                      <w:color w:val="auto"/>
                      <w:kern w:val="0"/>
                      <w:szCs w:val="21"/>
                      <w:lang w:val="en-US" w:eastAsia="zh-CN" w:bidi="ar"/>
                    </w:rPr>
                    <w:t>0.08</w:t>
                  </w:r>
                </w:p>
              </w:tc>
              <w:tc>
                <w:tcPr>
                  <w:tcW w:w="1616" w:type="dxa"/>
                  <w:tcBorders>
                    <w:top w:val="single" w:color="auto" w:sz="4" w:space="0"/>
                    <w:left w:val="single" w:color="auto" w:sz="4" w:space="0"/>
                    <w:bottom w:val="single" w:color="auto" w:sz="4" w:space="0"/>
                    <w:right w:val="nil"/>
                  </w:tcBorders>
                  <w:shd w:val="clear" w:color="auto" w:fill="CCE8CF"/>
                  <w:vAlign w:val="center"/>
                </w:tcPr>
                <w:p>
                  <w:pPr>
                    <w:widowControl/>
                    <w:jc w:val="center"/>
                    <w:textAlignment w:val="center"/>
                    <w:rPr>
                      <w:rFonts w:hint="eastAsia"/>
                      <w:color w:val="auto"/>
                      <w:kern w:val="0"/>
                      <w:szCs w:val="21"/>
                      <w:lang w:val="en-US" w:eastAsia="zh-CN" w:bidi="ar"/>
                    </w:rPr>
                  </w:pPr>
                  <w:r>
                    <w:rPr>
                      <w:rFonts w:hint="eastAsia"/>
                      <w:color w:val="auto"/>
                      <w:kern w:val="0"/>
                      <w:szCs w:val="21"/>
                      <w:lang w:val="en-US" w:eastAsia="zh-CN" w:bidi="ar"/>
                    </w:rPr>
                    <w:t>50</w:t>
                  </w:r>
                </w:p>
              </w:tc>
              <w:tc>
                <w:tcPr>
                  <w:tcW w:w="1370" w:type="dxa"/>
                  <w:tcBorders>
                    <w:top w:val="single" w:color="auto" w:sz="4" w:space="0"/>
                    <w:left w:val="single" w:color="auto" w:sz="4" w:space="0"/>
                    <w:bottom w:val="single" w:color="auto" w:sz="4" w:space="0"/>
                    <w:right w:val="nil"/>
                  </w:tcBorders>
                  <w:shd w:val="clear" w:color="auto" w:fill="CCE8CF"/>
                  <w:vAlign w:val="center"/>
                </w:tcPr>
                <w:p>
                  <w:pPr>
                    <w:widowControl/>
                    <w:jc w:val="center"/>
                    <w:textAlignment w:val="center"/>
                    <w:rPr>
                      <w:rFonts w:hint="eastAsia"/>
                      <w:color w:val="auto"/>
                      <w:kern w:val="0"/>
                      <w:szCs w:val="21"/>
                      <w:lang w:val="en-US" w:eastAsia="zh-CN" w:bidi="ar"/>
                    </w:rPr>
                  </w:pPr>
                  <w:r>
                    <w:rPr>
                      <w:rFonts w:hint="eastAsia"/>
                      <w:color w:val="auto"/>
                      <w:kern w:val="0"/>
                      <w:szCs w:val="21"/>
                      <w:lang w:val="en-US" w:eastAsia="zh-CN" w:bidi="ar"/>
                    </w:rPr>
                    <w:t>0.0252</w:t>
                  </w:r>
                </w:p>
              </w:tc>
              <w:tc>
                <w:tcPr>
                  <w:tcW w:w="1134" w:type="dxa"/>
                  <w:tcBorders>
                    <w:top w:val="single" w:color="auto" w:sz="4" w:space="0"/>
                    <w:left w:val="single" w:color="auto" w:sz="4" w:space="0"/>
                    <w:bottom w:val="single" w:color="auto" w:sz="4" w:space="0"/>
                    <w:right w:val="nil"/>
                  </w:tcBorders>
                  <w:shd w:val="clear" w:color="auto" w:fill="CCE8CF"/>
                  <w:vAlign w:val="center"/>
                </w:tcPr>
                <w:p>
                  <w:pPr>
                    <w:widowControl/>
                    <w:jc w:val="center"/>
                    <w:textAlignment w:val="center"/>
                    <w:rPr>
                      <w:rFonts w:hint="eastAsia"/>
                      <w:color w:val="auto"/>
                      <w:kern w:val="0"/>
                      <w:szCs w:val="21"/>
                      <w:lang w:val="en-US" w:eastAsia="zh-CN" w:bidi="ar"/>
                    </w:rPr>
                  </w:pPr>
                  <w:r>
                    <w:rPr>
                      <w:rFonts w:hint="eastAsia"/>
                      <w:color w:val="auto"/>
                      <w:kern w:val="0"/>
                      <w:szCs w:val="21"/>
                      <w:lang w:val="en-US" w:eastAsia="zh-CN" w:bidi="ar"/>
                    </w:rPr>
                    <w:t>5.6</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PrEx>
              <w:trPr>
                <w:trHeight w:val="340" w:hRule="atLeast"/>
              </w:trPr>
              <w:tc>
                <w:tcPr>
                  <w:tcW w:w="710" w:type="pct"/>
                  <w:tcBorders>
                    <w:top w:val="single" w:color="auto" w:sz="4" w:space="0"/>
                    <w:left w:val="nil"/>
                    <w:bottom w:val="single" w:color="auto" w:sz="4" w:space="0"/>
                    <w:right w:val="single" w:color="auto" w:sz="4" w:space="0"/>
                  </w:tcBorders>
                  <w:shd w:val="clear" w:color="auto" w:fill="CCE8CF"/>
                  <w:vAlign w:val="center"/>
                </w:tcPr>
                <w:p>
                  <w:pPr>
                    <w:widowControl/>
                    <w:jc w:val="center"/>
                    <w:textAlignment w:val="center"/>
                    <w:rPr>
                      <w:color w:val="auto"/>
                      <w:kern w:val="0"/>
                      <w:szCs w:val="21"/>
                      <w:lang w:bidi="ar"/>
                    </w:rPr>
                  </w:pPr>
                  <w:r>
                    <w:rPr>
                      <w:rFonts w:hint="eastAsia"/>
                      <w:color w:val="auto"/>
                      <w:kern w:val="0"/>
                      <w:szCs w:val="21"/>
                      <w:lang w:bidi="ar"/>
                    </w:rPr>
                    <w:t>75</w:t>
                  </w:r>
                </w:p>
              </w:tc>
              <w:tc>
                <w:tcPr>
                  <w:tcW w:w="882" w:type="pct"/>
                  <w:tcBorders>
                    <w:top w:val="single" w:color="auto" w:sz="4" w:space="0"/>
                    <w:left w:val="single" w:color="auto" w:sz="4" w:space="0"/>
                    <w:bottom w:val="single" w:color="auto" w:sz="4" w:space="0"/>
                    <w:right w:val="single" w:color="auto" w:sz="4" w:space="0"/>
                  </w:tcBorders>
                  <w:shd w:val="clear" w:color="auto" w:fill="CCE8CF"/>
                  <w:vAlign w:val="center"/>
                </w:tcPr>
                <w:p>
                  <w:pPr>
                    <w:widowControl/>
                    <w:jc w:val="center"/>
                    <w:textAlignment w:val="center"/>
                    <w:rPr>
                      <w:rFonts w:hint="eastAsia"/>
                      <w:color w:val="auto"/>
                      <w:kern w:val="0"/>
                      <w:szCs w:val="21"/>
                      <w:lang w:bidi="ar"/>
                    </w:rPr>
                  </w:pPr>
                  <w:r>
                    <w:rPr>
                      <w:rFonts w:hint="eastAsia"/>
                      <w:color w:val="auto"/>
                      <w:kern w:val="0"/>
                      <w:szCs w:val="21"/>
                      <w:lang w:val="en-US" w:eastAsia="zh-CN" w:bidi="ar"/>
                    </w:rPr>
                    <w:t>0.0012</w:t>
                  </w:r>
                </w:p>
              </w:tc>
              <w:tc>
                <w:tcPr>
                  <w:tcW w:w="1030" w:type="pct"/>
                  <w:tcBorders>
                    <w:top w:val="single" w:color="auto" w:sz="4" w:space="0"/>
                    <w:left w:val="single" w:color="auto" w:sz="4" w:space="0"/>
                    <w:bottom w:val="single" w:color="auto" w:sz="4" w:space="0"/>
                    <w:right w:val="nil"/>
                  </w:tcBorders>
                  <w:shd w:val="clear" w:color="auto" w:fill="CCE8CF"/>
                  <w:vAlign w:val="center"/>
                </w:tcPr>
                <w:p>
                  <w:pPr>
                    <w:widowControl/>
                    <w:jc w:val="center"/>
                    <w:textAlignment w:val="center"/>
                    <w:rPr>
                      <w:rFonts w:hint="eastAsia"/>
                      <w:color w:val="auto"/>
                      <w:kern w:val="0"/>
                      <w:szCs w:val="21"/>
                      <w:lang w:bidi="ar"/>
                    </w:rPr>
                  </w:pPr>
                  <w:r>
                    <w:rPr>
                      <w:rFonts w:hint="eastAsia"/>
                      <w:color w:val="auto"/>
                      <w:kern w:val="0"/>
                      <w:szCs w:val="21"/>
                      <w:lang w:val="en-US" w:eastAsia="zh-CN" w:bidi="ar"/>
                    </w:rPr>
                    <w:t>0.06</w:t>
                  </w:r>
                </w:p>
              </w:tc>
              <w:tc>
                <w:tcPr>
                  <w:tcW w:w="1616" w:type="dxa"/>
                  <w:tcBorders>
                    <w:top w:val="single" w:color="auto" w:sz="4" w:space="0"/>
                    <w:left w:val="single" w:color="auto" w:sz="4" w:space="0"/>
                    <w:bottom w:val="single" w:color="auto" w:sz="4" w:space="0"/>
                    <w:right w:val="nil"/>
                  </w:tcBorders>
                  <w:shd w:val="clear" w:color="auto" w:fill="CCE8CF"/>
                  <w:vAlign w:val="center"/>
                </w:tcPr>
                <w:p>
                  <w:pPr>
                    <w:widowControl/>
                    <w:jc w:val="center"/>
                    <w:textAlignment w:val="center"/>
                    <w:rPr>
                      <w:rFonts w:hint="eastAsia"/>
                      <w:color w:val="auto"/>
                      <w:kern w:val="0"/>
                      <w:szCs w:val="21"/>
                      <w:lang w:val="en-US" w:eastAsia="zh-CN" w:bidi="ar"/>
                    </w:rPr>
                  </w:pPr>
                  <w:r>
                    <w:rPr>
                      <w:rFonts w:hint="eastAsia"/>
                      <w:color w:val="auto"/>
                      <w:kern w:val="0"/>
                      <w:szCs w:val="21"/>
                      <w:lang w:val="en-US" w:eastAsia="zh-CN" w:bidi="ar"/>
                    </w:rPr>
                    <w:t>75</w:t>
                  </w:r>
                </w:p>
              </w:tc>
              <w:tc>
                <w:tcPr>
                  <w:tcW w:w="1370" w:type="dxa"/>
                  <w:tcBorders>
                    <w:top w:val="single" w:color="auto" w:sz="4" w:space="0"/>
                    <w:left w:val="single" w:color="auto" w:sz="4" w:space="0"/>
                    <w:bottom w:val="single" w:color="auto" w:sz="4" w:space="0"/>
                    <w:right w:val="nil"/>
                  </w:tcBorders>
                  <w:shd w:val="clear" w:color="auto" w:fill="CCE8CF"/>
                  <w:vAlign w:val="center"/>
                </w:tcPr>
                <w:p>
                  <w:pPr>
                    <w:widowControl/>
                    <w:jc w:val="center"/>
                    <w:textAlignment w:val="center"/>
                    <w:rPr>
                      <w:rFonts w:hint="eastAsia"/>
                      <w:color w:val="auto"/>
                      <w:kern w:val="0"/>
                      <w:szCs w:val="21"/>
                      <w:lang w:val="en-US" w:eastAsia="zh-CN" w:bidi="ar"/>
                    </w:rPr>
                  </w:pPr>
                  <w:r>
                    <w:rPr>
                      <w:rFonts w:hint="eastAsia"/>
                      <w:color w:val="auto"/>
                      <w:kern w:val="0"/>
                      <w:szCs w:val="21"/>
                      <w:lang w:val="en-US" w:eastAsia="zh-CN" w:bidi="ar"/>
                    </w:rPr>
                    <w:t>0.02</w:t>
                  </w:r>
                </w:p>
              </w:tc>
              <w:tc>
                <w:tcPr>
                  <w:tcW w:w="1134" w:type="dxa"/>
                  <w:tcBorders>
                    <w:top w:val="single" w:color="auto" w:sz="4" w:space="0"/>
                    <w:left w:val="single" w:color="auto" w:sz="4" w:space="0"/>
                    <w:bottom w:val="single" w:color="auto" w:sz="4" w:space="0"/>
                    <w:right w:val="nil"/>
                  </w:tcBorders>
                  <w:shd w:val="clear" w:color="auto" w:fill="CCE8CF"/>
                  <w:vAlign w:val="center"/>
                </w:tcPr>
                <w:p>
                  <w:pPr>
                    <w:widowControl/>
                    <w:jc w:val="center"/>
                    <w:textAlignment w:val="center"/>
                    <w:rPr>
                      <w:rFonts w:hint="eastAsia"/>
                      <w:color w:val="auto"/>
                      <w:kern w:val="0"/>
                      <w:szCs w:val="21"/>
                      <w:lang w:val="en-US" w:eastAsia="zh-CN" w:bidi="ar"/>
                    </w:rPr>
                  </w:pPr>
                  <w:r>
                    <w:rPr>
                      <w:rFonts w:hint="eastAsia"/>
                      <w:color w:val="auto"/>
                      <w:kern w:val="0"/>
                      <w:szCs w:val="21"/>
                      <w:lang w:val="en-US" w:eastAsia="zh-CN" w:bidi="ar"/>
                    </w:rPr>
                    <w:t>4.43</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PrEx>
              <w:trPr>
                <w:trHeight w:val="340" w:hRule="atLeast"/>
              </w:trPr>
              <w:tc>
                <w:tcPr>
                  <w:tcW w:w="710" w:type="pct"/>
                  <w:tcBorders>
                    <w:top w:val="single" w:color="auto" w:sz="4" w:space="0"/>
                    <w:left w:val="nil"/>
                    <w:bottom w:val="single" w:color="auto" w:sz="4" w:space="0"/>
                    <w:right w:val="single" w:color="auto" w:sz="4" w:space="0"/>
                  </w:tcBorders>
                  <w:shd w:val="clear" w:color="auto" w:fill="CCE8CF"/>
                  <w:vAlign w:val="center"/>
                </w:tcPr>
                <w:p>
                  <w:pPr>
                    <w:widowControl/>
                    <w:jc w:val="center"/>
                    <w:textAlignment w:val="center"/>
                    <w:rPr>
                      <w:color w:val="auto"/>
                      <w:kern w:val="0"/>
                      <w:szCs w:val="21"/>
                      <w:lang w:bidi="ar"/>
                    </w:rPr>
                  </w:pPr>
                  <w:r>
                    <w:rPr>
                      <w:rFonts w:hint="eastAsia"/>
                      <w:color w:val="auto"/>
                      <w:kern w:val="0"/>
                      <w:szCs w:val="21"/>
                      <w:lang w:bidi="ar"/>
                    </w:rPr>
                    <w:t>100</w:t>
                  </w:r>
                </w:p>
              </w:tc>
              <w:tc>
                <w:tcPr>
                  <w:tcW w:w="882" w:type="pct"/>
                  <w:tcBorders>
                    <w:top w:val="single" w:color="auto" w:sz="4" w:space="0"/>
                    <w:left w:val="single" w:color="auto" w:sz="4" w:space="0"/>
                    <w:bottom w:val="single" w:color="auto" w:sz="4" w:space="0"/>
                    <w:right w:val="single" w:color="auto" w:sz="4" w:space="0"/>
                  </w:tcBorders>
                  <w:shd w:val="clear" w:color="auto" w:fill="CCE8CF"/>
                  <w:vAlign w:val="center"/>
                </w:tcPr>
                <w:p>
                  <w:pPr>
                    <w:widowControl/>
                    <w:jc w:val="center"/>
                    <w:textAlignment w:val="center"/>
                    <w:rPr>
                      <w:rFonts w:hint="eastAsia"/>
                      <w:color w:val="auto"/>
                      <w:kern w:val="0"/>
                      <w:szCs w:val="21"/>
                      <w:lang w:bidi="ar"/>
                    </w:rPr>
                  </w:pPr>
                  <w:r>
                    <w:rPr>
                      <w:rFonts w:hint="eastAsia"/>
                      <w:color w:val="auto"/>
                      <w:kern w:val="0"/>
                      <w:szCs w:val="21"/>
                      <w:lang w:val="en-US" w:eastAsia="zh-CN" w:bidi="ar"/>
                    </w:rPr>
                    <w:t>0.0009</w:t>
                  </w:r>
                </w:p>
              </w:tc>
              <w:tc>
                <w:tcPr>
                  <w:tcW w:w="1030" w:type="pct"/>
                  <w:tcBorders>
                    <w:top w:val="single" w:color="auto" w:sz="4" w:space="0"/>
                    <w:left w:val="single" w:color="auto" w:sz="4" w:space="0"/>
                    <w:bottom w:val="single" w:color="auto" w:sz="4" w:space="0"/>
                    <w:right w:val="nil"/>
                  </w:tcBorders>
                  <w:shd w:val="clear" w:color="auto" w:fill="CCE8CF"/>
                  <w:vAlign w:val="center"/>
                </w:tcPr>
                <w:p>
                  <w:pPr>
                    <w:widowControl/>
                    <w:jc w:val="center"/>
                    <w:textAlignment w:val="center"/>
                    <w:rPr>
                      <w:rFonts w:hint="eastAsia"/>
                      <w:color w:val="auto"/>
                      <w:kern w:val="0"/>
                      <w:szCs w:val="21"/>
                      <w:lang w:bidi="ar"/>
                    </w:rPr>
                  </w:pPr>
                  <w:r>
                    <w:rPr>
                      <w:rFonts w:hint="eastAsia"/>
                      <w:color w:val="auto"/>
                      <w:kern w:val="0"/>
                      <w:szCs w:val="21"/>
                      <w:lang w:val="en-US" w:eastAsia="zh-CN" w:bidi="ar"/>
                    </w:rPr>
                    <w:t>0.04</w:t>
                  </w:r>
                </w:p>
              </w:tc>
              <w:tc>
                <w:tcPr>
                  <w:tcW w:w="1616" w:type="dxa"/>
                  <w:tcBorders>
                    <w:top w:val="single" w:color="auto" w:sz="4" w:space="0"/>
                    <w:left w:val="single" w:color="auto" w:sz="4" w:space="0"/>
                    <w:bottom w:val="single" w:color="auto" w:sz="4" w:space="0"/>
                    <w:right w:val="nil"/>
                  </w:tcBorders>
                  <w:shd w:val="clear" w:color="auto" w:fill="CCE8CF"/>
                  <w:vAlign w:val="center"/>
                </w:tcPr>
                <w:p>
                  <w:pPr>
                    <w:widowControl/>
                    <w:jc w:val="center"/>
                    <w:textAlignment w:val="center"/>
                    <w:rPr>
                      <w:rFonts w:hint="eastAsia"/>
                      <w:color w:val="auto"/>
                      <w:kern w:val="0"/>
                      <w:szCs w:val="21"/>
                      <w:lang w:val="en-US" w:eastAsia="zh-CN" w:bidi="ar"/>
                    </w:rPr>
                  </w:pPr>
                  <w:r>
                    <w:rPr>
                      <w:rFonts w:hint="eastAsia"/>
                      <w:color w:val="auto"/>
                      <w:kern w:val="0"/>
                      <w:szCs w:val="21"/>
                      <w:lang w:val="en-US" w:eastAsia="zh-CN" w:bidi="ar"/>
                    </w:rPr>
                    <w:t>100</w:t>
                  </w:r>
                </w:p>
              </w:tc>
              <w:tc>
                <w:tcPr>
                  <w:tcW w:w="1370" w:type="dxa"/>
                  <w:tcBorders>
                    <w:top w:val="single" w:color="auto" w:sz="4" w:space="0"/>
                    <w:left w:val="single" w:color="auto" w:sz="4" w:space="0"/>
                    <w:bottom w:val="single" w:color="auto" w:sz="4" w:space="0"/>
                    <w:right w:val="nil"/>
                  </w:tcBorders>
                  <w:shd w:val="clear" w:color="auto" w:fill="CCE8CF"/>
                  <w:vAlign w:val="center"/>
                </w:tcPr>
                <w:p>
                  <w:pPr>
                    <w:widowControl/>
                    <w:jc w:val="center"/>
                    <w:textAlignment w:val="center"/>
                    <w:rPr>
                      <w:rFonts w:hint="eastAsia"/>
                      <w:color w:val="auto"/>
                      <w:kern w:val="0"/>
                      <w:szCs w:val="21"/>
                      <w:lang w:val="en-US" w:eastAsia="zh-CN" w:bidi="ar"/>
                    </w:rPr>
                  </w:pPr>
                  <w:r>
                    <w:rPr>
                      <w:rFonts w:hint="eastAsia"/>
                      <w:color w:val="auto"/>
                      <w:kern w:val="0"/>
                      <w:szCs w:val="21"/>
                      <w:lang w:val="en-US" w:eastAsia="zh-CN" w:bidi="ar"/>
                    </w:rPr>
                    <w:t>0.0169</w:t>
                  </w:r>
                </w:p>
              </w:tc>
              <w:tc>
                <w:tcPr>
                  <w:tcW w:w="1134" w:type="dxa"/>
                  <w:tcBorders>
                    <w:top w:val="single" w:color="auto" w:sz="4" w:space="0"/>
                    <w:left w:val="single" w:color="auto" w:sz="4" w:space="0"/>
                    <w:bottom w:val="single" w:color="auto" w:sz="4" w:space="0"/>
                    <w:right w:val="nil"/>
                  </w:tcBorders>
                  <w:shd w:val="clear" w:color="auto" w:fill="CCE8CF"/>
                  <w:vAlign w:val="center"/>
                </w:tcPr>
                <w:p>
                  <w:pPr>
                    <w:widowControl/>
                    <w:jc w:val="center"/>
                    <w:textAlignment w:val="center"/>
                    <w:rPr>
                      <w:rFonts w:hint="eastAsia"/>
                      <w:color w:val="auto"/>
                      <w:kern w:val="0"/>
                      <w:szCs w:val="21"/>
                      <w:lang w:val="en-US" w:eastAsia="zh-CN" w:bidi="ar"/>
                    </w:rPr>
                  </w:pPr>
                  <w:r>
                    <w:rPr>
                      <w:rFonts w:hint="eastAsia"/>
                      <w:color w:val="auto"/>
                      <w:kern w:val="0"/>
                      <w:szCs w:val="21"/>
                      <w:lang w:val="en-US" w:eastAsia="zh-CN" w:bidi="ar"/>
                    </w:rPr>
                    <w:t>3.75</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PrEx>
              <w:trPr>
                <w:trHeight w:val="90" w:hRule="atLeast"/>
              </w:trPr>
              <w:tc>
                <w:tcPr>
                  <w:tcW w:w="710" w:type="pct"/>
                  <w:tcBorders>
                    <w:top w:val="single" w:color="auto" w:sz="4" w:space="0"/>
                    <w:left w:val="nil"/>
                    <w:bottom w:val="single" w:color="auto" w:sz="4" w:space="0"/>
                    <w:right w:val="single" w:color="auto" w:sz="4" w:space="0"/>
                  </w:tcBorders>
                  <w:shd w:val="clear" w:color="auto" w:fill="CCE8CF"/>
                  <w:vAlign w:val="center"/>
                </w:tcPr>
                <w:p>
                  <w:pPr>
                    <w:widowControl/>
                    <w:jc w:val="center"/>
                    <w:textAlignment w:val="center"/>
                    <w:rPr>
                      <w:color w:val="auto"/>
                      <w:kern w:val="0"/>
                      <w:szCs w:val="21"/>
                      <w:lang w:bidi="ar"/>
                    </w:rPr>
                  </w:pPr>
                  <w:r>
                    <w:rPr>
                      <w:rFonts w:hint="eastAsia"/>
                      <w:color w:val="auto"/>
                      <w:kern w:val="0"/>
                      <w:szCs w:val="21"/>
                      <w:lang w:bidi="ar"/>
                    </w:rPr>
                    <w:t>125</w:t>
                  </w:r>
                </w:p>
              </w:tc>
              <w:tc>
                <w:tcPr>
                  <w:tcW w:w="882" w:type="pct"/>
                  <w:tcBorders>
                    <w:top w:val="single" w:color="auto" w:sz="4" w:space="0"/>
                    <w:left w:val="single" w:color="auto" w:sz="4" w:space="0"/>
                    <w:bottom w:val="single" w:color="auto" w:sz="4" w:space="0"/>
                    <w:right w:val="single" w:color="auto" w:sz="4" w:space="0"/>
                  </w:tcBorders>
                  <w:shd w:val="clear" w:color="auto" w:fill="CCE8CF"/>
                  <w:vAlign w:val="center"/>
                </w:tcPr>
                <w:p>
                  <w:pPr>
                    <w:widowControl/>
                    <w:jc w:val="center"/>
                    <w:textAlignment w:val="center"/>
                    <w:rPr>
                      <w:rFonts w:hint="eastAsia"/>
                      <w:color w:val="auto"/>
                      <w:kern w:val="0"/>
                      <w:szCs w:val="21"/>
                      <w:lang w:bidi="ar"/>
                    </w:rPr>
                  </w:pPr>
                  <w:r>
                    <w:rPr>
                      <w:rFonts w:hint="eastAsia"/>
                      <w:color w:val="auto"/>
                      <w:kern w:val="0"/>
                      <w:szCs w:val="21"/>
                      <w:lang w:val="en-US" w:eastAsia="zh-CN" w:bidi="ar"/>
                    </w:rPr>
                    <w:t>0.0007</w:t>
                  </w:r>
                </w:p>
              </w:tc>
              <w:tc>
                <w:tcPr>
                  <w:tcW w:w="1030" w:type="pct"/>
                  <w:tcBorders>
                    <w:top w:val="single" w:color="auto" w:sz="4" w:space="0"/>
                    <w:left w:val="single" w:color="auto" w:sz="4" w:space="0"/>
                    <w:bottom w:val="single" w:color="auto" w:sz="4" w:space="0"/>
                    <w:right w:val="nil"/>
                  </w:tcBorders>
                  <w:shd w:val="clear" w:color="auto" w:fill="CCE8CF"/>
                  <w:vAlign w:val="center"/>
                </w:tcPr>
                <w:p>
                  <w:pPr>
                    <w:widowControl/>
                    <w:jc w:val="center"/>
                    <w:textAlignment w:val="center"/>
                    <w:rPr>
                      <w:rFonts w:hint="eastAsia"/>
                      <w:color w:val="auto"/>
                      <w:kern w:val="0"/>
                      <w:szCs w:val="21"/>
                      <w:lang w:bidi="ar"/>
                    </w:rPr>
                  </w:pPr>
                  <w:r>
                    <w:rPr>
                      <w:rFonts w:hint="eastAsia"/>
                      <w:color w:val="auto"/>
                      <w:kern w:val="0"/>
                      <w:szCs w:val="21"/>
                      <w:lang w:val="en-US" w:eastAsia="zh-CN" w:bidi="ar"/>
                    </w:rPr>
                    <w:t>0.04</w:t>
                  </w:r>
                </w:p>
              </w:tc>
              <w:tc>
                <w:tcPr>
                  <w:tcW w:w="1616" w:type="dxa"/>
                  <w:tcBorders>
                    <w:top w:val="single" w:color="auto" w:sz="4" w:space="0"/>
                    <w:left w:val="single" w:color="auto" w:sz="4" w:space="0"/>
                    <w:bottom w:val="single" w:color="auto" w:sz="4" w:space="0"/>
                    <w:right w:val="nil"/>
                  </w:tcBorders>
                  <w:shd w:val="clear" w:color="auto" w:fill="CCE8CF"/>
                  <w:vAlign w:val="center"/>
                </w:tcPr>
                <w:p>
                  <w:pPr>
                    <w:widowControl/>
                    <w:jc w:val="center"/>
                    <w:textAlignment w:val="center"/>
                    <w:rPr>
                      <w:rFonts w:hint="eastAsia"/>
                      <w:color w:val="auto"/>
                      <w:kern w:val="0"/>
                      <w:szCs w:val="21"/>
                      <w:lang w:val="en-US" w:eastAsia="zh-CN" w:bidi="ar"/>
                    </w:rPr>
                  </w:pPr>
                  <w:r>
                    <w:rPr>
                      <w:rFonts w:hint="eastAsia"/>
                      <w:color w:val="auto"/>
                      <w:kern w:val="0"/>
                      <w:szCs w:val="21"/>
                      <w:lang w:val="en-US" w:eastAsia="zh-CN" w:bidi="ar"/>
                    </w:rPr>
                    <w:t>125</w:t>
                  </w:r>
                </w:p>
              </w:tc>
              <w:tc>
                <w:tcPr>
                  <w:tcW w:w="1370" w:type="dxa"/>
                  <w:tcBorders>
                    <w:top w:val="single" w:color="auto" w:sz="4" w:space="0"/>
                    <w:left w:val="single" w:color="auto" w:sz="4" w:space="0"/>
                    <w:bottom w:val="single" w:color="auto" w:sz="4" w:space="0"/>
                    <w:right w:val="nil"/>
                  </w:tcBorders>
                  <w:shd w:val="clear" w:color="auto" w:fill="CCE8CF"/>
                  <w:vAlign w:val="center"/>
                </w:tcPr>
                <w:p>
                  <w:pPr>
                    <w:widowControl/>
                    <w:jc w:val="center"/>
                    <w:textAlignment w:val="center"/>
                    <w:rPr>
                      <w:rFonts w:hint="eastAsia"/>
                      <w:color w:val="auto"/>
                      <w:kern w:val="0"/>
                      <w:szCs w:val="21"/>
                      <w:lang w:val="en-US" w:eastAsia="zh-CN" w:bidi="ar"/>
                    </w:rPr>
                  </w:pPr>
                  <w:r>
                    <w:rPr>
                      <w:rFonts w:hint="eastAsia"/>
                      <w:color w:val="auto"/>
                      <w:kern w:val="0"/>
                      <w:szCs w:val="21"/>
                      <w:lang w:val="en-US" w:eastAsia="zh-CN" w:bidi="ar"/>
                    </w:rPr>
                    <w:t>0.0141</w:t>
                  </w:r>
                </w:p>
              </w:tc>
              <w:tc>
                <w:tcPr>
                  <w:tcW w:w="1134" w:type="dxa"/>
                  <w:tcBorders>
                    <w:top w:val="single" w:color="auto" w:sz="4" w:space="0"/>
                    <w:left w:val="single" w:color="auto" w:sz="4" w:space="0"/>
                    <w:bottom w:val="single" w:color="auto" w:sz="4" w:space="0"/>
                    <w:right w:val="nil"/>
                  </w:tcBorders>
                  <w:shd w:val="clear" w:color="auto" w:fill="CCE8CF"/>
                  <w:vAlign w:val="center"/>
                </w:tcPr>
                <w:p>
                  <w:pPr>
                    <w:widowControl/>
                    <w:jc w:val="center"/>
                    <w:textAlignment w:val="center"/>
                    <w:rPr>
                      <w:rFonts w:hint="eastAsia"/>
                      <w:color w:val="auto"/>
                      <w:kern w:val="0"/>
                      <w:szCs w:val="21"/>
                      <w:lang w:val="en-US" w:eastAsia="zh-CN" w:bidi="ar"/>
                    </w:rPr>
                  </w:pPr>
                  <w:r>
                    <w:rPr>
                      <w:rFonts w:hint="eastAsia"/>
                      <w:color w:val="auto"/>
                      <w:kern w:val="0"/>
                      <w:szCs w:val="21"/>
                      <w:lang w:val="en-US" w:eastAsia="zh-CN" w:bidi="ar"/>
                    </w:rPr>
                    <w:t>3.14</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PrEx>
              <w:trPr>
                <w:trHeight w:val="340" w:hRule="atLeast"/>
              </w:trPr>
              <w:tc>
                <w:tcPr>
                  <w:tcW w:w="710" w:type="pct"/>
                  <w:tcBorders>
                    <w:top w:val="single" w:color="auto" w:sz="4" w:space="0"/>
                    <w:left w:val="nil"/>
                    <w:bottom w:val="single" w:color="auto" w:sz="4" w:space="0"/>
                    <w:right w:val="single" w:color="auto" w:sz="4" w:space="0"/>
                  </w:tcBorders>
                  <w:shd w:val="clear" w:color="auto" w:fill="CCE8CF"/>
                  <w:vAlign w:val="center"/>
                </w:tcPr>
                <w:p>
                  <w:pPr>
                    <w:widowControl/>
                    <w:jc w:val="center"/>
                    <w:textAlignment w:val="center"/>
                    <w:rPr>
                      <w:color w:val="auto"/>
                      <w:kern w:val="0"/>
                      <w:szCs w:val="21"/>
                      <w:lang w:bidi="ar"/>
                    </w:rPr>
                  </w:pPr>
                  <w:r>
                    <w:rPr>
                      <w:rFonts w:hint="eastAsia"/>
                      <w:color w:val="auto"/>
                      <w:kern w:val="0"/>
                      <w:szCs w:val="21"/>
                      <w:lang w:bidi="ar"/>
                    </w:rPr>
                    <w:t>150</w:t>
                  </w:r>
                </w:p>
              </w:tc>
              <w:tc>
                <w:tcPr>
                  <w:tcW w:w="882" w:type="pct"/>
                  <w:tcBorders>
                    <w:top w:val="single" w:color="auto" w:sz="4" w:space="0"/>
                    <w:left w:val="single" w:color="auto" w:sz="4" w:space="0"/>
                    <w:bottom w:val="single" w:color="auto" w:sz="4" w:space="0"/>
                    <w:right w:val="single" w:color="auto" w:sz="4" w:space="0"/>
                  </w:tcBorders>
                  <w:shd w:val="clear" w:color="auto" w:fill="CCE8CF"/>
                  <w:vAlign w:val="center"/>
                </w:tcPr>
                <w:p>
                  <w:pPr>
                    <w:widowControl/>
                    <w:jc w:val="center"/>
                    <w:textAlignment w:val="center"/>
                    <w:rPr>
                      <w:rFonts w:hint="eastAsia"/>
                      <w:color w:val="auto"/>
                      <w:kern w:val="0"/>
                      <w:szCs w:val="21"/>
                      <w:lang w:bidi="ar"/>
                    </w:rPr>
                  </w:pPr>
                  <w:r>
                    <w:rPr>
                      <w:rFonts w:hint="eastAsia"/>
                      <w:color w:val="auto"/>
                      <w:kern w:val="0"/>
                      <w:szCs w:val="21"/>
                      <w:lang w:val="en-US" w:eastAsia="zh-CN" w:bidi="ar"/>
                    </w:rPr>
                    <w:t>0.0006</w:t>
                  </w:r>
                </w:p>
              </w:tc>
              <w:tc>
                <w:tcPr>
                  <w:tcW w:w="1030" w:type="pct"/>
                  <w:tcBorders>
                    <w:top w:val="single" w:color="auto" w:sz="4" w:space="0"/>
                    <w:left w:val="single" w:color="auto" w:sz="4" w:space="0"/>
                    <w:bottom w:val="single" w:color="auto" w:sz="4" w:space="0"/>
                    <w:right w:val="nil"/>
                  </w:tcBorders>
                  <w:shd w:val="clear" w:color="auto" w:fill="CCE8CF"/>
                  <w:vAlign w:val="center"/>
                </w:tcPr>
                <w:p>
                  <w:pPr>
                    <w:widowControl/>
                    <w:jc w:val="center"/>
                    <w:textAlignment w:val="center"/>
                    <w:rPr>
                      <w:rFonts w:hint="eastAsia"/>
                      <w:color w:val="auto"/>
                      <w:kern w:val="0"/>
                      <w:szCs w:val="21"/>
                      <w:lang w:bidi="ar"/>
                    </w:rPr>
                  </w:pPr>
                  <w:r>
                    <w:rPr>
                      <w:rFonts w:hint="eastAsia"/>
                      <w:color w:val="auto"/>
                      <w:kern w:val="0"/>
                      <w:szCs w:val="21"/>
                      <w:lang w:val="en-US" w:eastAsia="zh-CN" w:bidi="ar"/>
                    </w:rPr>
                    <w:t>0.03</w:t>
                  </w:r>
                </w:p>
              </w:tc>
              <w:tc>
                <w:tcPr>
                  <w:tcW w:w="1616" w:type="dxa"/>
                  <w:tcBorders>
                    <w:top w:val="single" w:color="auto" w:sz="4" w:space="0"/>
                    <w:left w:val="single" w:color="auto" w:sz="4" w:space="0"/>
                    <w:bottom w:val="single" w:color="auto" w:sz="4" w:space="0"/>
                    <w:right w:val="nil"/>
                  </w:tcBorders>
                  <w:shd w:val="clear" w:color="auto" w:fill="CCE8CF"/>
                  <w:vAlign w:val="center"/>
                </w:tcPr>
                <w:p>
                  <w:pPr>
                    <w:widowControl/>
                    <w:jc w:val="center"/>
                    <w:textAlignment w:val="center"/>
                    <w:rPr>
                      <w:rFonts w:hint="eastAsia"/>
                      <w:color w:val="auto"/>
                      <w:kern w:val="0"/>
                      <w:szCs w:val="21"/>
                      <w:lang w:val="en-US" w:eastAsia="zh-CN" w:bidi="ar"/>
                    </w:rPr>
                  </w:pPr>
                  <w:r>
                    <w:rPr>
                      <w:rFonts w:hint="eastAsia"/>
                      <w:color w:val="auto"/>
                      <w:kern w:val="0"/>
                      <w:szCs w:val="21"/>
                      <w:lang w:val="en-US" w:eastAsia="zh-CN" w:bidi="ar"/>
                    </w:rPr>
                    <w:t>150</w:t>
                  </w:r>
                </w:p>
              </w:tc>
              <w:tc>
                <w:tcPr>
                  <w:tcW w:w="1370" w:type="dxa"/>
                  <w:tcBorders>
                    <w:top w:val="single" w:color="auto" w:sz="4" w:space="0"/>
                    <w:left w:val="single" w:color="auto" w:sz="4" w:space="0"/>
                    <w:bottom w:val="single" w:color="auto" w:sz="4" w:space="0"/>
                    <w:right w:val="nil"/>
                  </w:tcBorders>
                  <w:shd w:val="clear" w:color="auto" w:fill="CCE8CF"/>
                  <w:vAlign w:val="center"/>
                </w:tcPr>
                <w:p>
                  <w:pPr>
                    <w:widowControl/>
                    <w:jc w:val="center"/>
                    <w:textAlignment w:val="center"/>
                    <w:rPr>
                      <w:rFonts w:hint="eastAsia"/>
                      <w:color w:val="auto"/>
                      <w:kern w:val="0"/>
                      <w:szCs w:val="21"/>
                      <w:lang w:val="en-US" w:eastAsia="zh-CN" w:bidi="ar"/>
                    </w:rPr>
                  </w:pPr>
                  <w:r>
                    <w:rPr>
                      <w:rFonts w:hint="eastAsia"/>
                      <w:color w:val="auto"/>
                      <w:kern w:val="0"/>
                      <w:szCs w:val="21"/>
                      <w:lang w:val="en-US" w:eastAsia="zh-CN" w:bidi="ar"/>
                    </w:rPr>
                    <w:t>0.012</w:t>
                  </w:r>
                </w:p>
              </w:tc>
              <w:tc>
                <w:tcPr>
                  <w:tcW w:w="1134" w:type="dxa"/>
                  <w:tcBorders>
                    <w:top w:val="single" w:color="auto" w:sz="4" w:space="0"/>
                    <w:left w:val="single" w:color="auto" w:sz="4" w:space="0"/>
                    <w:bottom w:val="single" w:color="auto" w:sz="4" w:space="0"/>
                    <w:right w:val="nil"/>
                  </w:tcBorders>
                  <w:shd w:val="clear" w:color="auto" w:fill="CCE8CF"/>
                  <w:vAlign w:val="center"/>
                </w:tcPr>
                <w:p>
                  <w:pPr>
                    <w:widowControl/>
                    <w:jc w:val="center"/>
                    <w:textAlignment w:val="center"/>
                    <w:rPr>
                      <w:rFonts w:hint="eastAsia"/>
                      <w:color w:val="auto"/>
                      <w:kern w:val="0"/>
                      <w:szCs w:val="21"/>
                      <w:lang w:val="en-US" w:eastAsia="zh-CN" w:bidi="ar"/>
                    </w:rPr>
                  </w:pPr>
                  <w:r>
                    <w:rPr>
                      <w:rFonts w:hint="eastAsia"/>
                      <w:color w:val="auto"/>
                      <w:kern w:val="0"/>
                      <w:szCs w:val="21"/>
                      <w:lang w:val="en-US" w:eastAsia="zh-CN" w:bidi="ar"/>
                    </w:rPr>
                    <w:t>2.66</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PrEx>
              <w:trPr>
                <w:trHeight w:val="340" w:hRule="atLeast"/>
              </w:trPr>
              <w:tc>
                <w:tcPr>
                  <w:tcW w:w="710" w:type="pct"/>
                  <w:tcBorders>
                    <w:top w:val="single" w:color="auto" w:sz="4" w:space="0"/>
                    <w:left w:val="nil"/>
                    <w:bottom w:val="single" w:color="auto" w:sz="4" w:space="0"/>
                    <w:right w:val="single" w:color="auto" w:sz="4" w:space="0"/>
                  </w:tcBorders>
                  <w:shd w:val="clear" w:color="auto" w:fill="CCE8CF"/>
                  <w:vAlign w:val="center"/>
                </w:tcPr>
                <w:p>
                  <w:pPr>
                    <w:widowControl/>
                    <w:jc w:val="center"/>
                    <w:textAlignment w:val="center"/>
                    <w:rPr>
                      <w:color w:val="auto"/>
                      <w:kern w:val="0"/>
                      <w:szCs w:val="21"/>
                      <w:lang w:bidi="ar"/>
                    </w:rPr>
                  </w:pPr>
                  <w:r>
                    <w:rPr>
                      <w:rFonts w:hint="eastAsia"/>
                      <w:color w:val="auto"/>
                      <w:kern w:val="0"/>
                      <w:szCs w:val="21"/>
                      <w:lang w:bidi="ar"/>
                    </w:rPr>
                    <w:t>175</w:t>
                  </w:r>
                </w:p>
              </w:tc>
              <w:tc>
                <w:tcPr>
                  <w:tcW w:w="882" w:type="pct"/>
                  <w:tcBorders>
                    <w:top w:val="single" w:color="auto" w:sz="4" w:space="0"/>
                    <w:left w:val="single" w:color="auto" w:sz="4" w:space="0"/>
                    <w:bottom w:val="single" w:color="auto" w:sz="4" w:space="0"/>
                    <w:right w:val="single" w:color="auto" w:sz="4" w:space="0"/>
                  </w:tcBorders>
                  <w:shd w:val="clear" w:color="auto" w:fill="CCE8CF"/>
                  <w:vAlign w:val="center"/>
                </w:tcPr>
                <w:p>
                  <w:pPr>
                    <w:widowControl/>
                    <w:jc w:val="center"/>
                    <w:textAlignment w:val="center"/>
                    <w:rPr>
                      <w:rFonts w:hint="eastAsia"/>
                      <w:color w:val="auto"/>
                      <w:kern w:val="0"/>
                      <w:szCs w:val="21"/>
                      <w:lang w:bidi="ar"/>
                    </w:rPr>
                  </w:pPr>
                  <w:r>
                    <w:rPr>
                      <w:rFonts w:hint="eastAsia"/>
                      <w:color w:val="auto"/>
                      <w:kern w:val="0"/>
                      <w:szCs w:val="21"/>
                      <w:lang w:val="en-US" w:eastAsia="zh-CN" w:bidi="ar"/>
                    </w:rPr>
                    <w:t>0.0005</w:t>
                  </w:r>
                </w:p>
              </w:tc>
              <w:tc>
                <w:tcPr>
                  <w:tcW w:w="1030" w:type="pct"/>
                  <w:tcBorders>
                    <w:top w:val="single" w:color="auto" w:sz="4" w:space="0"/>
                    <w:left w:val="single" w:color="auto" w:sz="4" w:space="0"/>
                    <w:bottom w:val="single" w:color="auto" w:sz="4" w:space="0"/>
                    <w:right w:val="nil"/>
                  </w:tcBorders>
                  <w:shd w:val="clear" w:color="auto" w:fill="CCE8CF"/>
                  <w:vAlign w:val="center"/>
                </w:tcPr>
                <w:p>
                  <w:pPr>
                    <w:widowControl/>
                    <w:jc w:val="center"/>
                    <w:textAlignment w:val="center"/>
                    <w:rPr>
                      <w:rFonts w:hint="eastAsia"/>
                      <w:color w:val="auto"/>
                      <w:kern w:val="0"/>
                      <w:szCs w:val="21"/>
                      <w:lang w:bidi="ar"/>
                    </w:rPr>
                  </w:pPr>
                  <w:r>
                    <w:rPr>
                      <w:rFonts w:hint="eastAsia"/>
                      <w:color w:val="auto"/>
                      <w:kern w:val="0"/>
                      <w:szCs w:val="21"/>
                      <w:lang w:val="en-US" w:eastAsia="zh-CN" w:bidi="ar"/>
                    </w:rPr>
                    <w:t>0.02</w:t>
                  </w:r>
                </w:p>
              </w:tc>
              <w:tc>
                <w:tcPr>
                  <w:tcW w:w="1616" w:type="dxa"/>
                  <w:tcBorders>
                    <w:top w:val="single" w:color="auto" w:sz="4" w:space="0"/>
                    <w:left w:val="single" w:color="auto" w:sz="4" w:space="0"/>
                    <w:bottom w:val="single" w:color="auto" w:sz="4" w:space="0"/>
                    <w:right w:val="nil"/>
                  </w:tcBorders>
                  <w:shd w:val="clear" w:color="auto" w:fill="CCE8CF"/>
                  <w:vAlign w:val="center"/>
                </w:tcPr>
                <w:p>
                  <w:pPr>
                    <w:widowControl/>
                    <w:jc w:val="center"/>
                    <w:textAlignment w:val="center"/>
                    <w:rPr>
                      <w:rFonts w:hint="eastAsia"/>
                      <w:color w:val="auto"/>
                      <w:kern w:val="0"/>
                      <w:szCs w:val="21"/>
                      <w:lang w:val="en-US" w:eastAsia="zh-CN" w:bidi="ar"/>
                    </w:rPr>
                  </w:pPr>
                  <w:r>
                    <w:rPr>
                      <w:rFonts w:hint="eastAsia"/>
                      <w:color w:val="auto"/>
                      <w:kern w:val="0"/>
                      <w:szCs w:val="21"/>
                      <w:lang w:val="en-US" w:eastAsia="zh-CN" w:bidi="ar"/>
                    </w:rPr>
                    <w:t>175</w:t>
                  </w:r>
                </w:p>
              </w:tc>
              <w:tc>
                <w:tcPr>
                  <w:tcW w:w="1370" w:type="dxa"/>
                  <w:tcBorders>
                    <w:top w:val="single" w:color="auto" w:sz="4" w:space="0"/>
                    <w:left w:val="single" w:color="auto" w:sz="4" w:space="0"/>
                    <w:bottom w:val="single" w:color="auto" w:sz="4" w:space="0"/>
                    <w:right w:val="nil"/>
                  </w:tcBorders>
                  <w:shd w:val="clear" w:color="auto" w:fill="CCE8CF"/>
                  <w:vAlign w:val="center"/>
                </w:tcPr>
                <w:p>
                  <w:pPr>
                    <w:widowControl/>
                    <w:jc w:val="center"/>
                    <w:textAlignment w:val="center"/>
                    <w:rPr>
                      <w:rFonts w:hint="eastAsia"/>
                      <w:color w:val="auto"/>
                      <w:kern w:val="0"/>
                      <w:szCs w:val="21"/>
                      <w:lang w:val="en-US" w:eastAsia="zh-CN" w:bidi="ar"/>
                    </w:rPr>
                  </w:pPr>
                  <w:r>
                    <w:rPr>
                      <w:rFonts w:hint="eastAsia"/>
                      <w:color w:val="auto"/>
                      <w:kern w:val="0"/>
                      <w:szCs w:val="21"/>
                      <w:lang w:val="en-US" w:eastAsia="zh-CN" w:bidi="ar"/>
                    </w:rPr>
                    <w:t>0.0102</w:t>
                  </w:r>
                </w:p>
              </w:tc>
              <w:tc>
                <w:tcPr>
                  <w:tcW w:w="1134" w:type="dxa"/>
                  <w:tcBorders>
                    <w:top w:val="single" w:color="auto" w:sz="4" w:space="0"/>
                    <w:left w:val="single" w:color="auto" w:sz="4" w:space="0"/>
                    <w:bottom w:val="single" w:color="auto" w:sz="4" w:space="0"/>
                    <w:right w:val="nil"/>
                  </w:tcBorders>
                  <w:shd w:val="clear" w:color="auto" w:fill="CCE8CF"/>
                  <w:vAlign w:val="center"/>
                </w:tcPr>
                <w:p>
                  <w:pPr>
                    <w:widowControl/>
                    <w:jc w:val="center"/>
                    <w:textAlignment w:val="center"/>
                    <w:rPr>
                      <w:rFonts w:hint="eastAsia"/>
                      <w:color w:val="auto"/>
                      <w:kern w:val="0"/>
                      <w:szCs w:val="21"/>
                      <w:lang w:val="en-US" w:eastAsia="zh-CN" w:bidi="ar"/>
                    </w:rPr>
                  </w:pPr>
                  <w:r>
                    <w:rPr>
                      <w:rFonts w:hint="eastAsia"/>
                      <w:color w:val="auto"/>
                      <w:kern w:val="0"/>
                      <w:szCs w:val="21"/>
                      <w:lang w:val="en-US" w:eastAsia="zh-CN" w:bidi="ar"/>
                    </w:rPr>
                    <w:t>2.28</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PrEx>
              <w:trPr>
                <w:trHeight w:val="340" w:hRule="atLeast"/>
              </w:trPr>
              <w:tc>
                <w:tcPr>
                  <w:tcW w:w="710" w:type="pct"/>
                  <w:tcBorders>
                    <w:top w:val="single" w:color="auto" w:sz="4" w:space="0"/>
                    <w:left w:val="nil"/>
                    <w:bottom w:val="single" w:color="auto" w:sz="4" w:space="0"/>
                    <w:right w:val="single" w:color="auto" w:sz="4" w:space="0"/>
                  </w:tcBorders>
                  <w:shd w:val="clear" w:color="auto" w:fill="CCE8CF"/>
                  <w:vAlign w:val="center"/>
                </w:tcPr>
                <w:p>
                  <w:pPr>
                    <w:widowControl/>
                    <w:jc w:val="center"/>
                    <w:textAlignment w:val="center"/>
                    <w:rPr>
                      <w:color w:val="auto"/>
                      <w:kern w:val="0"/>
                      <w:szCs w:val="21"/>
                      <w:lang w:bidi="ar"/>
                    </w:rPr>
                  </w:pPr>
                  <w:r>
                    <w:rPr>
                      <w:rFonts w:hint="eastAsia"/>
                      <w:color w:val="auto"/>
                      <w:kern w:val="0"/>
                      <w:szCs w:val="21"/>
                      <w:lang w:bidi="ar"/>
                    </w:rPr>
                    <w:t>200</w:t>
                  </w:r>
                </w:p>
              </w:tc>
              <w:tc>
                <w:tcPr>
                  <w:tcW w:w="882" w:type="pct"/>
                  <w:tcBorders>
                    <w:top w:val="single" w:color="auto" w:sz="4" w:space="0"/>
                    <w:left w:val="single" w:color="auto" w:sz="4" w:space="0"/>
                    <w:bottom w:val="single" w:color="auto" w:sz="4" w:space="0"/>
                    <w:right w:val="single" w:color="auto" w:sz="4" w:space="0"/>
                  </w:tcBorders>
                  <w:shd w:val="clear" w:color="auto" w:fill="CCE8CF"/>
                  <w:vAlign w:val="center"/>
                </w:tcPr>
                <w:p>
                  <w:pPr>
                    <w:widowControl/>
                    <w:jc w:val="center"/>
                    <w:textAlignment w:val="center"/>
                    <w:rPr>
                      <w:rFonts w:hint="eastAsia"/>
                      <w:color w:val="auto"/>
                      <w:kern w:val="0"/>
                      <w:szCs w:val="21"/>
                      <w:lang w:bidi="ar"/>
                    </w:rPr>
                  </w:pPr>
                  <w:r>
                    <w:rPr>
                      <w:rFonts w:hint="eastAsia"/>
                      <w:color w:val="auto"/>
                      <w:kern w:val="0"/>
                      <w:szCs w:val="21"/>
                      <w:lang w:val="en-US" w:eastAsia="zh-CN" w:bidi="ar"/>
                    </w:rPr>
                    <w:t>0.0004</w:t>
                  </w:r>
                </w:p>
              </w:tc>
              <w:tc>
                <w:tcPr>
                  <w:tcW w:w="1030" w:type="pct"/>
                  <w:tcBorders>
                    <w:top w:val="single" w:color="auto" w:sz="4" w:space="0"/>
                    <w:left w:val="single" w:color="auto" w:sz="4" w:space="0"/>
                    <w:bottom w:val="single" w:color="auto" w:sz="4" w:space="0"/>
                    <w:right w:val="nil"/>
                  </w:tcBorders>
                  <w:shd w:val="clear" w:color="auto" w:fill="CCE8CF"/>
                  <w:vAlign w:val="center"/>
                </w:tcPr>
                <w:p>
                  <w:pPr>
                    <w:widowControl/>
                    <w:jc w:val="center"/>
                    <w:textAlignment w:val="center"/>
                    <w:rPr>
                      <w:rFonts w:hint="eastAsia"/>
                      <w:color w:val="auto"/>
                      <w:kern w:val="0"/>
                      <w:szCs w:val="21"/>
                      <w:lang w:bidi="ar"/>
                    </w:rPr>
                  </w:pPr>
                  <w:r>
                    <w:rPr>
                      <w:rFonts w:hint="eastAsia"/>
                      <w:color w:val="auto"/>
                      <w:kern w:val="0"/>
                      <w:szCs w:val="21"/>
                      <w:lang w:val="en-US" w:eastAsia="zh-CN" w:bidi="ar"/>
                    </w:rPr>
                    <w:t>0.02</w:t>
                  </w:r>
                </w:p>
              </w:tc>
              <w:tc>
                <w:tcPr>
                  <w:tcW w:w="1616" w:type="dxa"/>
                  <w:tcBorders>
                    <w:top w:val="single" w:color="auto" w:sz="4" w:space="0"/>
                    <w:left w:val="single" w:color="auto" w:sz="4" w:space="0"/>
                    <w:bottom w:val="single" w:color="auto" w:sz="4" w:space="0"/>
                    <w:right w:val="nil"/>
                  </w:tcBorders>
                  <w:shd w:val="clear" w:color="auto" w:fill="CCE8CF"/>
                  <w:vAlign w:val="center"/>
                </w:tcPr>
                <w:p>
                  <w:pPr>
                    <w:widowControl/>
                    <w:jc w:val="center"/>
                    <w:textAlignment w:val="center"/>
                    <w:rPr>
                      <w:rFonts w:hint="eastAsia"/>
                      <w:color w:val="auto"/>
                      <w:kern w:val="0"/>
                      <w:szCs w:val="21"/>
                      <w:lang w:val="en-US" w:eastAsia="zh-CN" w:bidi="ar"/>
                    </w:rPr>
                  </w:pPr>
                  <w:r>
                    <w:rPr>
                      <w:rFonts w:hint="eastAsia"/>
                      <w:color w:val="auto"/>
                      <w:kern w:val="0"/>
                      <w:szCs w:val="21"/>
                      <w:lang w:val="en-US" w:eastAsia="zh-CN" w:bidi="ar"/>
                    </w:rPr>
                    <w:t>200</w:t>
                  </w:r>
                </w:p>
              </w:tc>
              <w:tc>
                <w:tcPr>
                  <w:tcW w:w="1370" w:type="dxa"/>
                  <w:tcBorders>
                    <w:top w:val="single" w:color="auto" w:sz="4" w:space="0"/>
                    <w:left w:val="single" w:color="auto" w:sz="4" w:space="0"/>
                    <w:bottom w:val="single" w:color="auto" w:sz="4" w:space="0"/>
                    <w:right w:val="nil"/>
                  </w:tcBorders>
                  <w:shd w:val="clear" w:color="auto" w:fill="CCE8CF"/>
                  <w:vAlign w:val="center"/>
                </w:tcPr>
                <w:p>
                  <w:pPr>
                    <w:widowControl/>
                    <w:jc w:val="center"/>
                    <w:textAlignment w:val="center"/>
                    <w:rPr>
                      <w:rFonts w:hint="eastAsia"/>
                      <w:color w:val="auto"/>
                      <w:kern w:val="0"/>
                      <w:szCs w:val="21"/>
                      <w:lang w:val="en-US" w:eastAsia="zh-CN" w:bidi="ar"/>
                    </w:rPr>
                  </w:pPr>
                  <w:r>
                    <w:rPr>
                      <w:rFonts w:hint="eastAsia"/>
                      <w:color w:val="auto"/>
                      <w:kern w:val="0"/>
                      <w:szCs w:val="21"/>
                      <w:lang w:val="en-US" w:eastAsia="zh-CN" w:bidi="ar"/>
                    </w:rPr>
                    <w:t>0.0089</w:t>
                  </w:r>
                </w:p>
              </w:tc>
              <w:tc>
                <w:tcPr>
                  <w:tcW w:w="1134" w:type="dxa"/>
                  <w:tcBorders>
                    <w:top w:val="single" w:color="auto" w:sz="4" w:space="0"/>
                    <w:left w:val="single" w:color="auto" w:sz="4" w:space="0"/>
                    <w:bottom w:val="single" w:color="auto" w:sz="4" w:space="0"/>
                    <w:right w:val="nil"/>
                  </w:tcBorders>
                  <w:shd w:val="clear" w:color="auto" w:fill="CCE8CF"/>
                  <w:vAlign w:val="center"/>
                </w:tcPr>
                <w:p>
                  <w:pPr>
                    <w:widowControl/>
                    <w:jc w:val="center"/>
                    <w:textAlignment w:val="center"/>
                    <w:rPr>
                      <w:rFonts w:hint="eastAsia"/>
                      <w:color w:val="auto"/>
                      <w:kern w:val="0"/>
                      <w:szCs w:val="21"/>
                      <w:lang w:val="en-US" w:eastAsia="zh-CN" w:bidi="ar"/>
                    </w:rPr>
                  </w:pPr>
                  <w:r>
                    <w:rPr>
                      <w:rFonts w:hint="eastAsia"/>
                      <w:color w:val="auto"/>
                      <w:kern w:val="0"/>
                      <w:szCs w:val="21"/>
                      <w:lang w:val="en-US" w:eastAsia="zh-CN" w:bidi="ar"/>
                    </w:rPr>
                    <w:t>1.97</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PrEx>
              <w:trPr>
                <w:trHeight w:val="340" w:hRule="atLeast"/>
              </w:trPr>
              <w:tc>
                <w:tcPr>
                  <w:tcW w:w="710" w:type="pct"/>
                  <w:tcBorders>
                    <w:top w:val="single" w:color="auto" w:sz="4" w:space="0"/>
                    <w:left w:val="nil"/>
                    <w:bottom w:val="single" w:color="auto" w:sz="4" w:space="0"/>
                    <w:right w:val="single" w:color="auto" w:sz="4" w:space="0"/>
                  </w:tcBorders>
                  <w:shd w:val="clear" w:color="auto" w:fill="CCE8CF"/>
                  <w:vAlign w:val="center"/>
                </w:tcPr>
                <w:p>
                  <w:pPr>
                    <w:widowControl/>
                    <w:jc w:val="center"/>
                    <w:textAlignment w:val="center"/>
                    <w:rPr>
                      <w:color w:val="auto"/>
                      <w:kern w:val="0"/>
                      <w:szCs w:val="21"/>
                      <w:lang w:bidi="ar"/>
                    </w:rPr>
                  </w:pPr>
                  <w:r>
                    <w:rPr>
                      <w:rFonts w:hint="eastAsia"/>
                      <w:color w:val="auto"/>
                      <w:kern w:val="0"/>
                      <w:szCs w:val="21"/>
                      <w:lang w:bidi="ar"/>
                    </w:rPr>
                    <w:t>225</w:t>
                  </w:r>
                </w:p>
              </w:tc>
              <w:tc>
                <w:tcPr>
                  <w:tcW w:w="882" w:type="pct"/>
                  <w:tcBorders>
                    <w:top w:val="single" w:color="auto" w:sz="4" w:space="0"/>
                    <w:left w:val="single" w:color="auto" w:sz="4" w:space="0"/>
                    <w:bottom w:val="single" w:color="auto" w:sz="4" w:space="0"/>
                    <w:right w:val="single" w:color="auto" w:sz="4" w:space="0"/>
                  </w:tcBorders>
                  <w:shd w:val="clear" w:color="auto" w:fill="CCE8CF"/>
                  <w:vAlign w:val="center"/>
                </w:tcPr>
                <w:p>
                  <w:pPr>
                    <w:widowControl/>
                    <w:jc w:val="center"/>
                    <w:textAlignment w:val="center"/>
                    <w:rPr>
                      <w:rFonts w:hint="eastAsia"/>
                      <w:color w:val="auto"/>
                      <w:kern w:val="0"/>
                      <w:szCs w:val="21"/>
                      <w:lang w:bidi="ar"/>
                    </w:rPr>
                  </w:pPr>
                  <w:r>
                    <w:rPr>
                      <w:rFonts w:hint="eastAsia"/>
                      <w:color w:val="auto"/>
                      <w:kern w:val="0"/>
                      <w:szCs w:val="21"/>
                      <w:lang w:val="en-US" w:eastAsia="zh-CN" w:bidi="ar"/>
                    </w:rPr>
                    <w:t>0.0004</w:t>
                  </w:r>
                </w:p>
              </w:tc>
              <w:tc>
                <w:tcPr>
                  <w:tcW w:w="1030" w:type="pct"/>
                  <w:tcBorders>
                    <w:top w:val="single" w:color="auto" w:sz="4" w:space="0"/>
                    <w:left w:val="single" w:color="auto" w:sz="4" w:space="0"/>
                    <w:bottom w:val="single" w:color="auto" w:sz="4" w:space="0"/>
                    <w:right w:val="nil"/>
                  </w:tcBorders>
                  <w:shd w:val="clear" w:color="auto" w:fill="CCE8CF"/>
                  <w:vAlign w:val="center"/>
                </w:tcPr>
                <w:p>
                  <w:pPr>
                    <w:widowControl/>
                    <w:jc w:val="center"/>
                    <w:textAlignment w:val="center"/>
                    <w:rPr>
                      <w:rFonts w:hint="eastAsia"/>
                      <w:color w:val="auto"/>
                      <w:kern w:val="0"/>
                      <w:szCs w:val="21"/>
                      <w:lang w:bidi="ar"/>
                    </w:rPr>
                  </w:pPr>
                  <w:r>
                    <w:rPr>
                      <w:rFonts w:hint="eastAsia"/>
                      <w:color w:val="auto"/>
                      <w:kern w:val="0"/>
                      <w:szCs w:val="21"/>
                      <w:lang w:val="en-US" w:eastAsia="zh-CN" w:bidi="ar"/>
                    </w:rPr>
                    <w:t>0.02</w:t>
                  </w:r>
                </w:p>
              </w:tc>
              <w:tc>
                <w:tcPr>
                  <w:tcW w:w="1616" w:type="dxa"/>
                  <w:tcBorders>
                    <w:top w:val="single" w:color="auto" w:sz="4" w:space="0"/>
                    <w:left w:val="single" w:color="auto" w:sz="4" w:space="0"/>
                    <w:bottom w:val="single" w:color="auto" w:sz="4" w:space="0"/>
                    <w:right w:val="nil"/>
                  </w:tcBorders>
                  <w:shd w:val="clear" w:color="auto" w:fill="CCE8CF"/>
                  <w:vAlign w:val="center"/>
                </w:tcPr>
                <w:p>
                  <w:pPr>
                    <w:widowControl/>
                    <w:jc w:val="center"/>
                    <w:textAlignment w:val="center"/>
                    <w:rPr>
                      <w:rFonts w:hint="eastAsia"/>
                      <w:color w:val="auto"/>
                      <w:kern w:val="0"/>
                      <w:szCs w:val="21"/>
                      <w:lang w:val="en-US" w:eastAsia="zh-CN" w:bidi="ar"/>
                    </w:rPr>
                  </w:pPr>
                  <w:r>
                    <w:rPr>
                      <w:rFonts w:hint="eastAsia"/>
                      <w:color w:val="auto"/>
                      <w:kern w:val="0"/>
                      <w:szCs w:val="21"/>
                      <w:lang w:val="en-US" w:eastAsia="zh-CN" w:bidi="ar"/>
                    </w:rPr>
                    <w:t>225</w:t>
                  </w:r>
                </w:p>
              </w:tc>
              <w:tc>
                <w:tcPr>
                  <w:tcW w:w="1370" w:type="dxa"/>
                  <w:tcBorders>
                    <w:top w:val="single" w:color="auto" w:sz="4" w:space="0"/>
                    <w:left w:val="single" w:color="auto" w:sz="4" w:space="0"/>
                    <w:bottom w:val="single" w:color="auto" w:sz="4" w:space="0"/>
                    <w:right w:val="nil"/>
                  </w:tcBorders>
                  <w:shd w:val="clear" w:color="auto" w:fill="CCE8CF"/>
                  <w:vAlign w:val="center"/>
                </w:tcPr>
                <w:p>
                  <w:pPr>
                    <w:widowControl/>
                    <w:jc w:val="center"/>
                    <w:textAlignment w:val="center"/>
                    <w:rPr>
                      <w:rFonts w:hint="eastAsia"/>
                      <w:color w:val="auto"/>
                      <w:kern w:val="0"/>
                      <w:szCs w:val="21"/>
                      <w:lang w:val="en-US" w:eastAsia="zh-CN" w:bidi="ar"/>
                    </w:rPr>
                  </w:pPr>
                  <w:r>
                    <w:rPr>
                      <w:rFonts w:hint="eastAsia"/>
                      <w:color w:val="auto"/>
                      <w:kern w:val="0"/>
                      <w:szCs w:val="21"/>
                      <w:lang w:val="en-US" w:eastAsia="zh-CN" w:bidi="ar"/>
                    </w:rPr>
                    <w:t>0.0078</w:t>
                  </w:r>
                </w:p>
              </w:tc>
              <w:tc>
                <w:tcPr>
                  <w:tcW w:w="1134" w:type="dxa"/>
                  <w:tcBorders>
                    <w:top w:val="single" w:color="auto" w:sz="4" w:space="0"/>
                    <w:left w:val="single" w:color="auto" w:sz="4" w:space="0"/>
                    <w:bottom w:val="single" w:color="auto" w:sz="4" w:space="0"/>
                    <w:right w:val="nil"/>
                  </w:tcBorders>
                  <w:shd w:val="clear" w:color="auto" w:fill="CCE8CF"/>
                  <w:vAlign w:val="center"/>
                </w:tcPr>
                <w:p>
                  <w:pPr>
                    <w:widowControl/>
                    <w:jc w:val="center"/>
                    <w:textAlignment w:val="center"/>
                    <w:rPr>
                      <w:rFonts w:hint="eastAsia"/>
                      <w:color w:val="auto"/>
                      <w:kern w:val="0"/>
                      <w:szCs w:val="21"/>
                      <w:lang w:val="en-US" w:eastAsia="zh-CN" w:bidi="ar"/>
                    </w:rPr>
                  </w:pPr>
                  <w:r>
                    <w:rPr>
                      <w:rFonts w:hint="eastAsia"/>
                      <w:color w:val="auto"/>
                      <w:kern w:val="0"/>
                      <w:szCs w:val="21"/>
                      <w:lang w:val="en-US" w:eastAsia="zh-CN" w:bidi="ar"/>
                    </w:rPr>
                    <w:t>1.73</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PrEx>
              <w:trPr>
                <w:trHeight w:val="340" w:hRule="atLeast"/>
              </w:trPr>
              <w:tc>
                <w:tcPr>
                  <w:tcW w:w="710" w:type="pct"/>
                  <w:tcBorders>
                    <w:top w:val="single" w:color="auto" w:sz="4" w:space="0"/>
                    <w:left w:val="nil"/>
                    <w:bottom w:val="single" w:color="auto" w:sz="4" w:space="0"/>
                    <w:right w:val="single" w:color="auto" w:sz="4" w:space="0"/>
                  </w:tcBorders>
                  <w:shd w:val="clear" w:color="auto" w:fill="CCE8CF"/>
                  <w:vAlign w:val="center"/>
                </w:tcPr>
                <w:p>
                  <w:pPr>
                    <w:widowControl/>
                    <w:jc w:val="center"/>
                    <w:textAlignment w:val="center"/>
                    <w:rPr>
                      <w:color w:val="auto"/>
                      <w:kern w:val="0"/>
                      <w:szCs w:val="21"/>
                      <w:lang w:bidi="ar"/>
                    </w:rPr>
                  </w:pPr>
                  <w:r>
                    <w:rPr>
                      <w:rFonts w:hint="eastAsia"/>
                      <w:color w:val="auto"/>
                      <w:kern w:val="0"/>
                      <w:szCs w:val="21"/>
                      <w:lang w:bidi="ar"/>
                    </w:rPr>
                    <w:t>250</w:t>
                  </w:r>
                </w:p>
              </w:tc>
              <w:tc>
                <w:tcPr>
                  <w:tcW w:w="882" w:type="pct"/>
                  <w:tcBorders>
                    <w:top w:val="single" w:color="auto" w:sz="4" w:space="0"/>
                    <w:left w:val="single" w:color="auto" w:sz="4" w:space="0"/>
                    <w:bottom w:val="single" w:color="auto" w:sz="4" w:space="0"/>
                    <w:right w:val="single" w:color="auto" w:sz="4" w:space="0"/>
                  </w:tcBorders>
                  <w:shd w:val="clear" w:color="auto" w:fill="CCE8CF"/>
                  <w:vAlign w:val="center"/>
                </w:tcPr>
                <w:p>
                  <w:pPr>
                    <w:widowControl/>
                    <w:jc w:val="center"/>
                    <w:textAlignment w:val="center"/>
                    <w:rPr>
                      <w:rFonts w:hint="eastAsia"/>
                      <w:color w:val="auto"/>
                      <w:kern w:val="0"/>
                      <w:szCs w:val="21"/>
                      <w:lang w:bidi="ar"/>
                    </w:rPr>
                  </w:pPr>
                  <w:r>
                    <w:rPr>
                      <w:rFonts w:hint="eastAsia"/>
                      <w:color w:val="auto"/>
                      <w:kern w:val="0"/>
                      <w:szCs w:val="21"/>
                      <w:lang w:val="en-US" w:eastAsia="zh-CN" w:bidi="ar"/>
                    </w:rPr>
                    <w:t>0.0003</w:t>
                  </w:r>
                </w:p>
              </w:tc>
              <w:tc>
                <w:tcPr>
                  <w:tcW w:w="1030" w:type="pct"/>
                  <w:tcBorders>
                    <w:top w:val="single" w:color="auto" w:sz="4" w:space="0"/>
                    <w:left w:val="single" w:color="auto" w:sz="4" w:space="0"/>
                    <w:bottom w:val="single" w:color="auto" w:sz="4" w:space="0"/>
                    <w:right w:val="nil"/>
                  </w:tcBorders>
                  <w:shd w:val="clear" w:color="auto" w:fill="CCE8CF"/>
                  <w:vAlign w:val="center"/>
                </w:tcPr>
                <w:p>
                  <w:pPr>
                    <w:widowControl/>
                    <w:jc w:val="center"/>
                    <w:textAlignment w:val="center"/>
                    <w:rPr>
                      <w:rFonts w:hint="eastAsia"/>
                      <w:color w:val="auto"/>
                      <w:kern w:val="0"/>
                      <w:szCs w:val="21"/>
                      <w:lang w:bidi="ar"/>
                    </w:rPr>
                  </w:pPr>
                  <w:r>
                    <w:rPr>
                      <w:rFonts w:hint="eastAsia"/>
                      <w:color w:val="auto"/>
                      <w:kern w:val="0"/>
                      <w:szCs w:val="21"/>
                      <w:lang w:val="en-US" w:eastAsia="zh-CN" w:bidi="ar"/>
                    </w:rPr>
                    <w:t>0.02</w:t>
                  </w:r>
                </w:p>
              </w:tc>
              <w:tc>
                <w:tcPr>
                  <w:tcW w:w="1616" w:type="dxa"/>
                  <w:tcBorders>
                    <w:top w:val="single" w:color="auto" w:sz="4" w:space="0"/>
                    <w:left w:val="single" w:color="auto" w:sz="4" w:space="0"/>
                    <w:bottom w:val="single" w:color="auto" w:sz="4" w:space="0"/>
                    <w:right w:val="nil"/>
                  </w:tcBorders>
                  <w:shd w:val="clear" w:color="auto" w:fill="CCE8CF"/>
                  <w:vAlign w:val="center"/>
                </w:tcPr>
                <w:p>
                  <w:pPr>
                    <w:widowControl/>
                    <w:jc w:val="center"/>
                    <w:textAlignment w:val="center"/>
                    <w:rPr>
                      <w:rFonts w:hint="eastAsia"/>
                      <w:color w:val="auto"/>
                      <w:kern w:val="0"/>
                      <w:szCs w:val="21"/>
                      <w:lang w:val="en-US" w:eastAsia="zh-CN" w:bidi="ar"/>
                    </w:rPr>
                  </w:pPr>
                  <w:r>
                    <w:rPr>
                      <w:rFonts w:hint="eastAsia"/>
                      <w:color w:val="auto"/>
                      <w:kern w:val="0"/>
                      <w:szCs w:val="21"/>
                      <w:lang w:val="en-US" w:eastAsia="zh-CN" w:bidi="ar"/>
                    </w:rPr>
                    <w:t>250</w:t>
                  </w:r>
                </w:p>
              </w:tc>
              <w:tc>
                <w:tcPr>
                  <w:tcW w:w="1370" w:type="dxa"/>
                  <w:tcBorders>
                    <w:top w:val="single" w:color="auto" w:sz="4" w:space="0"/>
                    <w:left w:val="single" w:color="auto" w:sz="4" w:space="0"/>
                    <w:bottom w:val="single" w:color="auto" w:sz="4" w:space="0"/>
                    <w:right w:val="nil"/>
                  </w:tcBorders>
                  <w:shd w:val="clear" w:color="auto" w:fill="CCE8CF"/>
                  <w:vAlign w:val="center"/>
                </w:tcPr>
                <w:p>
                  <w:pPr>
                    <w:widowControl/>
                    <w:jc w:val="center"/>
                    <w:textAlignment w:val="center"/>
                    <w:rPr>
                      <w:rFonts w:hint="eastAsia"/>
                      <w:color w:val="auto"/>
                      <w:kern w:val="0"/>
                      <w:szCs w:val="21"/>
                      <w:lang w:val="en-US" w:eastAsia="zh-CN" w:bidi="ar"/>
                    </w:rPr>
                  </w:pPr>
                  <w:r>
                    <w:rPr>
                      <w:rFonts w:hint="eastAsia"/>
                      <w:color w:val="auto"/>
                      <w:kern w:val="0"/>
                      <w:szCs w:val="21"/>
                      <w:lang w:val="en-US" w:eastAsia="zh-CN" w:bidi="ar"/>
                    </w:rPr>
                    <w:t>0.0069</w:t>
                  </w:r>
                </w:p>
              </w:tc>
              <w:tc>
                <w:tcPr>
                  <w:tcW w:w="1134" w:type="dxa"/>
                  <w:tcBorders>
                    <w:top w:val="single" w:color="auto" w:sz="4" w:space="0"/>
                    <w:left w:val="single" w:color="auto" w:sz="4" w:space="0"/>
                    <w:bottom w:val="single" w:color="auto" w:sz="4" w:space="0"/>
                    <w:right w:val="nil"/>
                  </w:tcBorders>
                  <w:shd w:val="clear" w:color="auto" w:fill="CCE8CF"/>
                  <w:vAlign w:val="center"/>
                </w:tcPr>
                <w:p>
                  <w:pPr>
                    <w:widowControl/>
                    <w:jc w:val="center"/>
                    <w:textAlignment w:val="center"/>
                    <w:rPr>
                      <w:rFonts w:hint="eastAsia"/>
                      <w:color w:val="auto"/>
                      <w:kern w:val="0"/>
                      <w:szCs w:val="21"/>
                      <w:lang w:val="en-US" w:eastAsia="zh-CN" w:bidi="ar"/>
                    </w:rPr>
                  </w:pPr>
                  <w:r>
                    <w:rPr>
                      <w:rFonts w:hint="eastAsia"/>
                      <w:color w:val="auto"/>
                      <w:kern w:val="0"/>
                      <w:szCs w:val="21"/>
                      <w:lang w:val="en-US" w:eastAsia="zh-CN" w:bidi="ar"/>
                    </w:rPr>
                    <w:t>1.53</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PrEx>
              <w:trPr>
                <w:trHeight w:val="340" w:hRule="atLeast"/>
              </w:trPr>
              <w:tc>
                <w:tcPr>
                  <w:tcW w:w="710" w:type="pct"/>
                  <w:tcBorders>
                    <w:top w:val="single" w:color="auto" w:sz="4" w:space="0"/>
                    <w:left w:val="nil"/>
                    <w:bottom w:val="single" w:color="auto" w:sz="4" w:space="0"/>
                    <w:right w:val="single" w:color="auto" w:sz="4" w:space="0"/>
                  </w:tcBorders>
                  <w:shd w:val="clear" w:color="auto" w:fill="CCE8CF"/>
                  <w:vAlign w:val="center"/>
                </w:tcPr>
                <w:p>
                  <w:pPr>
                    <w:widowControl/>
                    <w:jc w:val="center"/>
                    <w:textAlignment w:val="center"/>
                    <w:rPr>
                      <w:color w:val="auto"/>
                      <w:kern w:val="0"/>
                      <w:szCs w:val="21"/>
                      <w:lang w:bidi="ar"/>
                    </w:rPr>
                  </w:pPr>
                  <w:r>
                    <w:rPr>
                      <w:rFonts w:hint="eastAsia"/>
                      <w:color w:val="auto"/>
                      <w:kern w:val="0"/>
                      <w:szCs w:val="21"/>
                      <w:lang w:bidi="ar"/>
                    </w:rPr>
                    <w:t>275</w:t>
                  </w:r>
                </w:p>
              </w:tc>
              <w:tc>
                <w:tcPr>
                  <w:tcW w:w="882" w:type="pct"/>
                  <w:tcBorders>
                    <w:top w:val="single" w:color="auto" w:sz="4" w:space="0"/>
                    <w:left w:val="single" w:color="auto" w:sz="4" w:space="0"/>
                    <w:bottom w:val="single" w:color="auto" w:sz="4" w:space="0"/>
                    <w:right w:val="single" w:color="auto" w:sz="4" w:space="0"/>
                  </w:tcBorders>
                  <w:shd w:val="clear" w:color="auto" w:fill="CCE8CF"/>
                  <w:vAlign w:val="center"/>
                </w:tcPr>
                <w:p>
                  <w:pPr>
                    <w:widowControl/>
                    <w:jc w:val="center"/>
                    <w:textAlignment w:val="center"/>
                    <w:rPr>
                      <w:rFonts w:hint="eastAsia"/>
                      <w:color w:val="auto"/>
                      <w:kern w:val="0"/>
                      <w:szCs w:val="21"/>
                      <w:lang w:bidi="ar"/>
                    </w:rPr>
                  </w:pPr>
                  <w:r>
                    <w:rPr>
                      <w:rFonts w:hint="eastAsia"/>
                      <w:color w:val="auto"/>
                      <w:kern w:val="0"/>
                      <w:szCs w:val="21"/>
                      <w:lang w:val="en-US" w:eastAsia="zh-CN" w:bidi="ar"/>
                    </w:rPr>
                    <w:t>0.0003</w:t>
                  </w:r>
                </w:p>
              </w:tc>
              <w:tc>
                <w:tcPr>
                  <w:tcW w:w="1030" w:type="pct"/>
                  <w:tcBorders>
                    <w:top w:val="single" w:color="auto" w:sz="4" w:space="0"/>
                    <w:left w:val="single" w:color="auto" w:sz="4" w:space="0"/>
                    <w:bottom w:val="single" w:color="auto" w:sz="4" w:space="0"/>
                    <w:right w:val="nil"/>
                  </w:tcBorders>
                  <w:shd w:val="clear" w:color="auto" w:fill="CCE8CF"/>
                  <w:vAlign w:val="center"/>
                </w:tcPr>
                <w:p>
                  <w:pPr>
                    <w:widowControl/>
                    <w:jc w:val="center"/>
                    <w:textAlignment w:val="center"/>
                    <w:rPr>
                      <w:rFonts w:hint="eastAsia"/>
                      <w:color w:val="auto"/>
                      <w:kern w:val="0"/>
                      <w:szCs w:val="21"/>
                      <w:lang w:bidi="ar"/>
                    </w:rPr>
                  </w:pPr>
                  <w:r>
                    <w:rPr>
                      <w:rFonts w:hint="eastAsia"/>
                      <w:color w:val="auto"/>
                      <w:kern w:val="0"/>
                      <w:szCs w:val="21"/>
                      <w:lang w:val="en-US" w:eastAsia="zh-CN" w:bidi="ar"/>
                    </w:rPr>
                    <w:t>0.01</w:t>
                  </w:r>
                </w:p>
              </w:tc>
              <w:tc>
                <w:tcPr>
                  <w:tcW w:w="1616" w:type="dxa"/>
                  <w:tcBorders>
                    <w:top w:val="single" w:color="auto" w:sz="4" w:space="0"/>
                    <w:left w:val="single" w:color="auto" w:sz="4" w:space="0"/>
                    <w:bottom w:val="single" w:color="auto" w:sz="4" w:space="0"/>
                    <w:right w:val="nil"/>
                  </w:tcBorders>
                  <w:shd w:val="clear" w:color="auto" w:fill="CCE8CF"/>
                  <w:vAlign w:val="center"/>
                </w:tcPr>
                <w:p>
                  <w:pPr>
                    <w:widowControl/>
                    <w:jc w:val="center"/>
                    <w:textAlignment w:val="center"/>
                    <w:rPr>
                      <w:rFonts w:hint="eastAsia"/>
                      <w:color w:val="auto"/>
                      <w:kern w:val="0"/>
                      <w:szCs w:val="21"/>
                      <w:lang w:val="en-US" w:eastAsia="zh-CN" w:bidi="ar"/>
                    </w:rPr>
                  </w:pPr>
                  <w:r>
                    <w:rPr>
                      <w:rFonts w:hint="eastAsia"/>
                      <w:color w:val="auto"/>
                      <w:kern w:val="0"/>
                      <w:szCs w:val="21"/>
                      <w:lang w:val="en-US" w:eastAsia="zh-CN" w:bidi="ar"/>
                    </w:rPr>
                    <w:t>275</w:t>
                  </w:r>
                </w:p>
              </w:tc>
              <w:tc>
                <w:tcPr>
                  <w:tcW w:w="1370" w:type="dxa"/>
                  <w:tcBorders>
                    <w:top w:val="single" w:color="auto" w:sz="4" w:space="0"/>
                    <w:left w:val="single" w:color="auto" w:sz="4" w:space="0"/>
                    <w:bottom w:val="single" w:color="auto" w:sz="4" w:space="0"/>
                    <w:right w:val="nil"/>
                  </w:tcBorders>
                  <w:shd w:val="clear" w:color="auto" w:fill="CCE8CF"/>
                  <w:vAlign w:val="center"/>
                </w:tcPr>
                <w:p>
                  <w:pPr>
                    <w:widowControl/>
                    <w:jc w:val="center"/>
                    <w:textAlignment w:val="center"/>
                    <w:rPr>
                      <w:rFonts w:hint="eastAsia"/>
                      <w:color w:val="auto"/>
                      <w:kern w:val="0"/>
                      <w:szCs w:val="21"/>
                      <w:lang w:val="en-US" w:eastAsia="zh-CN" w:bidi="ar"/>
                    </w:rPr>
                  </w:pPr>
                  <w:r>
                    <w:rPr>
                      <w:rFonts w:hint="eastAsia"/>
                      <w:color w:val="auto"/>
                      <w:kern w:val="0"/>
                      <w:szCs w:val="21"/>
                      <w:lang w:val="en-US" w:eastAsia="zh-CN" w:bidi="ar"/>
                    </w:rPr>
                    <w:t>0.0062</w:t>
                  </w:r>
                </w:p>
              </w:tc>
              <w:tc>
                <w:tcPr>
                  <w:tcW w:w="1134" w:type="dxa"/>
                  <w:tcBorders>
                    <w:top w:val="single" w:color="auto" w:sz="4" w:space="0"/>
                    <w:left w:val="single" w:color="auto" w:sz="4" w:space="0"/>
                    <w:bottom w:val="single" w:color="auto" w:sz="4" w:space="0"/>
                    <w:right w:val="nil"/>
                  </w:tcBorders>
                  <w:shd w:val="clear" w:color="auto" w:fill="CCE8CF"/>
                  <w:vAlign w:val="center"/>
                </w:tcPr>
                <w:p>
                  <w:pPr>
                    <w:widowControl/>
                    <w:jc w:val="center"/>
                    <w:textAlignment w:val="center"/>
                    <w:rPr>
                      <w:rFonts w:hint="eastAsia"/>
                      <w:color w:val="auto"/>
                      <w:kern w:val="0"/>
                      <w:szCs w:val="21"/>
                      <w:lang w:val="en-US" w:eastAsia="zh-CN" w:bidi="ar"/>
                    </w:rPr>
                  </w:pPr>
                  <w:r>
                    <w:rPr>
                      <w:rFonts w:hint="eastAsia"/>
                      <w:color w:val="auto"/>
                      <w:kern w:val="0"/>
                      <w:szCs w:val="21"/>
                      <w:lang w:val="en-US" w:eastAsia="zh-CN" w:bidi="ar"/>
                    </w:rPr>
                    <w:t>1.37</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PrEx>
              <w:trPr>
                <w:trHeight w:val="340" w:hRule="atLeast"/>
              </w:trPr>
              <w:tc>
                <w:tcPr>
                  <w:tcW w:w="710" w:type="pct"/>
                  <w:tcBorders>
                    <w:top w:val="single" w:color="auto" w:sz="4" w:space="0"/>
                    <w:left w:val="nil"/>
                    <w:bottom w:val="single" w:color="auto" w:sz="4" w:space="0"/>
                    <w:right w:val="single" w:color="auto" w:sz="4" w:space="0"/>
                  </w:tcBorders>
                  <w:shd w:val="clear" w:color="auto" w:fill="CCE8CF"/>
                  <w:vAlign w:val="center"/>
                </w:tcPr>
                <w:p>
                  <w:pPr>
                    <w:widowControl/>
                    <w:jc w:val="center"/>
                    <w:textAlignment w:val="center"/>
                    <w:rPr>
                      <w:color w:val="auto"/>
                      <w:kern w:val="0"/>
                      <w:szCs w:val="21"/>
                      <w:lang w:bidi="ar"/>
                    </w:rPr>
                  </w:pPr>
                  <w:r>
                    <w:rPr>
                      <w:rFonts w:hint="eastAsia"/>
                      <w:color w:val="auto"/>
                      <w:kern w:val="0"/>
                      <w:szCs w:val="21"/>
                      <w:lang w:bidi="ar"/>
                    </w:rPr>
                    <w:t>300</w:t>
                  </w:r>
                </w:p>
              </w:tc>
              <w:tc>
                <w:tcPr>
                  <w:tcW w:w="882" w:type="pct"/>
                  <w:tcBorders>
                    <w:top w:val="single" w:color="auto" w:sz="4" w:space="0"/>
                    <w:left w:val="single" w:color="auto" w:sz="4" w:space="0"/>
                    <w:bottom w:val="single" w:color="auto" w:sz="4" w:space="0"/>
                    <w:right w:val="single" w:color="auto" w:sz="4" w:space="0"/>
                  </w:tcBorders>
                  <w:shd w:val="clear" w:color="auto" w:fill="CCE8CF"/>
                  <w:vAlign w:val="center"/>
                </w:tcPr>
                <w:p>
                  <w:pPr>
                    <w:widowControl/>
                    <w:jc w:val="center"/>
                    <w:textAlignment w:val="center"/>
                    <w:rPr>
                      <w:rFonts w:hint="eastAsia"/>
                      <w:color w:val="auto"/>
                      <w:kern w:val="0"/>
                      <w:szCs w:val="21"/>
                      <w:lang w:bidi="ar"/>
                    </w:rPr>
                  </w:pPr>
                  <w:r>
                    <w:rPr>
                      <w:rFonts w:hint="eastAsia"/>
                      <w:color w:val="auto"/>
                      <w:kern w:val="0"/>
                      <w:szCs w:val="21"/>
                      <w:lang w:val="en-US" w:eastAsia="zh-CN" w:bidi="ar"/>
                    </w:rPr>
                    <w:t>0.0003</w:t>
                  </w:r>
                </w:p>
              </w:tc>
              <w:tc>
                <w:tcPr>
                  <w:tcW w:w="1030" w:type="pct"/>
                  <w:tcBorders>
                    <w:top w:val="single" w:color="auto" w:sz="4" w:space="0"/>
                    <w:left w:val="single" w:color="auto" w:sz="4" w:space="0"/>
                    <w:bottom w:val="single" w:color="auto" w:sz="4" w:space="0"/>
                    <w:right w:val="nil"/>
                  </w:tcBorders>
                  <w:shd w:val="clear" w:color="auto" w:fill="CCE8CF"/>
                  <w:vAlign w:val="center"/>
                </w:tcPr>
                <w:p>
                  <w:pPr>
                    <w:widowControl/>
                    <w:jc w:val="center"/>
                    <w:textAlignment w:val="center"/>
                    <w:rPr>
                      <w:rFonts w:hint="eastAsia"/>
                      <w:color w:val="auto"/>
                      <w:kern w:val="0"/>
                      <w:szCs w:val="21"/>
                      <w:lang w:bidi="ar"/>
                    </w:rPr>
                  </w:pPr>
                  <w:r>
                    <w:rPr>
                      <w:rFonts w:hint="eastAsia"/>
                      <w:color w:val="auto"/>
                      <w:kern w:val="0"/>
                      <w:szCs w:val="21"/>
                      <w:lang w:val="en-US" w:eastAsia="zh-CN" w:bidi="ar"/>
                    </w:rPr>
                    <w:t>0.01</w:t>
                  </w:r>
                </w:p>
              </w:tc>
              <w:tc>
                <w:tcPr>
                  <w:tcW w:w="1616" w:type="dxa"/>
                  <w:tcBorders>
                    <w:top w:val="single" w:color="auto" w:sz="4" w:space="0"/>
                    <w:left w:val="single" w:color="auto" w:sz="4" w:space="0"/>
                    <w:bottom w:val="single" w:color="auto" w:sz="4" w:space="0"/>
                    <w:right w:val="nil"/>
                  </w:tcBorders>
                  <w:shd w:val="clear" w:color="auto" w:fill="CCE8CF"/>
                  <w:vAlign w:val="center"/>
                </w:tcPr>
                <w:p>
                  <w:pPr>
                    <w:widowControl/>
                    <w:jc w:val="center"/>
                    <w:textAlignment w:val="center"/>
                    <w:rPr>
                      <w:rFonts w:hint="eastAsia"/>
                      <w:color w:val="auto"/>
                      <w:kern w:val="0"/>
                      <w:szCs w:val="21"/>
                      <w:lang w:val="en-US" w:eastAsia="zh-CN" w:bidi="ar"/>
                    </w:rPr>
                  </w:pPr>
                  <w:r>
                    <w:rPr>
                      <w:rFonts w:hint="eastAsia"/>
                      <w:color w:val="auto"/>
                      <w:kern w:val="0"/>
                      <w:szCs w:val="21"/>
                      <w:lang w:val="en-US" w:eastAsia="zh-CN" w:bidi="ar"/>
                    </w:rPr>
                    <w:t>300</w:t>
                  </w:r>
                </w:p>
              </w:tc>
              <w:tc>
                <w:tcPr>
                  <w:tcW w:w="1370" w:type="dxa"/>
                  <w:tcBorders>
                    <w:top w:val="single" w:color="auto" w:sz="4" w:space="0"/>
                    <w:left w:val="single" w:color="auto" w:sz="4" w:space="0"/>
                    <w:bottom w:val="single" w:color="auto" w:sz="4" w:space="0"/>
                    <w:right w:val="nil"/>
                  </w:tcBorders>
                  <w:shd w:val="clear" w:color="auto" w:fill="CCE8CF"/>
                  <w:vAlign w:val="center"/>
                </w:tcPr>
                <w:p>
                  <w:pPr>
                    <w:widowControl/>
                    <w:jc w:val="center"/>
                    <w:textAlignment w:val="center"/>
                    <w:rPr>
                      <w:rFonts w:hint="eastAsia"/>
                      <w:color w:val="auto"/>
                      <w:kern w:val="0"/>
                      <w:szCs w:val="21"/>
                      <w:lang w:val="en-US" w:eastAsia="zh-CN" w:bidi="ar"/>
                    </w:rPr>
                  </w:pPr>
                  <w:r>
                    <w:rPr>
                      <w:rFonts w:hint="eastAsia"/>
                      <w:color w:val="auto"/>
                      <w:kern w:val="0"/>
                      <w:szCs w:val="21"/>
                      <w:lang w:val="en-US" w:eastAsia="zh-CN" w:bidi="ar"/>
                    </w:rPr>
                    <w:t>0.0056</w:t>
                  </w:r>
                </w:p>
              </w:tc>
              <w:tc>
                <w:tcPr>
                  <w:tcW w:w="1134" w:type="dxa"/>
                  <w:tcBorders>
                    <w:top w:val="single" w:color="auto" w:sz="4" w:space="0"/>
                    <w:left w:val="single" w:color="auto" w:sz="4" w:space="0"/>
                    <w:bottom w:val="single" w:color="auto" w:sz="4" w:space="0"/>
                    <w:right w:val="nil"/>
                  </w:tcBorders>
                  <w:shd w:val="clear" w:color="auto" w:fill="CCE8CF"/>
                  <w:vAlign w:val="center"/>
                </w:tcPr>
                <w:p>
                  <w:pPr>
                    <w:widowControl/>
                    <w:jc w:val="center"/>
                    <w:textAlignment w:val="center"/>
                    <w:rPr>
                      <w:rFonts w:hint="eastAsia"/>
                      <w:color w:val="auto"/>
                      <w:kern w:val="0"/>
                      <w:szCs w:val="21"/>
                      <w:lang w:val="en-US" w:eastAsia="zh-CN" w:bidi="ar"/>
                    </w:rPr>
                  </w:pPr>
                  <w:r>
                    <w:rPr>
                      <w:rFonts w:hint="eastAsia"/>
                      <w:color w:val="auto"/>
                      <w:kern w:val="0"/>
                      <w:szCs w:val="21"/>
                      <w:lang w:val="en-US" w:eastAsia="zh-CN" w:bidi="ar"/>
                    </w:rPr>
                    <w:t>1.24</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PrEx>
              <w:trPr>
                <w:trHeight w:val="340" w:hRule="atLeast"/>
              </w:trPr>
              <w:tc>
                <w:tcPr>
                  <w:tcW w:w="710" w:type="pct"/>
                  <w:tcBorders>
                    <w:top w:val="single" w:color="auto" w:sz="4" w:space="0"/>
                    <w:left w:val="nil"/>
                    <w:bottom w:val="single" w:color="auto" w:sz="4" w:space="0"/>
                    <w:right w:val="single" w:color="auto" w:sz="4" w:space="0"/>
                  </w:tcBorders>
                  <w:shd w:val="clear" w:color="auto" w:fill="CCE8CF"/>
                  <w:vAlign w:val="center"/>
                </w:tcPr>
                <w:p>
                  <w:pPr>
                    <w:widowControl/>
                    <w:jc w:val="center"/>
                    <w:textAlignment w:val="center"/>
                    <w:rPr>
                      <w:color w:val="auto"/>
                      <w:kern w:val="0"/>
                      <w:szCs w:val="21"/>
                      <w:lang w:bidi="ar"/>
                    </w:rPr>
                  </w:pPr>
                  <w:r>
                    <w:rPr>
                      <w:rFonts w:hint="eastAsia"/>
                      <w:color w:val="auto"/>
                      <w:kern w:val="0"/>
                      <w:szCs w:val="21"/>
                      <w:lang w:bidi="ar"/>
                    </w:rPr>
                    <w:t>325</w:t>
                  </w:r>
                </w:p>
              </w:tc>
              <w:tc>
                <w:tcPr>
                  <w:tcW w:w="882" w:type="pct"/>
                  <w:tcBorders>
                    <w:top w:val="single" w:color="auto" w:sz="4" w:space="0"/>
                    <w:left w:val="single" w:color="auto" w:sz="4" w:space="0"/>
                    <w:bottom w:val="single" w:color="auto" w:sz="4" w:space="0"/>
                    <w:right w:val="single" w:color="auto" w:sz="4" w:space="0"/>
                  </w:tcBorders>
                  <w:shd w:val="clear" w:color="auto" w:fill="CCE8CF"/>
                  <w:vAlign w:val="center"/>
                </w:tcPr>
                <w:p>
                  <w:pPr>
                    <w:widowControl/>
                    <w:jc w:val="center"/>
                    <w:textAlignment w:val="center"/>
                    <w:rPr>
                      <w:rFonts w:hint="eastAsia"/>
                      <w:color w:val="auto"/>
                      <w:kern w:val="0"/>
                      <w:szCs w:val="21"/>
                      <w:lang w:bidi="ar"/>
                    </w:rPr>
                  </w:pPr>
                  <w:r>
                    <w:rPr>
                      <w:rFonts w:hint="eastAsia"/>
                      <w:color w:val="auto"/>
                      <w:kern w:val="0"/>
                      <w:szCs w:val="21"/>
                      <w:lang w:val="en-US" w:eastAsia="zh-CN" w:bidi="ar"/>
                    </w:rPr>
                    <w:t>0.0002</w:t>
                  </w:r>
                </w:p>
              </w:tc>
              <w:tc>
                <w:tcPr>
                  <w:tcW w:w="1030" w:type="pct"/>
                  <w:tcBorders>
                    <w:top w:val="single" w:color="auto" w:sz="4" w:space="0"/>
                    <w:left w:val="single" w:color="auto" w:sz="4" w:space="0"/>
                    <w:bottom w:val="single" w:color="auto" w:sz="4" w:space="0"/>
                    <w:right w:val="nil"/>
                  </w:tcBorders>
                  <w:shd w:val="clear" w:color="auto" w:fill="CCE8CF"/>
                  <w:vAlign w:val="center"/>
                </w:tcPr>
                <w:p>
                  <w:pPr>
                    <w:widowControl/>
                    <w:jc w:val="center"/>
                    <w:textAlignment w:val="center"/>
                    <w:rPr>
                      <w:rFonts w:hint="eastAsia"/>
                      <w:color w:val="auto"/>
                      <w:kern w:val="0"/>
                      <w:szCs w:val="21"/>
                      <w:lang w:bidi="ar"/>
                    </w:rPr>
                  </w:pPr>
                  <w:r>
                    <w:rPr>
                      <w:rFonts w:hint="eastAsia"/>
                      <w:color w:val="auto"/>
                      <w:kern w:val="0"/>
                      <w:szCs w:val="21"/>
                      <w:lang w:val="en-US" w:eastAsia="zh-CN" w:bidi="ar"/>
                    </w:rPr>
                    <w:t>0.01</w:t>
                  </w:r>
                </w:p>
              </w:tc>
              <w:tc>
                <w:tcPr>
                  <w:tcW w:w="1616" w:type="dxa"/>
                  <w:tcBorders>
                    <w:top w:val="single" w:color="auto" w:sz="4" w:space="0"/>
                    <w:left w:val="single" w:color="auto" w:sz="4" w:space="0"/>
                    <w:bottom w:val="single" w:color="auto" w:sz="4" w:space="0"/>
                    <w:right w:val="nil"/>
                  </w:tcBorders>
                  <w:shd w:val="clear" w:color="auto" w:fill="CCE8CF"/>
                  <w:vAlign w:val="center"/>
                </w:tcPr>
                <w:p>
                  <w:pPr>
                    <w:widowControl/>
                    <w:jc w:val="center"/>
                    <w:textAlignment w:val="center"/>
                    <w:rPr>
                      <w:rFonts w:hint="eastAsia"/>
                      <w:color w:val="auto"/>
                      <w:kern w:val="0"/>
                      <w:szCs w:val="21"/>
                      <w:lang w:val="en-US" w:eastAsia="zh-CN" w:bidi="ar"/>
                    </w:rPr>
                  </w:pPr>
                  <w:r>
                    <w:rPr>
                      <w:rFonts w:hint="eastAsia"/>
                      <w:color w:val="auto"/>
                      <w:kern w:val="0"/>
                      <w:szCs w:val="21"/>
                      <w:lang w:val="en-US" w:eastAsia="zh-CN" w:bidi="ar"/>
                    </w:rPr>
                    <w:t>325</w:t>
                  </w:r>
                </w:p>
              </w:tc>
              <w:tc>
                <w:tcPr>
                  <w:tcW w:w="1370" w:type="dxa"/>
                  <w:tcBorders>
                    <w:top w:val="single" w:color="auto" w:sz="4" w:space="0"/>
                    <w:left w:val="single" w:color="auto" w:sz="4" w:space="0"/>
                    <w:bottom w:val="single" w:color="auto" w:sz="4" w:space="0"/>
                    <w:right w:val="nil"/>
                  </w:tcBorders>
                  <w:shd w:val="clear" w:color="auto" w:fill="CCE8CF"/>
                  <w:vAlign w:val="center"/>
                </w:tcPr>
                <w:p>
                  <w:pPr>
                    <w:widowControl/>
                    <w:jc w:val="center"/>
                    <w:textAlignment w:val="center"/>
                    <w:rPr>
                      <w:rFonts w:hint="eastAsia"/>
                      <w:color w:val="auto"/>
                      <w:kern w:val="0"/>
                      <w:szCs w:val="21"/>
                      <w:lang w:val="en-US" w:eastAsia="zh-CN" w:bidi="ar"/>
                    </w:rPr>
                  </w:pPr>
                  <w:r>
                    <w:rPr>
                      <w:rFonts w:hint="eastAsia"/>
                      <w:color w:val="auto"/>
                      <w:kern w:val="0"/>
                      <w:szCs w:val="21"/>
                      <w:lang w:val="en-US" w:eastAsia="zh-CN" w:bidi="ar"/>
                    </w:rPr>
                    <w:t>0.005</w:t>
                  </w:r>
                </w:p>
              </w:tc>
              <w:tc>
                <w:tcPr>
                  <w:tcW w:w="1134" w:type="dxa"/>
                  <w:tcBorders>
                    <w:top w:val="single" w:color="auto" w:sz="4" w:space="0"/>
                    <w:left w:val="single" w:color="auto" w:sz="4" w:space="0"/>
                    <w:bottom w:val="single" w:color="auto" w:sz="4" w:space="0"/>
                    <w:right w:val="nil"/>
                  </w:tcBorders>
                  <w:shd w:val="clear" w:color="auto" w:fill="CCE8CF"/>
                  <w:vAlign w:val="center"/>
                </w:tcPr>
                <w:p>
                  <w:pPr>
                    <w:widowControl/>
                    <w:jc w:val="center"/>
                    <w:textAlignment w:val="center"/>
                    <w:rPr>
                      <w:rFonts w:hint="eastAsia"/>
                      <w:color w:val="auto"/>
                      <w:kern w:val="0"/>
                      <w:szCs w:val="21"/>
                      <w:lang w:val="en-US" w:eastAsia="zh-CN" w:bidi="ar"/>
                    </w:rPr>
                  </w:pPr>
                  <w:r>
                    <w:rPr>
                      <w:rFonts w:hint="eastAsia"/>
                      <w:color w:val="auto"/>
                      <w:kern w:val="0"/>
                      <w:szCs w:val="21"/>
                      <w:lang w:val="en-US" w:eastAsia="zh-CN" w:bidi="ar"/>
                    </w:rPr>
                    <w:t>1.12</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PrEx>
              <w:trPr>
                <w:trHeight w:val="340" w:hRule="atLeast"/>
              </w:trPr>
              <w:tc>
                <w:tcPr>
                  <w:tcW w:w="710" w:type="pct"/>
                  <w:tcBorders>
                    <w:top w:val="single" w:color="auto" w:sz="4" w:space="0"/>
                    <w:left w:val="nil"/>
                    <w:bottom w:val="single" w:color="auto" w:sz="4" w:space="0"/>
                    <w:right w:val="single" w:color="auto" w:sz="4" w:space="0"/>
                  </w:tcBorders>
                  <w:shd w:val="clear" w:color="auto" w:fill="CCE8CF"/>
                  <w:vAlign w:val="center"/>
                </w:tcPr>
                <w:p>
                  <w:pPr>
                    <w:widowControl/>
                    <w:jc w:val="center"/>
                    <w:textAlignment w:val="center"/>
                    <w:rPr>
                      <w:color w:val="auto"/>
                      <w:kern w:val="0"/>
                      <w:szCs w:val="21"/>
                      <w:lang w:bidi="ar"/>
                    </w:rPr>
                  </w:pPr>
                  <w:r>
                    <w:rPr>
                      <w:rFonts w:hint="eastAsia"/>
                      <w:color w:val="auto"/>
                      <w:kern w:val="0"/>
                      <w:szCs w:val="21"/>
                      <w:lang w:bidi="ar"/>
                    </w:rPr>
                    <w:t>350</w:t>
                  </w:r>
                </w:p>
              </w:tc>
              <w:tc>
                <w:tcPr>
                  <w:tcW w:w="882" w:type="pct"/>
                  <w:tcBorders>
                    <w:top w:val="single" w:color="auto" w:sz="4" w:space="0"/>
                    <w:left w:val="single" w:color="auto" w:sz="4" w:space="0"/>
                    <w:bottom w:val="single" w:color="auto" w:sz="4" w:space="0"/>
                    <w:right w:val="single" w:color="auto" w:sz="4" w:space="0"/>
                  </w:tcBorders>
                  <w:shd w:val="clear" w:color="auto" w:fill="CCE8CF"/>
                  <w:vAlign w:val="center"/>
                </w:tcPr>
                <w:p>
                  <w:pPr>
                    <w:widowControl/>
                    <w:jc w:val="center"/>
                    <w:textAlignment w:val="center"/>
                    <w:rPr>
                      <w:rFonts w:hint="eastAsia"/>
                      <w:color w:val="auto"/>
                      <w:kern w:val="0"/>
                      <w:szCs w:val="21"/>
                      <w:lang w:bidi="ar"/>
                    </w:rPr>
                  </w:pPr>
                  <w:r>
                    <w:rPr>
                      <w:rFonts w:hint="eastAsia"/>
                      <w:color w:val="auto"/>
                      <w:kern w:val="0"/>
                      <w:szCs w:val="21"/>
                      <w:lang w:val="en-US" w:eastAsia="zh-CN" w:bidi="ar"/>
                    </w:rPr>
                    <w:t>0.0002</w:t>
                  </w:r>
                </w:p>
              </w:tc>
              <w:tc>
                <w:tcPr>
                  <w:tcW w:w="1030" w:type="pct"/>
                  <w:tcBorders>
                    <w:top w:val="single" w:color="auto" w:sz="4" w:space="0"/>
                    <w:left w:val="single" w:color="auto" w:sz="4" w:space="0"/>
                    <w:bottom w:val="single" w:color="auto" w:sz="4" w:space="0"/>
                    <w:right w:val="nil"/>
                  </w:tcBorders>
                  <w:shd w:val="clear" w:color="auto" w:fill="CCE8CF"/>
                  <w:vAlign w:val="center"/>
                </w:tcPr>
                <w:p>
                  <w:pPr>
                    <w:widowControl/>
                    <w:jc w:val="center"/>
                    <w:textAlignment w:val="center"/>
                    <w:rPr>
                      <w:rFonts w:hint="eastAsia"/>
                      <w:color w:val="auto"/>
                      <w:kern w:val="0"/>
                      <w:szCs w:val="21"/>
                      <w:lang w:bidi="ar"/>
                    </w:rPr>
                  </w:pPr>
                  <w:r>
                    <w:rPr>
                      <w:rFonts w:hint="eastAsia"/>
                      <w:color w:val="auto"/>
                      <w:kern w:val="0"/>
                      <w:szCs w:val="21"/>
                      <w:lang w:val="en-US" w:eastAsia="zh-CN" w:bidi="ar"/>
                    </w:rPr>
                    <w:t>0.01</w:t>
                  </w:r>
                </w:p>
              </w:tc>
              <w:tc>
                <w:tcPr>
                  <w:tcW w:w="1616" w:type="dxa"/>
                  <w:tcBorders>
                    <w:top w:val="single" w:color="auto" w:sz="4" w:space="0"/>
                    <w:left w:val="single" w:color="auto" w:sz="4" w:space="0"/>
                    <w:bottom w:val="single" w:color="auto" w:sz="4" w:space="0"/>
                    <w:right w:val="nil"/>
                  </w:tcBorders>
                  <w:shd w:val="clear" w:color="auto" w:fill="CCE8CF"/>
                  <w:vAlign w:val="center"/>
                </w:tcPr>
                <w:p>
                  <w:pPr>
                    <w:widowControl/>
                    <w:jc w:val="center"/>
                    <w:textAlignment w:val="center"/>
                    <w:rPr>
                      <w:rFonts w:hint="eastAsia"/>
                      <w:color w:val="auto"/>
                      <w:kern w:val="0"/>
                      <w:szCs w:val="21"/>
                      <w:lang w:val="en-US" w:eastAsia="zh-CN" w:bidi="ar"/>
                    </w:rPr>
                  </w:pPr>
                  <w:r>
                    <w:rPr>
                      <w:rFonts w:hint="eastAsia"/>
                      <w:color w:val="auto"/>
                      <w:kern w:val="0"/>
                      <w:szCs w:val="21"/>
                      <w:lang w:val="en-US" w:eastAsia="zh-CN" w:bidi="ar"/>
                    </w:rPr>
                    <w:t>350</w:t>
                  </w:r>
                </w:p>
              </w:tc>
              <w:tc>
                <w:tcPr>
                  <w:tcW w:w="1370" w:type="dxa"/>
                  <w:tcBorders>
                    <w:top w:val="single" w:color="auto" w:sz="4" w:space="0"/>
                    <w:left w:val="single" w:color="auto" w:sz="4" w:space="0"/>
                    <w:bottom w:val="single" w:color="auto" w:sz="4" w:space="0"/>
                    <w:right w:val="nil"/>
                  </w:tcBorders>
                  <w:shd w:val="clear" w:color="auto" w:fill="CCE8CF"/>
                  <w:vAlign w:val="center"/>
                </w:tcPr>
                <w:p>
                  <w:pPr>
                    <w:widowControl/>
                    <w:jc w:val="center"/>
                    <w:textAlignment w:val="center"/>
                    <w:rPr>
                      <w:rFonts w:hint="eastAsia"/>
                      <w:color w:val="auto"/>
                      <w:kern w:val="0"/>
                      <w:szCs w:val="21"/>
                      <w:lang w:val="en-US" w:eastAsia="zh-CN" w:bidi="ar"/>
                    </w:rPr>
                  </w:pPr>
                  <w:r>
                    <w:rPr>
                      <w:rFonts w:hint="eastAsia"/>
                      <w:color w:val="auto"/>
                      <w:kern w:val="0"/>
                      <w:szCs w:val="21"/>
                      <w:lang w:val="en-US" w:eastAsia="zh-CN" w:bidi="ar"/>
                    </w:rPr>
                    <w:t>0.0046</w:t>
                  </w:r>
                </w:p>
              </w:tc>
              <w:tc>
                <w:tcPr>
                  <w:tcW w:w="1134" w:type="dxa"/>
                  <w:tcBorders>
                    <w:top w:val="single" w:color="auto" w:sz="4" w:space="0"/>
                    <w:left w:val="single" w:color="auto" w:sz="4" w:space="0"/>
                    <w:bottom w:val="single" w:color="auto" w:sz="4" w:space="0"/>
                    <w:right w:val="nil"/>
                  </w:tcBorders>
                  <w:shd w:val="clear" w:color="auto" w:fill="CCE8CF"/>
                  <w:vAlign w:val="center"/>
                </w:tcPr>
                <w:p>
                  <w:pPr>
                    <w:widowControl/>
                    <w:jc w:val="center"/>
                    <w:textAlignment w:val="center"/>
                    <w:rPr>
                      <w:rFonts w:hint="eastAsia"/>
                      <w:color w:val="auto"/>
                      <w:kern w:val="0"/>
                      <w:szCs w:val="21"/>
                      <w:lang w:val="en-US" w:eastAsia="zh-CN" w:bidi="ar"/>
                    </w:rPr>
                  </w:pPr>
                  <w:r>
                    <w:rPr>
                      <w:rFonts w:hint="eastAsia"/>
                      <w:color w:val="auto"/>
                      <w:kern w:val="0"/>
                      <w:szCs w:val="21"/>
                      <w:lang w:val="en-US" w:eastAsia="zh-CN" w:bidi="ar"/>
                    </w:rPr>
                    <w:t>1.02</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PrEx>
              <w:trPr>
                <w:trHeight w:val="340" w:hRule="atLeast"/>
              </w:trPr>
              <w:tc>
                <w:tcPr>
                  <w:tcW w:w="710" w:type="pct"/>
                  <w:tcBorders>
                    <w:top w:val="single" w:color="auto" w:sz="4" w:space="0"/>
                    <w:left w:val="nil"/>
                    <w:bottom w:val="single" w:color="auto" w:sz="4" w:space="0"/>
                    <w:right w:val="single" w:color="auto" w:sz="4" w:space="0"/>
                  </w:tcBorders>
                  <w:shd w:val="clear" w:color="auto" w:fill="CCE8CF"/>
                  <w:vAlign w:val="center"/>
                </w:tcPr>
                <w:p>
                  <w:pPr>
                    <w:widowControl/>
                    <w:jc w:val="center"/>
                    <w:textAlignment w:val="center"/>
                    <w:rPr>
                      <w:color w:val="auto"/>
                      <w:kern w:val="0"/>
                      <w:szCs w:val="21"/>
                      <w:lang w:bidi="ar"/>
                    </w:rPr>
                  </w:pPr>
                  <w:r>
                    <w:rPr>
                      <w:rFonts w:hint="eastAsia"/>
                      <w:color w:val="auto"/>
                      <w:kern w:val="0"/>
                      <w:szCs w:val="21"/>
                      <w:lang w:bidi="ar"/>
                    </w:rPr>
                    <w:t>375</w:t>
                  </w:r>
                </w:p>
              </w:tc>
              <w:tc>
                <w:tcPr>
                  <w:tcW w:w="882" w:type="pct"/>
                  <w:tcBorders>
                    <w:top w:val="single" w:color="auto" w:sz="4" w:space="0"/>
                    <w:left w:val="single" w:color="auto" w:sz="4" w:space="0"/>
                    <w:bottom w:val="single" w:color="auto" w:sz="4" w:space="0"/>
                    <w:right w:val="single" w:color="auto" w:sz="4" w:space="0"/>
                  </w:tcBorders>
                  <w:shd w:val="clear" w:color="auto" w:fill="CCE8CF"/>
                  <w:vAlign w:val="center"/>
                </w:tcPr>
                <w:p>
                  <w:pPr>
                    <w:widowControl/>
                    <w:jc w:val="center"/>
                    <w:textAlignment w:val="center"/>
                    <w:rPr>
                      <w:rFonts w:hint="eastAsia"/>
                      <w:color w:val="auto"/>
                      <w:kern w:val="0"/>
                      <w:szCs w:val="21"/>
                      <w:lang w:bidi="ar"/>
                    </w:rPr>
                  </w:pPr>
                  <w:r>
                    <w:rPr>
                      <w:rFonts w:hint="eastAsia"/>
                      <w:color w:val="auto"/>
                      <w:kern w:val="0"/>
                      <w:szCs w:val="21"/>
                      <w:lang w:val="en-US" w:eastAsia="zh-CN" w:bidi="ar"/>
                    </w:rPr>
                    <w:t>0.0002</w:t>
                  </w:r>
                </w:p>
              </w:tc>
              <w:tc>
                <w:tcPr>
                  <w:tcW w:w="1030" w:type="pct"/>
                  <w:tcBorders>
                    <w:top w:val="single" w:color="auto" w:sz="4" w:space="0"/>
                    <w:left w:val="single" w:color="auto" w:sz="4" w:space="0"/>
                    <w:bottom w:val="single" w:color="auto" w:sz="4" w:space="0"/>
                    <w:right w:val="nil"/>
                  </w:tcBorders>
                  <w:shd w:val="clear" w:color="auto" w:fill="CCE8CF"/>
                  <w:vAlign w:val="center"/>
                </w:tcPr>
                <w:p>
                  <w:pPr>
                    <w:widowControl/>
                    <w:jc w:val="center"/>
                    <w:textAlignment w:val="center"/>
                    <w:rPr>
                      <w:rFonts w:hint="eastAsia"/>
                      <w:color w:val="auto"/>
                      <w:kern w:val="0"/>
                      <w:szCs w:val="21"/>
                      <w:lang w:bidi="ar"/>
                    </w:rPr>
                  </w:pPr>
                  <w:r>
                    <w:rPr>
                      <w:rFonts w:hint="eastAsia"/>
                      <w:color w:val="auto"/>
                      <w:kern w:val="0"/>
                      <w:szCs w:val="21"/>
                      <w:lang w:val="en-US" w:eastAsia="zh-CN" w:bidi="ar"/>
                    </w:rPr>
                    <w:t>0.01</w:t>
                  </w:r>
                </w:p>
              </w:tc>
              <w:tc>
                <w:tcPr>
                  <w:tcW w:w="1616" w:type="dxa"/>
                  <w:tcBorders>
                    <w:top w:val="single" w:color="auto" w:sz="4" w:space="0"/>
                    <w:left w:val="single" w:color="auto" w:sz="4" w:space="0"/>
                    <w:bottom w:val="single" w:color="auto" w:sz="4" w:space="0"/>
                    <w:right w:val="nil"/>
                  </w:tcBorders>
                  <w:shd w:val="clear" w:color="auto" w:fill="CCE8CF"/>
                  <w:vAlign w:val="center"/>
                </w:tcPr>
                <w:p>
                  <w:pPr>
                    <w:widowControl/>
                    <w:jc w:val="center"/>
                    <w:textAlignment w:val="center"/>
                    <w:rPr>
                      <w:rFonts w:hint="eastAsia"/>
                      <w:color w:val="auto"/>
                      <w:kern w:val="0"/>
                      <w:szCs w:val="21"/>
                      <w:lang w:val="en-US" w:eastAsia="zh-CN" w:bidi="ar"/>
                    </w:rPr>
                  </w:pPr>
                  <w:r>
                    <w:rPr>
                      <w:rFonts w:hint="eastAsia"/>
                      <w:color w:val="auto"/>
                      <w:kern w:val="0"/>
                      <w:szCs w:val="21"/>
                      <w:lang w:val="en-US" w:eastAsia="zh-CN" w:bidi="ar"/>
                    </w:rPr>
                    <w:t>375</w:t>
                  </w:r>
                </w:p>
              </w:tc>
              <w:tc>
                <w:tcPr>
                  <w:tcW w:w="1370" w:type="dxa"/>
                  <w:tcBorders>
                    <w:top w:val="single" w:color="auto" w:sz="4" w:space="0"/>
                    <w:left w:val="single" w:color="auto" w:sz="4" w:space="0"/>
                    <w:bottom w:val="single" w:color="auto" w:sz="4" w:space="0"/>
                    <w:right w:val="nil"/>
                  </w:tcBorders>
                  <w:shd w:val="clear" w:color="auto" w:fill="CCE8CF"/>
                  <w:vAlign w:val="center"/>
                </w:tcPr>
                <w:p>
                  <w:pPr>
                    <w:widowControl/>
                    <w:jc w:val="center"/>
                    <w:textAlignment w:val="center"/>
                    <w:rPr>
                      <w:rFonts w:hint="eastAsia"/>
                      <w:color w:val="auto"/>
                      <w:kern w:val="0"/>
                      <w:szCs w:val="21"/>
                      <w:lang w:val="en-US" w:eastAsia="zh-CN" w:bidi="ar"/>
                    </w:rPr>
                  </w:pPr>
                  <w:r>
                    <w:rPr>
                      <w:rFonts w:hint="eastAsia"/>
                      <w:color w:val="auto"/>
                      <w:kern w:val="0"/>
                      <w:szCs w:val="21"/>
                      <w:lang w:val="en-US" w:eastAsia="zh-CN" w:bidi="ar"/>
                    </w:rPr>
                    <w:t>0.0042</w:t>
                  </w:r>
                </w:p>
              </w:tc>
              <w:tc>
                <w:tcPr>
                  <w:tcW w:w="1134" w:type="dxa"/>
                  <w:tcBorders>
                    <w:top w:val="single" w:color="auto" w:sz="4" w:space="0"/>
                    <w:left w:val="single" w:color="auto" w:sz="4" w:space="0"/>
                    <w:bottom w:val="single" w:color="auto" w:sz="4" w:space="0"/>
                    <w:right w:val="nil"/>
                  </w:tcBorders>
                  <w:shd w:val="clear" w:color="auto" w:fill="CCE8CF"/>
                  <w:vAlign w:val="center"/>
                </w:tcPr>
                <w:p>
                  <w:pPr>
                    <w:widowControl/>
                    <w:jc w:val="center"/>
                    <w:textAlignment w:val="center"/>
                    <w:rPr>
                      <w:rFonts w:hint="eastAsia"/>
                      <w:color w:val="auto"/>
                      <w:kern w:val="0"/>
                      <w:szCs w:val="21"/>
                      <w:lang w:val="en-US" w:eastAsia="zh-CN" w:bidi="ar"/>
                    </w:rPr>
                  </w:pPr>
                  <w:r>
                    <w:rPr>
                      <w:rFonts w:hint="eastAsia"/>
                      <w:color w:val="auto"/>
                      <w:kern w:val="0"/>
                      <w:szCs w:val="21"/>
                      <w:lang w:val="en-US" w:eastAsia="zh-CN" w:bidi="ar"/>
                    </w:rPr>
                    <w:t>0.94</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PrEx>
              <w:trPr>
                <w:trHeight w:val="340" w:hRule="atLeast"/>
              </w:trPr>
              <w:tc>
                <w:tcPr>
                  <w:tcW w:w="710" w:type="pct"/>
                  <w:tcBorders>
                    <w:top w:val="single" w:color="auto" w:sz="4" w:space="0"/>
                    <w:left w:val="nil"/>
                    <w:bottom w:val="single" w:color="auto" w:sz="4" w:space="0"/>
                    <w:right w:val="single" w:color="auto" w:sz="4" w:space="0"/>
                  </w:tcBorders>
                  <w:shd w:val="clear" w:color="auto" w:fill="CCE8CF"/>
                  <w:vAlign w:val="center"/>
                </w:tcPr>
                <w:p>
                  <w:pPr>
                    <w:widowControl/>
                    <w:jc w:val="center"/>
                    <w:textAlignment w:val="center"/>
                    <w:rPr>
                      <w:color w:val="auto"/>
                      <w:kern w:val="0"/>
                      <w:szCs w:val="21"/>
                      <w:lang w:bidi="ar"/>
                    </w:rPr>
                  </w:pPr>
                  <w:r>
                    <w:rPr>
                      <w:rFonts w:hint="eastAsia"/>
                      <w:color w:val="auto"/>
                      <w:kern w:val="0"/>
                      <w:szCs w:val="21"/>
                      <w:lang w:bidi="ar"/>
                    </w:rPr>
                    <w:t>400</w:t>
                  </w:r>
                </w:p>
              </w:tc>
              <w:tc>
                <w:tcPr>
                  <w:tcW w:w="882" w:type="pct"/>
                  <w:tcBorders>
                    <w:top w:val="single" w:color="auto" w:sz="4" w:space="0"/>
                    <w:left w:val="single" w:color="auto" w:sz="4" w:space="0"/>
                    <w:bottom w:val="single" w:color="auto" w:sz="4" w:space="0"/>
                    <w:right w:val="single" w:color="auto" w:sz="4" w:space="0"/>
                  </w:tcBorders>
                  <w:shd w:val="clear" w:color="auto" w:fill="CCE8CF"/>
                  <w:vAlign w:val="center"/>
                </w:tcPr>
                <w:p>
                  <w:pPr>
                    <w:widowControl/>
                    <w:jc w:val="center"/>
                    <w:textAlignment w:val="center"/>
                    <w:rPr>
                      <w:rFonts w:hint="eastAsia"/>
                      <w:color w:val="auto"/>
                      <w:kern w:val="0"/>
                      <w:szCs w:val="21"/>
                      <w:lang w:bidi="ar"/>
                    </w:rPr>
                  </w:pPr>
                  <w:r>
                    <w:rPr>
                      <w:rFonts w:hint="eastAsia"/>
                      <w:color w:val="auto"/>
                      <w:kern w:val="0"/>
                      <w:szCs w:val="21"/>
                      <w:lang w:val="en-US" w:eastAsia="zh-CN" w:bidi="ar"/>
                    </w:rPr>
                    <w:t>0.0002</w:t>
                  </w:r>
                </w:p>
              </w:tc>
              <w:tc>
                <w:tcPr>
                  <w:tcW w:w="1030" w:type="pct"/>
                  <w:tcBorders>
                    <w:top w:val="single" w:color="auto" w:sz="4" w:space="0"/>
                    <w:left w:val="single" w:color="auto" w:sz="4" w:space="0"/>
                    <w:bottom w:val="single" w:color="auto" w:sz="4" w:space="0"/>
                    <w:right w:val="nil"/>
                  </w:tcBorders>
                  <w:shd w:val="clear" w:color="auto" w:fill="CCE8CF"/>
                  <w:vAlign w:val="center"/>
                </w:tcPr>
                <w:p>
                  <w:pPr>
                    <w:widowControl/>
                    <w:jc w:val="center"/>
                    <w:textAlignment w:val="center"/>
                    <w:rPr>
                      <w:rFonts w:hint="eastAsia"/>
                      <w:color w:val="auto"/>
                      <w:kern w:val="0"/>
                      <w:szCs w:val="21"/>
                      <w:lang w:bidi="ar"/>
                    </w:rPr>
                  </w:pPr>
                  <w:r>
                    <w:rPr>
                      <w:rFonts w:hint="eastAsia"/>
                      <w:color w:val="auto"/>
                      <w:kern w:val="0"/>
                      <w:szCs w:val="21"/>
                      <w:lang w:val="en-US" w:eastAsia="zh-CN" w:bidi="ar"/>
                    </w:rPr>
                    <w:t>0.01</w:t>
                  </w:r>
                </w:p>
              </w:tc>
              <w:tc>
                <w:tcPr>
                  <w:tcW w:w="1616" w:type="dxa"/>
                  <w:tcBorders>
                    <w:top w:val="single" w:color="auto" w:sz="4" w:space="0"/>
                    <w:left w:val="single" w:color="auto" w:sz="4" w:space="0"/>
                    <w:bottom w:val="single" w:color="auto" w:sz="4" w:space="0"/>
                    <w:right w:val="nil"/>
                  </w:tcBorders>
                  <w:shd w:val="clear" w:color="auto" w:fill="CCE8CF"/>
                  <w:vAlign w:val="center"/>
                </w:tcPr>
                <w:p>
                  <w:pPr>
                    <w:widowControl/>
                    <w:jc w:val="center"/>
                    <w:textAlignment w:val="center"/>
                    <w:rPr>
                      <w:rFonts w:hint="eastAsia"/>
                      <w:color w:val="auto"/>
                      <w:kern w:val="0"/>
                      <w:szCs w:val="21"/>
                      <w:lang w:val="en-US" w:eastAsia="zh-CN" w:bidi="ar"/>
                    </w:rPr>
                  </w:pPr>
                  <w:r>
                    <w:rPr>
                      <w:rFonts w:hint="eastAsia"/>
                      <w:color w:val="auto"/>
                      <w:kern w:val="0"/>
                      <w:szCs w:val="21"/>
                      <w:lang w:val="en-US" w:eastAsia="zh-CN" w:bidi="ar"/>
                    </w:rPr>
                    <w:t>400</w:t>
                  </w:r>
                </w:p>
              </w:tc>
              <w:tc>
                <w:tcPr>
                  <w:tcW w:w="1370" w:type="dxa"/>
                  <w:tcBorders>
                    <w:top w:val="single" w:color="auto" w:sz="4" w:space="0"/>
                    <w:left w:val="single" w:color="auto" w:sz="4" w:space="0"/>
                    <w:bottom w:val="single" w:color="auto" w:sz="4" w:space="0"/>
                    <w:right w:val="nil"/>
                  </w:tcBorders>
                  <w:shd w:val="clear" w:color="auto" w:fill="CCE8CF"/>
                  <w:vAlign w:val="center"/>
                </w:tcPr>
                <w:p>
                  <w:pPr>
                    <w:widowControl/>
                    <w:jc w:val="center"/>
                    <w:textAlignment w:val="center"/>
                    <w:rPr>
                      <w:rFonts w:hint="eastAsia"/>
                      <w:color w:val="auto"/>
                      <w:kern w:val="0"/>
                      <w:szCs w:val="21"/>
                      <w:lang w:val="en-US" w:eastAsia="zh-CN" w:bidi="ar"/>
                    </w:rPr>
                  </w:pPr>
                  <w:r>
                    <w:rPr>
                      <w:rFonts w:hint="eastAsia"/>
                      <w:color w:val="auto"/>
                      <w:kern w:val="0"/>
                      <w:szCs w:val="21"/>
                      <w:lang w:val="en-US" w:eastAsia="zh-CN" w:bidi="ar"/>
                    </w:rPr>
                    <w:t>0.0039</w:t>
                  </w:r>
                </w:p>
              </w:tc>
              <w:tc>
                <w:tcPr>
                  <w:tcW w:w="1134" w:type="dxa"/>
                  <w:tcBorders>
                    <w:top w:val="single" w:color="auto" w:sz="4" w:space="0"/>
                    <w:left w:val="single" w:color="auto" w:sz="4" w:space="0"/>
                    <w:bottom w:val="single" w:color="auto" w:sz="4" w:space="0"/>
                    <w:right w:val="nil"/>
                  </w:tcBorders>
                  <w:shd w:val="clear" w:color="auto" w:fill="CCE8CF"/>
                  <w:vAlign w:val="center"/>
                </w:tcPr>
                <w:p>
                  <w:pPr>
                    <w:widowControl/>
                    <w:jc w:val="center"/>
                    <w:textAlignment w:val="center"/>
                    <w:rPr>
                      <w:rFonts w:hint="eastAsia"/>
                      <w:color w:val="auto"/>
                      <w:kern w:val="0"/>
                      <w:szCs w:val="21"/>
                      <w:lang w:val="en-US" w:eastAsia="zh-CN" w:bidi="ar"/>
                    </w:rPr>
                  </w:pPr>
                  <w:r>
                    <w:rPr>
                      <w:rFonts w:hint="eastAsia"/>
                      <w:color w:val="auto"/>
                      <w:kern w:val="0"/>
                      <w:szCs w:val="21"/>
                      <w:lang w:val="en-US" w:eastAsia="zh-CN" w:bidi="ar"/>
                    </w:rPr>
                    <w:t>0.87</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PrEx>
              <w:trPr>
                <w:trHeight w:val="340" w:hRule="atLeast"/>
              </w:trPr>
              <w:tc>
                <w:tcPr>
                  <w:tcW w:w="710" w:type="pct"/>
                  <w:tcBorders>
                    <w:top w:val="single" w:color="auto" w:sz="4" w:space="0"/>
                    <w:left w:val="nil"/>
                    <w:bottom w:val="single" w:color="auto" w:sz="4" w:space="0"/>
                    <w:right w:val="single" w:color="auto" w:sz="4" w:space="0"/>
                  </w:tcBorders>
                  <w:shd w:val="clear" w:color="auto" w:fill="CCE8CF"/>
                  <w:vAlign w:val="center"/>
                </w:tcPr>
                <w:p>
                  <w:pPr>
                    <w:widowControl/>
                    <w:jc w:val="center"/>
                    <w:textAlignment w:val="center"/>
                    <w:rPr>
                      <w:color w:val="auto"/>
                      <w:kern w:val="0"/>
                      <w:szCs w:val="21"/>
                      <w:lang w:bidi="ar"/>
                    </w:rPr>
                  </w:pPr>
                  <w:r>
                    <w:rPr>
                      <w:rFonts w:hint="eastAsia"/>
                      <w:color w:val="auto"/>
                      <w:kern w:val="0"/>
                      <w:szCs w:val="21"/>
                      <w:lang w:bidi="ar"/>
                    </w:rPr>
                    <w:t>425</w:t>
                  </w:r>
                </w:p>
              </w:tc>
              <w:tc>
                <w:tcPr>
                  <w:tcW w:w="882" w:type="pct"/>
                  <w:tcBorders>
                    <w:top w:val="single" w:color="auto" w:sz="4" w:space="0"/>
                    <w:left w:val="single" w:color="auto" w:sz="4" w:space="0"/>
                    <w:bottom w:val="single" w:color="auto" w:sz="4" w:space="0"/>
                    <w:right w:val="single" w:color="auto" w:sz="4" w:space="0"/>
                  </w:tcBorders>
                  <w:shd w:val="clear" w:color="auto" w:fill="CCE8CF"/>
                  <w:vAlign w:val="center"/>
                </w:tcPr>
                <w:p>
                  <w:pPr>
                    <w:widowControl/>
                    <w:jc w:val="center"/>
                    <w:textAlignment w:val="center"/>
                    <w:rPr>
                      <w:rFonts w:hint="eastAsia"/>
                      <w:color w:val="auto"/>
                      <w:kern w:val="0"/>
                      <w:szCs w:val="21"/>
                      <w:lang w:bidi="ar"/>
                    </w:rPr>
                  </w:pPr>
                  <w:r>
                    <w:rPr>
                      <w:rFonts w:hint="eastAsia"/>
                      <w:color w:val="auto"/>
                      <w:kern w:val="0"/>
                      <w:szCs w:val="21"/>
                      <w:lang w:val="en-US" w:eastAsia="zh-CN" w:bidi="ar"/>
                    </w:rPr>
                    <w:t>0.0002</w:t>
                  </w:r>
                </w:p>
              </w:tc>
              <w:tc>
                <w:tcPr>
                  <w:tcW w:w="1030" w:type="pct"/>
                  <w:tcBorders>
                    <w:top w:val="single" w:color="auto" w:sz="4" w:space="0"/>
                    <w:left w:val="single" w:color="auto" w:sz="4" w:space="0"/>
                    <w:bottom w:val="single" w:color="auto" w:sz="4" w:space="0"/>
                    <w:right w:val="nil"/>
                  </w:tcBorders>
                  <w:shd w:val="clear" w:color="auto" w:fill="CCE8CF"/>
                  <w:vAlign w:val="center"/>
                </w:tcPr>
                <w:p>
                  <w:pPr>
                    <w:widowControl/>
                    <w:jc w:val="center"/>
                    <w:textAlignment w:val="center"/>
                    <w:rPr>
                      <w:rFonts w:hint="eastAsia"/>
                      <w:color w:val="auto"/>
                      <w:kern w:val="0"/>
                      <w:szCs w:val="21"/>
                      <w:lang w:bidi="ar"/>
                    </w:rPr>
                  </w:pPr>
                  <w:r>
                    <w:rPr>
                      <w:rFonts w:hint="eastAsia"/>
                      <w:color w:val="auto"/>
                      <w:kern w:val="0"/>
                      <w:szCs w:val="21"/>
                      <w:lang w:val="en-US" w:eastAsia="zh-CN" w:bidi="ar"/>
                    </w:rPr>
                    <w:t>0.01</w:t>
                  </w:r>
                </w:p>
              </w:tc>
              <w:tc>
                <w:tcPr>
                  <w:tcW w:w="1616" w:type="dxa"/>
                  <w:tcBorders>
                    <w:top w:val="single" w:color="auto" w:sz="4" w:space="0"/>
                    <w:left w:val="single" w:color="auto" w:sz="4" w:space="0"/>
                    <w:bottom w:val="single" w:color="auto" w:sz="4" w:space="0"/>
                    <w:right w:val="nil"/>
                  </w:tcBorders>
                  <w:shd w:val="clear" w:color="auto" w:fill="CCE8CF"/>
                  <w:vAlign w:val="center"/>
                </w:tcPr>
                <w:p>
                  <w:pPr>
                    <w:widowControl/>
                    <w:jc w:val="center"/>
                    <w:textAlignment w:val="center"/>
                    <w:rPr>
                      <w:rFonts w:hint="eastAsia"/>
                      <w:color w:val="auto"/>
                      <w:kern w:val="0"/>
                      <w:szCs w:val="21"/>
                      <w:lang w:val="en-US" w:eastAsia="zh-CN" w:bidi="ar"/>
                    </w:rPr>
                  </w:pPr>
                  <w:r>
                    <w:rPr>
                      <w:rFonts w:hint="eastAsia"/>
                      <w:color w:val="auto"/>
                      <w:kern w:val="0"/>
                      <w:szCs w:val="21"/>
                      <w:lang w:val="en-US" w:eastAsia="zh-CN" w:bidi="ar"/>
                    </w:rPr>
                    <w:t>425</w:t>
                  </w:r>
                </w:p>
              </w:tc>
              <w:tc>
                <w:tcPr>
                  <w:tcW w:w="1370" w:type="dxa"/>
                  <w:tcBorders>
                    <w:top w:val="single" w:color="auto" w:sz="4" w:space="0"/>
                    <w:left w:val="single" w:color="auto" w:sz="4" w:space="0"/>
                    <w:bottom w:val="single" w:color="auto" w:sz="4" w:space="0"/>
                    <w:right w:val="nil"/>
                  </w:tcBorders>
                  <w:shd w:val="clear" w:color="auto" w:fill="CCE8CF"/>
                  <w:vAlign w:val="center"/>
                </w:tcPr>
                <w:p>
                  <w:pPr>
                    <w:widowControl/>
                    <w:jc w:val="center"/>
                    <w:textAlignment w:val="center"/>
                    <w:rPr>
                      <w:rFonts w:hint="eastAsia"/>
                      <w:color w:val="auto"/>
                      <w:kern w:val="0"/>
                      <w:szCs w:val="21"/>
                      <w:lang w:val="en-US" w:eastAsia="zh-CN" w:bidi="ar"/>
                    </w:rPr>
                  </w:pPr>
                  <w:r>
                    <w:rPr>
                      <w:rFonts w:hint="eastAsia"/>
                      <w:color w:val="auto"/>
                      <w:kern w:val="0"/>
                      <w:szCs w:val="21"/>
                      <w:lang w:val="en-US" w:eastAsia="zh-CN" w:bidi="ar"/>
                    </w:rPr>
                    <w:t>0.0036</w:t>
                  </w:r>
                </w:p>
              </w:tc>
              <w:tc>
                <w:tcPr>
                  <w:tcW w:w="1134" w:type="dxa"/>
                  <w:tcBorders>
                    <w:top w:val="single" w:color="auto" w:sz="4" w:space="0"/>
                    <w:left w:val="single" w:color="auto" w:sz="4" w:space="0"/>
                    <w:bottom w:val="single" w:color="auto" w:sz="4" w:space="0"/>
                    <w:right w:val="nil"/>
                  </w:tcBorders>
                  <w:shd w:val="clear" w:color="auto" w:fill="CCE8CF"/>
                  <w:vAlign w:val="center"/>
                </w:tcPr>
                <w:p>
                  <w:pPr>
                    <w:widowControl/>
                    <w:jc w:val="center"/>
                    <w:textAlignment w:val="center"/>
                    <w:rPr>
                      <w:rFonts w:hint="eastAsia"/>
                      <w:color w:val="auto"/>
                      <w:kern w:val="0"/>
                      <w:szCs w:val="21"/>
                      <w:lang w:val="en-US" w:eastAsia="zh-CN" w:bidi="ar"/>
                    </w:rPr>
                  </w:pPr>
                  <w:r>
                    <w:rPr>
                      <w:rFonts w:hint="eastAsia"/>
                      <w:color w:val="auto"/>
                      <w:kern w:val="0"/>
                      <w:szCs w:val="21"/>
                      <w:lang w:val="en-US" w:eastAsia="zh-CN" w:bidi="ar"/>
                    </w:rPr>
                    <w:t>0.8</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PrEx>
              <w:trPr>
                <w:trHeight w:val="340" w:hRule="atLeast"/>
              </w:trPr>
              <w:tc>
                <w:tcPr>
                  <w:tcW w:w="710" w:type="pct"/>
                  <w:tcBorders>
                    <w:top w:val="single" w:color="auto" w:sz="4" w:space="0"/>
                    <w:left w:val="nil"/>
                    <w:bottom w:val="single" w:color="auto" w:sz="4" w:space="0"/>
                    <w:right w:val="single" w:color="auto" w:sz="4" w:space="0"/>
                  </w:tcBorders>
                  <w:shd w:val="clear" w:color="auto" w:fill="CCE8CF"/>
                  <w:vAlign w:val="center"/>
                </w:tcPr>
                <w:p>
                  <w:pPr>
                    <w:widowControl/>
                    <w:jc w:val="center"/>
                    <w:textAlignment w:val="center"/>
                    <w:rPr>
                      <w:color w:val="auto"/>
                      <w:kern w:val="0"/>
                      <w:szCs w:val="21"/>
                      <w:lang w:bidi="ar"/>
                    </w:rPr>
                  </w:pPr>
                  <w:r>
                    <w:rPr>
                      <w:rFonts w:hint="eastAsia"/>
                      <w:color w:val="auto"/>
                      <w:kern w:val="0"/>
                      <w:szCs w:val="21"/>
                      <w:lang w:bidi="ar"/>
                    </w:rPr>
                    <w:t>450</w:t>
                  </w:r>
                </w:p>
              </w:tc>
              <w:tc>
                <w:tcPr>
                  <w:tcW w:w="882" w:type="pct"/>
                  <w:tcBorders>
                    <w:top w:val="single" w:color="auto" w:sz="4" w:space="0"/>
                    <w:left w:val="single" w:color="auto" w:sz="4" w:space="0"/>
                    <w:bottom w:val="single" w:color="auto" w:sz="4" w:space="0"/>
                    <w:right w:val="single" w:color="auto" w:sz="4" w:space="0"/>
                  </w:tcBorders>
                  <w:shd w:val="clear" w:color="auto" w:fill="CCE8CF"/>
                  <w:vAlign w:val="center"/>
                </w:tcPr>
                <w:p>
                  <w:pPr>
                    <w:widowControl/>
                    <w:jc w:val="center"/>
                    <w:textAlignment w:val="center"/>
                    <w:rPr>
                      <w:rFonts w:hint="eastAsia"/>
                      <w:color w:val="auto"/>
                      <w:kern w:val="0"/>
                      <w:szCs w:val="21"/>
                      <w:lang w:bidi="ar"/>
                    </w:rPr>
                  </w:pPr>
                  <w:r>
                    <w:rPr>
                      <w:rFonts w:hint="eastAsia"/>
                      <w:color w:val="auto"/>
                      <w:kern w:val="0"/>
                      <w:szCs w:val="21"/>
                      <w:lang w:val="en-US" w:eastAsia="zh-CN" w:bidi="ar"/>
                    </w:rPr>
                    <w:t>0.0002</w:t>
                  </w:r>
                </w:p>
              </w:tc>
              <w:tc>
                <w:tcPr>
                  <w:tcW w:w="1030" w:type="pct"/>
                  <w:tcBorders>
                    <w:top w:val="single" w:color="auto" w:sz="4" w:space="0"/>
                    <w:left w:val="single" w:color="auto" w:sz="4" w:space="0"/>
                    <w:bottom w:val="single" w:color="auto" w:sz="4" w:space="0"/>
                    <w:right w:val="nil"/>
                  </w:tcBorders>
                  <w:shd w:val="clear" w:color="auto" w:fill="CCE8CF"/>
                  <w:vAlign w:val="center"/>
                </w:tcPr>
                <w:p>
                  <w:pPr>
                    <w:widowControl/>
                    <w:jc w:val="center"/>
                    <w:textAlignment w:val="center"/>
                    <w:rPr>
                      <w:rFonts w:hint="eastAsia"/>
                      <w:color w:val="auto"/>
                      <w:kern w:val="0"/>
                      <w:szCs w:val="21"/>
                      <w:lang w:bidi="ar"/>
                    </w:rPr>
                  </w:pPr>
                  <w:r>
                    <w:rPr>
                      <w:rFonts w:hint="eastAsia"/>
                      <w:color w:val="auto"/>
                      <w:kern w:val="0"/>
                      <w:szCs w:val="21"/>
                      <w:lang w:val="en-US" w:eastAsia="zh-CN" w:bidi="ar"/>
                    </w:rPr>
                    <w:t>0.01</w:t>
                  </w:r>
                </w:p>
              </w:tc>
              <w:tc>
                <w:tcPr>
                  <w:tcW w:w="1616" w:type="dxa"/>
                  <w:tcBorders>
                    <w:top w:val="single" w:color="auto" w:sz="4" w:space="0"/>
                    <w:left w:val="single" w:color="auto" w:sz="4" w:space="0"/>
                    <w:bottom w:val="single" w:color="auto" w:sz="4" w:space="0"/>
                    <w:right w:val="nil"/>
                  </w:tcBorders>
                  <w:shd w:val="clear" w:color="auto" w:fill="CCE8CF"/>
                  <w:vAlign w:val="center"/>
                </w:tcPr>
                <w:p>
                  <w:pPr>
                    <w:widowControl/>
                    <w:jc w:val="center"/>
                    <w:textAlignment w:val="center"/>
                    <w:rPr>
                      <w:rFonts w:hint="eastAsia"/>
                      <w:color w:val="auto"/>
                      <w:kern w:val="0"/>
                      <w:szCs w:val="21"/>
                      <w:lang w:val="en-US" w:eastAsia="zh-CN" w:bidi="ar"/>
                    </w:rPr>
                  </w:pPr>
                  <w:r>
                    <w:rPr>
                      <w:rFonts w:hint="eastAsia"/>
                      <w:color w:val="auto"/>
                      <w:kern w:val="0"/>
                      <w:szCs w:val="21"/>
                      <w:lang w:val="en-US" w:eastAsia="zh-CN" w:bidi="ar"/>
                    </w:rPr>
                    <w:t>450</w:t>
                  </w:r>
                </w:p>
              </w:tc>
              <w:tc>
                <w:tcPr>
                  <w:tcW w:w="1370" w:type="dxa"/>
                  <w:tcBorders>
                    <w:top w:val="single" w:color="auto" w:sz="4" w:space="0"/>
                    <w:left w:val="single" w:color="auto" w:sz="4" w:space="0"/>
                    <w:bottom w:val="single" w:color="auto" w:sz="4" w:space="0"/>
                    <w:right w:val="nil"/>
                  </w:tcBorders>
                  <w:shd w:val="clear" w:color="auto" w:fill="CCE8CF"/>
                  <w:vAlign w:val="center"/>
                </w:tcPr>
                <w:p>
                  <w:pPr>
                    <w:widowControl/>
                    <w:jc w:val="center"/>
                    <w:textAlignment w:val="center"/>
                    <w:rPr>
                      <w:rFonts w:hint="eastAsia"/>
                      <w:color w:val="auto"/>
                      <w:kern w:val="0"/>
                      <w:szCs w:val="21"/>
                      <w:lang w:val="en-US" w:eastAsia="zh-CN" w:bidi="ar"/>
                    </w:rPr>
                  </w:pPr>
                  <w:r>
                    <w:rPr>
                      <w:rFonts w:hint="eastAsia"/>
                      <w:color w:val="auto"/>
                      <w:kern w:val="0"/>
                      <w:szCs w:val="21"/>
                      <w:lang w:val="en-US" w:eastAsia="zh-CN" w:bidi="ar"/>
                    </w:rPr>
                    <w:t>0.0034</w:t>
                  </w:r>
                </w:p>
              </w:tc>
              <w:tc>
                <w:tcPr>
                  <w:tcW w:w="1134" w:type="dxa"/>
                  <w:tcBorders>
                    <w:top w:val="single" w:color="auto" w:sz="4" w:space="0"/>
                    <w:left w:val="single" w:color="auto" w:sz="4" w:space="0"/>
                    <w:bottom w:val="single" w:color="auto" w:sz="4" w:space="0"/>
                    <w:right w:val="nil"/>
                  </w:tcBorders>
                  <w:shd w:val="clear" w:color="auto" w:fill="CCE8CF"/>
                  <w:vAlign w:val="center"/>
                </w:tcPr>
                <w:p>
                  <w:pPr>
                    <w:widowControl/>
                    <w:jc w:val="center"/>
                    <w:textAlignment w:val="center"/>
                    <w:rPr>
                      <w:rFonts w:hint="eastAsia"/>
                      <w:color w:val="auto"/>
                      <w:kern w:val="0"/>
                      <w:szCs w:val="21"/>
                      <w:lang w:val="en-US" w:eastAsia="zh-CN" w:bidi="ar"/>
                    </w:rPr>
                  </w:pPr>
                  <w:r>
                    <w:rPr>
                      <w:rFonts w:hint="eastAsia"/>
                      <w:color w:val="auto"/>
                      <w:kern w:val="0"/>
                      <w:szCs w:val="21"/>
                      <w:lang w:val="en-US" w:eastAsia="zh-CN" w:bidi="ar"/>
                    </w:rPr>
                    <w:t>0.75</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PrEx>
              <w:trPr>
                <w:trHeight w:val="340" w:hRule="atLeast"/>
              </w:trPr>
              <w:tc>
                <w:tcPr>
                  <w:tcW w:w="710" w:type="pct"/>
                  <w:tcBorders>
                    <w:top w:val="single" w:color="auto" w:sz="4" w:space="0"/>
                    <w:left w:val="nil"/>
                    <w:bottom w:val="single" w:color="auto" w:sz="4" w:space="0"/>
                    <w:right w:val="single" w:color="auto" w:sz="4" w:space="0"/>
                  </w:tcBorders>
                  <w:shd w:val="clear" w:color="auto" w:fill="CCE8CF"/>
                  <w:vAlign w:val="center"/>
                </w:tcPr>
                <w:p>
                  <w:pPr>
                    <w:widowControl/>
                    <w:jc w:val="center"/>
                    <w:textAlignment w:val="center"/>
                    <w:rPr>
                      <w:color w:val="auto"/>
                      <w:kern w:val="0"/>
                      <w:szCs w:val="21"/>
                      <w:lang w:bidi="ar"/>
                    </w:rPr>
                  </w:pPr>
                  <w:r>
                    <w:rPr>
                      <w:rFonts w:hint="eastAsia"/>
                      <w:color w:val="auto"/>
                      <w:kern w:val="0"/>
                      <w:szCs w:val="21"/>
                      <w:lang w:bidi="ar"/>
                    </w:rPr>
                    <w:t>475</w:t>
                  </w:r>
                </w:p>
              </w:tc>
              <w:tc>
                <w:tcPr>
                  <w:tcW w:w="882" w:type="pct"/>
                  <w:tcBorders>
                    <w:top w:val="single" w:color="auto" w:sz="4" w:space="0"/>
                    <w:left w:val="single" w:color="auto" w:sz="4" w:space="0"/>
                    <w:bottom w:val="single" w:color="auto" w:sz="4" w:space="0"/>
                    <w:right w:val="single" w:color="auto" w:sz="4" w:space="0"/>
                  </w:tcBorders>
                  <w:shd w:val="clear" w:color="auto" w:fill="CCE8CF"/>
                  <w:vAlign w:val="center"/>
                </w:tcPr>
                <w:p>
                  <w:pPr>
                    <w:widowControl/>
                    <w:jc w:val="center"/>
                    <w:textAlignment w:val="center"/>
                    <w:rPr>
                      <w:rFonts w:hint="eastAsia"/>
                      <w:color w:val="auto"/>
                      <w:kern w:val="0"/>
                      <w:szCs w:val="21"/>
                      <w:lang w:bidi="ar"/>
                    </w:rPr>
                  </w:pPr>
                  <w:r>
                    <w:rPr>
                      <w:rFonts w:hint="eastAsia"/>
                      <w:color w:val="auto"/>
                      <w:kern w:val="0"/>
                      <w:szCs w:val="21"/>
                      <w:lang w:val="en-US" w:eastAsia="zh-CN" w:bidi="ar"/>
                    </w:rPr>
                    <w:t>0.0001</w:t>
                  </w:r>
                </w:p>
              </w:tc>
              <w:tc>
                <w:tcPr>
                  <w:tcW w:w="1030" w:type="pct"/>
                  <w:tcBorders>
                    <w:top w:val="single" w:color="auto" w:sz="4" w:space="0"/>
                    <w:left w:val="single" w:color="auto" w:sz="4" w:space="0"/>
                    <w:bottom w:val="single" w:color="auto" w:sz="4" w:space="0"/>
                    <w:right w:val="nil"/>
                  </w:tcBorders>
                  <w:shd w:val="clear" w:color="auto" w:fill="CCE8CF"/>
                  <w:vAlign w:val="center"/>
                </w:tcPr>
                <w:p>
                  <w:pPr>
                    <w:widowControl/>
                    <w:jc w:val="center"/>
                    <w:textAlignment w:val="center"/>
                    <w:rPr>
                      <w:rFonts w:hint="eastAsia"/>
                      <w:color w:val="auto"/>
                      <w:kern w:val="0"/>
                      <w:szCs w:val="21"/>
                      <w:lang w:bidi="ar"/>
                    </w:rPr>
                  </w:pPr>
                  <w:r>
                    <w:rPr>
                      <w:rFonts w:hint="eastAsia"/>
                      <w:color w:val="auto"/>
                      <w:kern w:val="0"/>
                      <w:szCs w:val="21"/>
                      <w:lang w:val="en-US" w:eastAsia="zh-CN" w:bidi="ar"/>
                    </w:rPr>
                    <w:t>0.01</w:t>
                  </w:r>
                </w:p>
              </w:tc>
              <w:tc>
                <w:tcPr>
                  <w:tcW w:w="1616" w:type="dxa"/>
                  <w:tcBorders>
                    <w:top w:val="single" w:color="auto" w:sz="4" w:space="0"/>
                    <w:left w:val="single" w:color="auto" w:sz="4" w:space="0"/>
                    <w:bottom w:val="single" w:color="auto" w:sz="4" w:space="0"/>
                    <w:right w:val="nil"/>
                  </w:tcBorders>
                  <w:shd w:val="clear" w:color="auto" w:fill="CCE8CF"/>
                  <w:vAlign w:val="center"/>
                </w:tcPr>
                <w:p>
                  <w:pPr>
                    <w:widowControl/>
                    <w:jc w:val="center"/>
                    <w:textAlignment w:val="center"/>
                    <w:rPr>
                      <w:rFonts w:hint="eastAsia"/>
                      <w:color w:val="auto"/>
                      <w:kern w:val="0"/>
                      <w:szCs w:val="21"/>
                      <w:lang w:val="en-US" w:eastAsia="zh-CN" w:bidi="ar"/>
                    </w:rPr>
                  </w:pPr>
                  <w:r>
                    <w:rPr>
                      <w:rFonts w:hint="eastAsia"/>
                      <w:color w:val="auto"/>
                      <w:kern w:val="0"/>
                      <w:szCs w:val="21"/>
                      <w:lang w:val="en-US" w:eastAsia="zh-CN" w:bidi="ar"/>
                    </w:rPr>
                    <w:t>475</w:t>
                  </w:r>
                </w:p>
              </w:tc>
              <w:tc>
                <w:tcPr>
                  <w:tcW w:w="1370" w:type="dxa"/>
                  <w:tcBorders>
                    <w:top w:val="single" w:color="auto" w:sz="4" w:space="0"/>
                    <w:left w:val="single" w:color="auto" w:sz="4" w:space="0"/>
                    <w:bottom w:val="single" w:color="auto" w:sz="4" w:space="0"/>
                    <w:right w:val="nil"/>
                  </w:tcBorders>
                  <w:shd w:val="clear" w:color="auto" w:fill="CCE8CF"/>
                  <w:vAlign w:val="center"/>
                </w:tcPr>
                <w:p>
                  <w:pPr>
                    <w:widowControl/>
                    <w:jc w:val="center"/>
                    <w:textAlignment w:val="center"/>
                    <w:rPr>
                      <w:rFonts w:hint="eastAsia"/>
                      <w:color w:val="auto"/>
                      <w:kern w:val="0"/>
                      <w:szCs w:val="21"/>
                      <w:lang w:val="en-US" w:eastAsia="zh-CN" w:bidi="ar"/>
                    </w:rPr>
                  </w:pPr>
                  <w:r>
                    <w:rPr>
                      <w:rFonts w:hint="eastAsia"/>
                      <w:color w:val="auto"/>
                      <w:kern w:val="0"/>
                      <w:szCs w:val="21"/>
                      <w:lang w:val="en-US" w:eastAsia="zh-CN" w:bidi="ar"/>
                    </w:rPr>
                    <w:t>0.0031</w:t>
                  </w:r>
                </w:p>
              </w:tc>
              <w:tc>
                <w:tcPr>
                  <w:tcW w:w="1134" w:type="dxa"/>
                  <w:tcBorders>
                    <w:top w:val="single" w:color="auto" w:sz="4" w:space="0"/>
                    <w:left w:val="single" w:color="auto" w:sz="4" w:space="0"/>
                    <w:bottom w:val="single" w:color="auto" w:sz="4" w:space="0"/>
                    <w:right w:val="nil"/>
                  </w:tcBorders>
                  <w:shd w:val="clear" w:color="auto" w:fill="CCE8CF"/>
                  <w:vAlign w:val="center"/>
                </w:tcPr>
                <w:p>
                  <w:pPr>
                    <w:widowControl/>
                    <w:jc w:val="center"/>
                    <w:textAlignment w:val="center"/>
                    <w:rPr>
                      <w:rFonts w:hint="eastAsia"/>
                      <w:color w:val="auto"/>
                      <w:kern w:val="0"/>
                      <w:szCs w:val="21"/>
                      <w:lang w:val="en-US" w:eastAsia="zh-CN" w:bidi="ar"/>
                    </w:rPr>
                  </w:pPr>
                  <w:r>
                    <w:rPr>
                      <w:rFonts w:hint="eastAsia"/>
                      <w:color w:val="auto"/>
                      <w:kern w:val="0"/>
                      <w:szCs w:val="21"/>
                      <w:lang w:val="en-US" w:eastAsia="zh-CN" w:bidi="ar"/>
                    </w:rPr>
                    <w:t>0.7</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PrEx>
              <w:trPr>
                <w:trHeight w:val="340" w:hRule="atLeast"/>
              </w:trPr>
              <w:tc>
                <w:tcPr>
                  <w:tcW w:w="710" w:type="pct"/>
                  <w:tcBorders>
                    <w:top w:val="single" w:color="auto" w:sz="4" w:space="0"/>
                    <w:left w:val="nil"/>
                    <w:bottom w:val="single" w:color="auto" w:sz="4" w:space="0"/>
                    <w:right w:val="single" w:color="auto" w:sz="4" w:space="0"/>
                  </w:tcBorders>
                  <w:shd w:val="clear" w:color="auto" w:fill="CCE8CF"/>
                  <w:vAlign w:val="center"/>
                </w:tcPr>
                <w:p>
                  <w:pPr>
                    <w:widowControl/>
                    <w:jc w:val="center"/>
                    <w:textAlignment w:val="center"/>
                    <w:rPr>
                      <w:color w:val="auto"/>
                      <w:kern w:val="0"/>
                      <w:szCs w:val="21"/>
                      <w:lang w:bidi="ar"/>
                    </w:rPr>
                  </w:pPr>
                  <w:r>
                    <w:rPr>
                      <w:rFonts w:hint="eastAsia"/>
                      <w:color w:val="auto"/>
                      <w:kern w:val="0"/>
                      <w:szCs w:val="21"/>
                      <w:lang w:bidi="ar"/>
                    </w:rPr>
                    <w:t>500</w:t>
                  </w:r>
                </w:p>
              </w:tc>
              <w:tc>
                <w:tcPr>
                  <w:tcW w:w="882" w:type="pct"/>
                  <w:tcBorders>
                    <w:top w:val="single" w:color="auto" w:sz="4" w:space="0"/>
                    <w:left w:val="single" w:color="auto" w:sz="4" w:space="0"/>
                    <w:bottom w:val="single" w:color="auto" w:sz="4" w:space="0"/>
                    <w:right w:val="single" w:color="auto" w:sz="4" w:space="0"/>
                  </w:tcBorders>
                  <w:shd w:val="clear" w:color="auto" w:fill="CCE8CF"/>
                  <w:vAlign w:val="center"/>
                </w:tcPr>
                <w:p>
                  <w:pPr>
                    <w:widowControl/>
                    <w:jc w:val="center"/>
                    <w:textAlignment w:val="center"/>
                    <w:rPr>
                      <w:rFonts w:hint="eastAsia"/>
                      <w:color w:val="auto"/>
                      <w:kern w:val="0"/>
                      <w:szCs w:val="21"/>
                      <w:lang w:bidi="ar"/>
                    </w:rPr>
                  </w:pPr>
                  <w:r>
                    <w:rPr>
                      <w:rFonts w:hint="eastAsia"/>
                      <w:color w:val="auto"/>
                      <w:kern w:val="0"/>
                      <w:szCs w:val="21"/>
                      <w:lang w:val="en-US" w:eastAsia="zh-CN" w:bidi="ar"/>
                    </w:rPr>
                    <w:t>0.0001</w:t>
                  </w:r>
                </w:p>
              </w:tc>
              <w:tc>
                <w:tcPr>
                  <w:tcW w:w="1030" w:type="pct"/>
                  <w:tcBorders>
                    <w:top w:val="single" w:color="auto" w:sz="4" w:space="0"/>
                    <w:left w:val="single" w:color="auto" w:sz="4" w:space="0"/>
                    <w:bottom w:val="single" w:color="auto" w:sz="4" w:space="0"/>
                    <w:right w:val="nil"/>
                  </w:tcBorders>
                  <w:shd w:val="clear" w:color="auto" w:fill="CCE8CF"/>
                  <w:vAlign w:val="center"/>
                </w:tcPr>
                <w:p>
                  <w:pPr>
                    <w:widowControl/>
                    <w:jc w:val="center"/>
                    <w:textAlignment w:val="center"/>
                    <w:rPr>
                      <w:rFonts w:hint="eastAsia"/>
                      <w:color w:val="auto"/>
                      <w:kern w:val="0"/>
                      <w:szCs w:val="21"/>
                      <w:lang w:bidi="ar"/>
                    </w:rPr>
                  </w:pPr>
                  <w:r>
                    <w:rPr>
                      <w:rFonts w:hint="eastAsia"/>
                      <w:color w:val="auto"/>
                      <w:kern w:val="0"/>
                      <w:szCs w:val="21"/>
                      <w:lang w:val="en-US" w:eastAsia="zh-CN" w:bidi="ar"/>
                    </w:rPr>
                    <w:t>0.01</w:t>
                  </w:r>
                </w:p>
              </w:tc>
              <w:tc>
                <w:tcPr>
                  <w:tcW w:w="1616" w:type="dxa"/>
                  <w:tcBorders>
                    <w:top w:val="single" w:color="auto" w:sz="4" w:space="0"/>
                    <w:left w:val="single" w:color="auto" w:sz="4" w:space="0"/>
                    <w:bottom w:val="single" w:color="auto" w:sz="4" w:space="0"/>
                    <w:right w:val="nil"/>
                  </w:tcBorders>
                  <w:shd w:val="clear" w:color="auto" w:fill="CCE8CF"/>
                  <w:vAlign w:val="center"/>
                </w:tcPr>
                <w:p>
                  <w:pPr>
                    <w:widowControl/>
                    <w:jc w:val="center"/>
                    <w:textAlignment w:val="center"/>
                    <w:rPr>
                      <w:rFonts w:hint="eastAsia"/>
                      <w:color w:val="auto"/>
                      <w:kern w:val="0"/>
                      <w:szCs w:val="21"/>
                      <w:lang w:val="en-US" w:eastAsia="zh-CN" w:bidi="ar"/>
                    </w:rPr>
                  </w:pPr>
                  <w:r>
                    <w:rPr>
                      <w:rFonts w:hint="eastAsia"/>
                      <w:color w:val="auto"/>
                      <w:kern w:val="0"/>
                      <w:szCs w:val="21"/>
                      <w:lang w:val="en-US" w:eastAsia="zh-CN" w:bidi="ar"/>
                    </w:rPr>
                    <w:t>500</w:t>
                  </w:r>
                </w:p>
              </w:tc>
              <w:tc>
                <w:tcPr>
                  <w:tcW w:w="1370" w:type="dxa"/>
                  <w:tcBorders>
                    <w:top w:val="single" w:color="auto" w:sz="4" w:space="0"/>
                    <w:left w:val="single" w:color="auto" w:sz="4" w:space="0"/>
                    <w:bottom w:val="single" w:color="auto" w:sz="4" w:space="0"/>
                    <w:right w:val="nil"/>
                  </w:tcBorders>
                  <w:shd w:val="clear" w:color="auto" w:fill="CCE8CF"/>
                  <w:vAlign w:val="center"/>
                </w:tcPr>
                <w:p>
                  <w:pPr>
                    <w:widowControl/>
                    <w:jc w:val="center"/>
                    <w:textAlignment w:val="center"/>
                    <w:rPr>
                      <w:rFonts w:hint="eastAsia"/>
                      <w:color w:val="auto"/>
                      <w:kern w:val="0"/>
                      <w:szCs w:val="21"/>
                      <w:lang w:val="en-US" w:eastAsia="zh-CN" w:bidi="ar"/>
                    </w:rPr>
                  </w:pPr>
                  <w:r>
                    <w:rPr>
                      <w:rFonts w:hint="eastAsia"/>
                      <w:color w:val="auto"/>
                      <w:kern w:val="0"/>
                      <w:szCs w:val="21"/>
                      <w:lang w:val="en-US" w:eastAsia="zh-CN" w:bidi="ar"/>
                    </w:rPr>
                    <w:t>0.0029</w:t>
                  </w:r>
                </w:p>
              </w:tc>
              <w:tc>
                <w:tcPr>
                  <w:tcW w:w="1134" w:type="dxa"/>
                  <w:tcBorders>
                    <w:top w:val="single" w:color="auto" w:sz="4" w:space="0"/>
                    <w:left w:val="single" w:color="auto" w:sz="4" w:space="0"/>
                    <w:bottom w:val="single" w:color="auto" w:sz="4" w:space="0"/>
                    <w:right w:val="nil"/>
                  </w:tcBorders>
                  <w:shd w:val="clear" w:color="auto" w:fill="CCE8CF"/>
                  <w:vAlign w:val="center"/>
                </w:tcPr>
                <w:p>
                  <w:pPr>
                    <w:widowControl/>
                    <w:jc w:val="center"/>
                    <w:textAlignment w:val="center"/>
                    <w:rPr>
                      <w:rFonts w:hint="eastAsia"/>
                      <w:color w:val="auto"/>
                      <w:kern w:val="0"/>
                      <w:szCs w:val="21"/>
                      <w:lang w:val="en-US" w:eastAsia="zh-CN" w:bidi="ar"/>
                    </w:rPr>
                  </w:pPr>
                  <w:r>
                    <w:rPr>
                      <w:rFonts w:hint="eastAsia"/>
                      <w:color w:val="auto"/>
                      <w:kern w:val="0"/>
                      <w:szCs w:val="21"/>
                      <w:lang w:val="en-US" w:eastAsia="zh-CN" w:bidi="ar"/>
                    </w:rPr>
                    <w:t>0.65</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PrEx>
              <w:trPr>
                <w:trHeight w:val="90" w:hRule="atLeast"/>
              </w:trPr>
              <w:tc>
                <w:tcPr>
                  <w:tcW w:w="710" w:type="pct"/>
                  <w:tcBorders>
                    <w:top w:val="single" w:color="auto" w:sz="4" w:space="0"/>
                    <w:left w:val="nil"/>
                    <w:bottom w:val="single" w:color="auto" w:sz="4" w:space="0"/>
                    <w:right w:val="single" w:color="auto" w:sz="4" w:space="0"/>
                  </w:tcBorders>
                  <w:shd w:val="clear" w:color="auto" w:fill="CCE8CF"/>
                  <w:vAlign w:val="center"/>
                </w:tcPr>
                <w:p>
                  <w:pPr>
                    <w:widowControl/>
                    <w:jc w:val="center"/>
                    <w:textAlignment w:val="center"/>
                    <w:rPr>
                      <w:color w:val="auto"/>
                      <w:kern w:val="0"/>
                      <w:szCs w:val="21"/>
                      <w:lang w:bidi="ar"/>
                    </w:rPr>
                  </w:pPr>
                  <w:r>
                    <w:rPr>
                      <w:rFonts w:hint="eastAsia"/>
                      <w:color w:val="auto"/>
                      <w:kern w:val="0"/>
                      <w:szCs w:val="21"/>
                      <w:lang w:bidi="ar"/>
                    </w:rPr>
                    <w:t>600</w:t>
                  </w:r>
                </w:p>
              </w:tc>
              <w:tc>
                <w:tcPr>
                  <w:tcW w:w="882" w:type="pct"/>
                  <w:tcBorders>
                    <w:top w:val="single" w:color="auto" w:sz="4" w:space="0"/>
                    <w:left w:val="single" w:color="auto" w:sz="4" w:space="0"/>
                    <w:bottom w:val="single" w:color="auto" w:sz="4" w:space="0"/>
                    <w:right w:val="single" w:color="auto" w:sz="4" w:space="0"/>
                  </w:tcBorders>
                  <w:shd w:val="clear" w:color="auto" w:fill="CCE8CF"/>
                  <w:vAlign w:val="center"/>
                </w:tcPr>
                <w:p>
                  <w:pPr>
                    <w:widowControl/>
                    <w:jc w:val="center"/>
                    <w:textAlignment w:val="center"/>
                    <w:rPr>
                      <w:rFonts w:hint="eastAsia"/>
                      <w:color w:val="auto"/>
                      <w:kern w:val="0"/>
                      <w:szCs w:val="21"/>
                      <w:lang w:bidi="ar"/>
                    </w:rPr>
                  </w:pPr>
                  <w:r>
                    <w:rPr>
                      <w:rFonts w:hint="eastAsia"/>
                      <w:color w:val="auto"/>
                      <w:kern w:val="0"/>
                      <w:szCs w:val="21"/>
                      <w:lang w:val="en-US" w:eastAsia="zh-CN" w:bidi="ar"/>
                    </w:rPr>
                    <w:t>0.0001</w:t>
                  </w:r>
                </w:p>
              </w:tc>
              <w:tc>
                <w:tcPr>
                  <w:tcW w:w="1030" w:type="pct"/>
                  <w:tcBorders>
                    <w:top w:val="single" w:color="auto" w:sz="4" w:space="0"/>
                    <w:left w:val="single" w:color="auto" w:sz="4" w:space="0"/>
                    <w:bottom w:val="single" w:color="auto" w:sz="4" w:space="0"/>
                    <w:right w:val="nil"/>
                  </w:tcBorders>
                  <w:shd w:val="clear" w:color="auto" w:fill="CCE8CF"/>
                  <w:vAlign w:val="center"/>
                </w:tcPr>
                <w:p>
                  <w:pPr>
                    <w:widowControl/>
                    <w:jc w:val="center"/>
                    <w:textAlignment w:val="center"/>
                    <w:rPr>
                      <w:rFonts w:hint="eastAsia"/>
                      <w:color w:val="auto"/>
                      <w:kern w:val="0"/>
                      <w:szCs w:val="21"/>
                      <w:lang w:bidi="ar"/>
                    </w:rPr>
                  </w:pPr>
                  <w:r>
                    <w:rPr>
                      <w:rFonts w:hint="eastAsia"/>
                      <w:color w:val="auto"/>
                      <w:kern w:val="0"/>
                      <w:szCs w:val="21"/>
                      <w:lang w:val="en-US" w:eastAsia="zh-CN" w:bidi="ar"/>
                    </w:rPr>
                    <w:t>0.01</w:t>
                  </w:r>
                </w:p>
              </w:tc>
              <w:tc>
                <w:tcPr>
                  <w:tcW w:w="1616" w:type="dxa"/>
                  <w:tcBorders>
                    <w:top w:val="single" w:color="auto" w:sz="4" w:space="0"/>
                    <w:left w:val="single" w:color="auto" w:sz="4" w:space="0"/>
                    <w:bottom w:val="single" w:color="auto" w:sz="4" w:space="0"/>
                    <w:right w:val="nil"/>
                  </w:tcBorders>
                  <w:shd w:val="clear" w:color="auto" w:fill="CCE8CF"/>
                  <w:vAlign w:val="center"/>
                </w:tcPr>
                <w:p>
                  <w:pPr>
                    <w:widowControl/>
                    <w:jc w:val="center"/>
                    <w:textAlignment w:val="center"/>
                    <w:rPr>
                      <w:rFonts w:hint="eastAsia"/>
                      <w:color w:val="auto"/>
                      <w:kern w:val="0"/>
                      <w:szCs w:val="21"/>
                      <w:lang w:val="en-US" w:eastAsia="zh-CN" w:bidi="ar"/>
                    </w:rPr>
                  </w:pPr>
                  <w:r>
                    <w:rPr>
                      <w:rFonts w:hint="eastAsia"/>
                      <w:color w:val="auto"/>
                      <w:kern w:val="0"/>
                      <w:szCs w:val="21"/>
                      <w:lang w:val="en-US" w:eastAsia="zh-CN" w:bidi="ar"/>
                    </w:rPr>
                    <w:t>600</w:t>
                  </w:r>
                </w:p>
              </w:tc>
              <w:tc>
                <w:tcPr>
                  <w:tcW w:w="1370" w:type="dxa"/>
                  <w:tcBorders>
                    <w:top w:val="single" w:color="auto" w:sz="4" w:space="0"/>
                    <w:left w:val="single" w:color="auto" w:sz="4" w:space="0"/>
                    <w:bottom w:val="single" w:color="auto" w:sz="4" w:space="0"/>
                    <w:right w:val="nil"/>
                  </w:tcBorders>
                  <w:shd w:val="clear" w:color="auto" w:fill="CCE8CF"/>
                  <w:vAlign w:val="center"/>
                </w:tcPr>
                <w:p>
                  <w:pPr>
                    <w:widowControl/>
                    <w:jc w:val="center"/>
                    <w:textAlignment w:val="center"/>
                    <w:rPr>
                      <w:rFonts w:hint="eastAsia"/>
                      <w:color w:val="auto"/>
                      <w:kern w:val="0"/>
                      <w:szCs w:val="21"/>
                      <w:lang w:val="en-US" w:eastAsia="zh-CN" w:bidi="ar"/>
                    </w:rPr>
                  </w:pPr>
                  <w:r>
                    <w:rPr>
                      <w:rFonts w:hint="eastAsia"/>
                      <w:color w:val="auto"/>
                      <w:kern w:val="0"/>
                      <w:szCs w:val="21"/>
                      <w:lang w:val="en-US" w:eastAsia="zh-CN" w:bidi="ar"/>
                    </w:rPr>
                    <w:t>0.0023</w:t>
                  </w:r>
                </w:p>
              </w:tc>
              <w:tc>
                <w:tcPr>
                  <w:tcW w:w="1134" w:type="dxa"/>
                  <w:tcBorders>
                    <w:top w:val="single" w:color="auto" w:sz="4" w:space="0"/>
                    <w:left w:val="single" w:color="auto" w:sz="4" w:space="0"/>
                    <w:bottom w:val="single" w:color="auto" w:sz="4" w:space="0"/>
                    <w:right w:val="nil"/>
                  </w:tcBorders>
                  <w:shd w:val="clear" w:color="auto" w:fill="CCE8CF"/>
                  <w:vAlign w:val="center"/>
                </w:tcPr>
                <w:p>
                  <w:pPr>
                    <w:widowControl/>
                    <w:jc w:val="center"/>
                    <w:textAlignment w:val="center"/>
                    <w:rPr>
                      <w:rFonts w:hint="eastAsia"/>
                      <w:color w:val="auto"/>
                      <w:kern w:val="0"/>
                      <w:szCs w:val="21"/>
                      <w:lang w:val="en-US" w:eastAsia="zh-CN" w:bidi="ar"/>
                    </w:rPr>
                  </w:pPr>
                  <w:r>
                    <w:rPr>
                      <w:rFonts w:hint="eastAsia"/>
                      <w:color w:val="auto"/>
                      <w:kern w:val="0"/>
                      <w:szCs w:val="21"/>
                      <w:lang w:val="en-US" w:eastAsia="zh-CN" w:bidi="ar"/>
                    </w:rPr>
                    <w:t>0.52</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PrEx>
              <w:trPr>
                <w:trHeight w:val="340" w:hRule="atLeast"/>
              </w:trPr>
              <w:tc>
                <w:tcPr>
                  <w:tcW w:w="710" w:type="pct"/>
                  <w:tcBorders>
                    <w:top w:val="single" w:color="auto" w:sz="4" w:space="0"/>
                    <w:left w:val="nil"/>
                    <w:bottom w:val="single" w:color="auto" w:sz="4" w:space="0"/>
                    <w:right w:val="single" w:color="auto" w:sz="4" w:space="0"/>
                  </w:tcBorders>
                  <w:shd w:val="clear" w:color="auto" w:fill="CCE8CF"/>
                  <w:vAlign w:val="center"/>
                </w:tcPr>
                <w:p>
                  <w:pPr>
                    <w:widowControl/>
                    <w:jc w:val="center"/>
                    <w:textAlignment w:val="center"/>
                    <w:rPr>
                      <w:color w:val="auto"/>
                      <w:kern w:val="0"/>
                      <w:szCs w:val="21"/>
                      <w:lang w:bidi="ar"/>
                    </w:rPr>
                  </w:pPr>
                  <w:r>
                    <w:rPr>
                      <w:rFonts w:hint="eastAsia"/>
                      <w:color w:val="auto"/>
                      <w:kern w:val="0"/>
                      <w:szCs w:val="21"/>
                      <w:lang w:bidi="ar"/>
                    </w:rPr>
                    <w:t>700</w:t>
                  </w:r>
                </w:p>
              </w:tc>
              <w:tc>
                <w:tcPr>
                  <w:tcW w:w="882" w:type="pct"/>
                  <w:tcBorders>
                    <w:top w:val="single" w:color="auto" w:sz="4" w:space="0"/>
                    <w:left w:val="single" w:color="auto" w:sz="4" w:space="0"/>
                    <w:bottom w:val="single" w:color="auto" w:sz="4" w:space="0"/>
                    <w:right w:val="single" w:color="auto" w:sz="4" w:space="0"/>
                  </w:tcBorders>
                  <w:shd w:val="clear" w:color="auto" w:fill="CCE8CF"/>
                  <w:vAlign w:val="center"/>
                </w:tcPr>
                <w:p>
                  <w:pPr>
                    <w:widowControl/>
                    <w:jc w:val="center"/>
                    <w:textAlignment w:val="center"/>
                    <w:rPr>
                      <w:rFonts w:hint="eastAsia"/>
                      <w:color w:val="auto"/>
                      <w:kern w:val="0"/>
                      <w:szCs w:val="21"/>
                      <w:lang w:bidi="ar"/>
                    </w:rPr>
                  </w:pPr>
                  <w:r>
                    <w:rPr>
                      <w:rFonts w:hint="eastAsia"/>
                      <w:color w:val="auto"/>
                      <w:kern w:val="0"/>
                      <w:szCs w:val="21"/>
                      <w:lang w:val="en-US" w:eastAsia="zh-CN" w:bidi="ar"/>
                    </w:rPr>
                    <w:t>0.0001</w:t>
                  </w:r>
                </w:p>
              </w:tc>
              <w:tc>
                <w:tcPr>
                  <w:tcW w:w="1030" w:type="pct"/>
                  <w:tcBorders>
                    <w:top w:val="single" w:color="auto" w:sz="4" w:space="0"/>
                    <w:left w:val="single" w:color="auto" w:sz="4" w:space="0"/>
                    <w:bottom w:val="single" w:color="auto" w:sz="4" w:space="0"/>
                    <w:right w:val="nil"/>
                  </w:tcBorders>
                  <w:shd w:val="clear" w:color="auto" w:fill="CCE8CF"/>
                  <w:vAlign w:val="center"/>
                </w:tcPr>
                <w:p>
                  <w:pPr>
                    <w:widowControl/>
                    <w:jc w:val="center"/>
                    <w:textAlignment w:val="center"/>
                    <w:rPr>
                      <w:rFonts w:hint="eastAsia"/>
                      <w:color w:val="auto"/>
                      <w:kern w:val="0"/>
                      <w:szCs w:val="21"/>
                      <w:lang w:bidi="ar"/>
                    </w:rPr>
                  </w:pPr>
                  <w:r>
                    <w:rPr>
                      <w:rFonts w:hint="eastAsia"/>
                      <w:color w:val="auto"/>
                      <w:kern w:val="0"/>
                      <w:szCs w:val="21"/>
                      <w:lang w:val="en-US" w:eastAsia="zh-CN" w:bidi="ar"/>
                    </w:rPr>
                    <w:t>0</w:t>
                  </w:r>
                </w:p>
              </w:tc>
              <w:tc>
                <w:tcPr>
                  <w:tcW w:w="1616" w:type="dxa"/>
                  <w:tcBorders>
                    <w:top w:val="single" w:color="auto" w:sz="4" w:space="0"/>
                    <w:left w:val="single" w:color="auto" w:sz="4" w:space="0"/>
                    <w:bottom w:val="single" w:color="auto" w:sz="4" w:space="0"/>
                    <w:right w:val="nil"/>
                  </w:tcBorders>
                  <w:shd w:val="clear" w:color="auto" w:fill="CCE8CF"/>
                  <w:vAlign w:val="center"/>
                </w:tcPr>
                <w:p>
                  <w:pPr>
                    <w:widowControl/>
                    <w:jc w:val="center"/>
                    <w:textAlignment w:val="center"/>
                    <w:rPr>
                      <w:rFonts w:hint="eastAsia"/>
                      <w:color w:val="auto"/>
                      <w:kern w:val="0"/>
                      <w:szCs w:val="21"/>
                      <w:lang w:val="en-US" w:eastAsia="zh-CN" w:bidi="ar"/>
                    </w:rPr>
                  </w:pPr>
                  <w:r>
                    <w:rPr>
                      <w:rFonts w:hint="eastAsia"/>
                      <w:color w:val="auto"/>
                      <w:kern w:val="0"/>
                      <w:szCs w:val="21"/>
                      <w:lang w:val="en-US" w:eastAsia="zh-CN" w:bidi="ar"/>
                    </w:rPr>
                    <w:t>700</w:t>
                  </w:r>
                </w:p>
              </w:tc>
              <w:tc>
                <w:tcPr>
                  <w:tcW w:w="1370" w:type="dxa"/>
                  <w:tcBorders>
                    <w:top w:val="single" w:color="auto" w:sz="4" w:space="0"/>
                    <w:left w:val="single" w:color="auto" w:sz="4" w:space="0"/>
                    <w:bottom w:val="single" w:color="auto" w:sz="4" w:space="0"/>
                    <w:right w:val="nil"/>
                  </w:tcBorders>
                  <w:shd w:val="clear" w:color="auto" w:fill="CCE8CF"/>
                  <w:vAlign w:val="center"/>
                </w:tcPr>
                <w:p>
                  <w:pPr>
                    <w:widowControl/>
                    <w:jc w:val="center"/>
                    <w:textAlignment w:val="center"/>
                    <w:rPr>
                      <w:rFonts w:hint="eastAsia"/>
                      <w:color w:val="auto"/>
                      <w:kern w:val="0"/>
                      <w:szCs w:val="21"/>
                      <w:lang w:val="en-US" w:eastAsia="zh-CN" w:bidi="ar"/>
                    </w:rPr>
                  </w:pPr>
                  <w:r>
                    <w:rPr>
                      <w:rFonts w:hint="eastAsia"/>
                      <w:color w:val="auto"/>
                      <w:kern w:val="0"/>
                      <w:szCs w:val="21"/>
                      <w:lang w:val="en-US" w:eastAsia="zh-CN" w:bidi="ar"/>
                    </w:rPr>
                    <w:t>0.0019</w:t>
                  </w:r>
                </w:p>
              </w:tc>
              <w:tc>
                <w:tcPr>
                  <w:tcW w:w="1134" w:type="dxa"/>
                  <w:tcBorders>
                    <w:top w:val="single" w:color="auto" w:sz="4" w:space="0"/>
                    <w:left w:val="single" w:color="auto" w:sz="4" w:space="0"/>
                    <w:bottom w:val="single" w:color="auto" w:sz="4" w:space="0"/>
                    <w:right w:val="nil"/>
                  </w:tcBorders>
                  <w:shd w:val="clear" w:color="auto" w:fill="CCE8CF"/>
                  <w:vAlign w:val="center"/>
                </w:tcPr>
                <w:p>
                  <w:pPr>
                    <w:widowControl/>
                    <w:jc w:val="center"/>
                    <w:textAlignment w:val="center"/>
                    <w:rPr>
                      <w:rFonts w:hint="eastAsia"/>
                      <w:color w:val="auto"/>
                      <w:kern w:val="0"/>
                      <w:szCs w:val="21"/>
                      <w:lang w:val="en-US" w:eastAsia="zh-CN" w:bidi="ar"/>
                    </w:rPr>
                  </w:pPr>
                  <w:r>
                    <w:rPr>
                      <w:rFonts w:hint="eastAsia"/>
                      <w:color w:val="auto"/>
                      <w:kern w:val="0"/>
                      <w:szCs w:val="21"/>
                      <w:lang w:val="en-US" w:eastAsia="zh-CN" w:bidi="ar"/>
                    </w:rPr>
                    <w:t>0.42</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PrEx>
              <w:trPr>
                <w:trHeight w:val="340" w:hRule="atLeast"/>
              </w:trPr>
              <w:tc>
                <w:tcPr>
                  <w:tcW w:w="710" w:type="pct"/>
                  <w:tcBorders>
                    <w:top w:val="single" w:color="auto" w:sz="4" w:space="0"/>
                    <w:left w:val="nil"/>
                    <w:bottom w:val="single" w:color="auto" w:sz="4" w:space="0"/>
                    <w:right w:val="single" w:color="auto" w:sz="4" w:space="0"/>
                  </w:tcBorders>
                  <w:shd w:val="clear" w:color="auto" w:fill="CCE8CF"/>
                  <w:vAlign w:val="center"/>
                </w:tcPr>
                <w:p>
                  <w:pPr>
                    <w:widowControl/>
                    <w:jc w:val="center"/>
                    <w:textAlignment w:val="center"/>
                    <w:rPr>
                      <w:color w:val="auto"/>
                      <w:kern w:val="0"/>
                      <w:szCs w:val="21"/>
                      <w:lang w:bidi="ar"/>
                    </w:rPr>
                  </w:pPr>
                  <w:r>
                    <w:rPr>
                      <w:rFonts w:hint="eastAsia"/>
                      <w:color w:val="auto"/>
                      <w:kern w:val="0"/>
                      <w:szCs w:val="21"/>
                      <w:lang w:bidi="ar"/>
                    </w:rPr>
                    <w:t>800</w:t>
                  </w:r>
                </w:p>
              </w:tc>
              <w:tc>
                <w:tcPr>
                  <w:tcW w:w="882" w:type="pct"/>
                  <w:tcBorders>
                    <w:top w:val="single" w:color="auto" w:sz="4" w:space="0"/>
                    <w:left w:val="single" w:color="auto" w:sz="4" w:space="0"/>
                    <w:bottom w:val="single" w:color="auto" w:sz="4" w:space="0"/>
                    <w:right w:val="single" w:color="auto" w:sz="4" w:space="0"/>
                  </w:tcBorders>
                  <w:shd w:val="clear" w:color="auto" w:fill="CCE8CF"/>
                  <w:vAlign w:val="center"/>
                </w:tcPr>
                <w:p>
                  <w:pPr>
                    <w:widowControl/>
                    <w:jc w:val="center"/>
                    <w:textAlignment w:val="center"/>
                    <w:rPr>
                      <w:rFonts w:hint="eastAsia"/>
                      <w:color w:val="auto"/>
                      <w:kern w:val="0"/>
                      <w:szCs w:val="21"/>
                      <w:lang w:bidi="ar"/>
                    </w:rPr>
                  </w:pPr>
                  <w:r>
                    <w:rPr>
                      <w:rFonts w:hint="eastAsia"/>
                      <w:color w:val="auto"/>
                      <w:kern w:val="0"/>
                      <w:szCs w:val="21"/>
                      <w:lang w:val="en-US" w:eastAsia="zh-CN" w:bidi="ar"/>
                    </w:rPr>
                    <w:t>0.0001</w:t>
                  </w:r>
                </w:p>
              </w:tc>
              <w:tc>
                <w:tcPr>
                  <w:tcW w:w="1030" w:type="pct"/>
                  <w:tcBorders>
                    <w:top w:val="single" w:color="auto" w:sz="4" w:space="0"/>
                    <w:left w:val="single" w:color="auto" w:sz="4" w:space="0"/>
                    <w:bottom w:val="single" w:color="auto" w:sz="4" w:space="0"/>
                    <w:right w:val="nil"/>
                  </w:tcBorders>
                  <w:shd w:val="clear" w:color="auto" w:fill="CCE8CF"/>
                  <w:vAlign w:val="center"/>
                </w:tcPr>
                <w:p>
                  <w:pPr>
                    <w:widowControl/>
                    <w:jc w:val="center"/>
                    <w:textAlignment w:val="center"/>
                    <w:rPr>
                      <w:rFonts w:hint="eastAsia"/>
                      <w:color w:val="auto"/>
                      <w:kern w:val="0"/>
                      <w:szCs w:val="21"/>
                      <w:lang w:bidi="ar"/>
                    </w:rPr>
                  </w:pPr>
                  <w:r>
                    <w:rPr>
                      <w:rFonts w:hint="eastAsia"/>
                      <w:color w:val="auto"/>
                      <w:kern w:val="0"/>
                      <w:szCs w:val="21"/>
                      <w:lang w:val="en-US" w:eastAsia="zh-CN" w:bidi="ar"/>
                    </w:rPr>
                    <w:t>0</w:t>
                  </w:r>
                </w:p>
              </w:tc>
              <w:tc>
                <w:tcPr>
                  <w:tcW w:w="1616" w:type="dxa"/>
                  <w:tcBorders>
                    <w:top w:val="single" w:color="auto" w:sz="4" w:space="0"/>
                    <w:left w:val="single" w:color="auto" w:sz="4" w:space="0"/>
                    <w:bottom w:val="single" w:color="auto" w:sz="4" w:space="0"/>
                    <w:right w:val="nil"/>
                  </w:tcBorders>
                  <w:shd w:val="clear" w:color="auto" w:fill="CCE8CF"/>
                  <w:vAlign w:val="center"/>
                </w:tcPr>
                <w:p>
                  <w:pPr>
                    <w:widowControl/>
                    <w:jc w:val="center"/>
                    <w:textAlignment w:val="center"/>
                    <w:rPr>
                      <w:rFonts w:hint="eastAsia"/>
                      <w:color w:val="auto"/>
                      <w:kern w:val="0"/>
                      <w:szCs w:val="21"/>
                      <w:lang w:val="en-US" w:eastAsia="zh-CN" w:bidi="ar"/>
                    </w:rPr>
                  </w:pPr>
                  <w:r>
                    <w:rPr>
                      <w:rFonts w:hint="eastAsia"/>
                      <w:color w:val="auto"/>
                      <w:kern w:val="0"/>
                      <w:szCs w:val="21"/>
                      <w:lang w:val="en-US" w:eastAsia="zh-CN" w:bidi="ar"/>
                    </w:rPr>
                    <w:t>800</w:t>
                  </w:r>
                </w:p>
              </w:tc>
              <w:tc>
                <w:tcPr>
                  <w:tcW w:w="1370" w:type="dxa"/>
                  <w:tcBorders>
                    <w:top w:val="single" w:color="auto" w:sz="4" w:space="0"/>
                    <w:left w:val="single" w:color="auto" w:sz="4" w:space="0"/>
                    <w:bottom w:val="single" w:color="auto" w:sz="4" w:space="0"/>
                    <w:right w:val="nil"/>
                  </w:tcBorders>
                  <w:shd w:val="clear" w:color="auto" w:fill="CCE8CF"/>
                  <w:vAlign w:val="center"/>
                </w:tcPr>
                <w:p>
                  <w:pPr>
                    <w:widowControl/>
                    <w:jc w:val="center"/>
                    <w:textAlignment w:val="center"/>
                    <w:rPr>
                      <w:rFonts w:hint="eastAsia"/>
                      <w:color w:val="auto"/>
                      <w:kern w:val="0"/>
                      <w:szCs w:val="21"/>
                      <w:lang w:val="en-US" w:eastAsia="zh-CN" w:bidi="ar"/>
                    </w:rPr>
                  </w:pPr>
                  <w:r>
                    <w:rPr>
                      <w:rFonts w:hint="eastAsia"/>
                      <w:color w:val="auto"/>
                      <w:kern w:val="0"/>
                      <w:szCs w:val="21"/>
                      <w:lang w:val="en-US" w:eastAsia="zh-CN" w:bidi="ar"/>
                    </w:rPr>
                    <w:t>0.0016</w:t>
                  </w:r>
                </w:p>
              </w:tc>
              <w:tc>
                <w:tcPr>
                  <w:tcW w:w="1134" w:type="dxa"/>
                  <w:tcBorders>
                    <w:top w:val="single" w:color="auto" w:sz="4" w:space="0"/>
                    <w:left w:val="single" w:color="auto" w:sz="4" w:space="0"/>
                    <w:bottom w:val="single" w:color="auto" w:sz="4" w:space="0"/>
                    <w:right w:val="nil"/>
                  </w:tcBorders>
                  <w:shd w:val="clear" w:color="auto" w:fill="CCE8CF"/>
                  <w:vAlign w:val="center"/>
                </w:tcPr>
                <w:p>
                  <w:pPr>
                    <w:widowControl/>
                    <w:jc w:val="center"/>
                    <w:textAlignment w:val="center"/>
                    <w:rPr>
                      <w:rFonts w:hint="eastAsia"/>
                      <w:color w:val="auto"/>
                      <w:kern w:val="0"/>
                      <w:szCs w:val="21"/>
                      <w:lang w:val="en-US" w:eastAsia="zh-CN" w:bidi="ar"/>
                    </w:rPr>
                  </w:pPr>
                  <w:r>
                    <w:rPr>
                      <w:rFonts w:hint="eastAsia"/>
                      <w:color w:val="auto"/>
                      <w:kern w:val="0"/>
                      <w:szCs w:val="21"/>
                      <w:lang w:val="en-US" w:eastAsia="zh-CN" w:bidi="ar"/>
                    </w:rPr>
                    <w:t>0.36</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PrEx>
              <w:trPr>
                <w:trHeight w:val="340" w:hRule="atLeast"/>
              </w:trPr>
              <w:tc>
                <w:tcPr>
                  <w:tcW w:w="710" w:type="pct"/>
                  <w:tcBorders>
                    <w:top w:val="single" w:color="auto" w:sz="4" w:space="0"/>
                    <w:left w:val="nil"/>
                    <w:bottom w:val="single" w:color="auto" w:sz="4" w:space="0"/>
                    <w:right w:val="single" w:color="auto" w:sz="4" w:space="0"/>
                  </w:tcBorders>
                  <w:shd w:val="clear" w:color="auto" w:fill="CCE8CF"/>
                  <w:vAlign w:val="center"/>
                </w:tcPr>
                <w:p>
                  <w:pPr>
                    <w:widowControl/>
                    <w:jc w:val="center"/>
                    <w:textAlignment w:val="center"/>
                    <w:rPr>
                      <w:color w:val="auto"/>
                      <w:kern w:val="0"/>
                      <w:szCs w:val="21"/>
                      <w:lang w:bidi="ar"/>
                    </w:rPr>
                  </w:pPr>
                  <w:r>
                    <w:rPr>
                      <w:rFonts w:hint="eastAsia"/>
                      <w:color w:val="auto"/>
                      <w:kern w:val="0"/>
                      <w:szCs w:val="21"/>
                      <w:lang w:bidi="ar"/>
                    </w:rPr>
                    <w:t>900</w:t>
                  </w:r>
                </w:p>
              </w:tc>
              <w:tc>
                <w:tcPr>
                  <w:tcW w:w="882" w:type="pct"/>
                  <w:tcBorders>
                    <w:top w:val="single" w:color="auto" w:sz="4" w:space="0"/>
                    <w:left w:val="single" w:color="auto" w:sz="4" w:space="0"/>
                    <w:bottom w:val="single" w:color="auto" w:sz="4" w:space="0"/>
                    <w:right w:val="single" w:color="auto" w:sz="4" w:space="0"/>
                  </w:tcBorders>
                  <w:shd w:val="clear" w:color="auto" w:fill="CCE8CF"/>
                  <w:vAlign w:val="center"/>
                </w:tcPr>
                <w:p>
                  <w:pPr>
                    <w:widowControl/>
                    <w:jc w:val="center"/>
                    <w:textAlignment w:val="center"/>
                    <w:rPr>
                      <w:rFonts w:hint="eastAsia"/>
                      <w:color w:val="auto"/>
                      <w:kern w:val="0"/>
                      <w:szCs w:val="21"/>
                      <w:lang w:bidi="ar"/>
                    </w:rPr>
                  </w:pPr>
                  <w:r>
                    <w:rPr>
                      <w:rFonts w:hint="eastAsia"/>
                      <w:color w:val="auto"/>
                      <w:kern w:val="0"/>
                      <w:szCs w:val="21"/>
                      <w:lang w:val="en-US" w:eastAsia="zh-CN" w:bidi="ar"/>
                    </w:rPr>
                    <w:t>0.0001</w:t>
                  </w:r>
                </w:p>
              </w:tc>
              <w:tc>
                <w:tcPr>
                  <w:tcW w:w="1030" w:type="pct"/>
                  <w:tcBorders>
                    <w:top w:val="single" w:color="auto" w:sz="4" w:space="0"/>
                    <w:left w:val="single" w:color="auto" w:sz="4" w:space="0"/>
                    <w:bottom w:val="single" w:color="auto" w:sz="4" w:space="0"/>
                    <w:right w:val="nil"/>
                  </w:tcBorders>
                  <w:shd w:val="clear" w:color="auto" w:fill="CCE8CF"/>
                  <w:vAlign w:val="center"/>
                </w:tcPr>
                <w:p>
                  <w:pPr>
                    <w:widowControl/>
                    <w:jc w:val="center"/>
                    <w:textAlignment w:val="center"/>
                    <w:rPr>
                      <w:rFonts w:hint="eastAsia"/>
                      <w:color w:val="auto"/>
                      <w:kern w:val="0"/>
                      <w:szCs w:val="21"/>
                      <w:lang w:bidi="ar"/>
                    </w:rPr>
                  </w:pPr>
                  <w:r>
                    <w:rPr>
                      <w:rFonts w:hint="eastAsia"/>
                      <w:color w:val="auto"/>
                      <w:kern w:val="0"/>
                      <w:szCs w:val="21"/>
                      <w:lang w:val="en-US" w:eastAsia="zh-CN" w:bidi="ar"/>
                    </w:rPr>
                    <w:t>0</w:t>
                  </w:r>
                </w:p>
              </w:tc>
              <w:tc>
                <w:tcPr>
                  <w:tcW w:w="1616" w:type="dxa"/>
                  <w:tcBorders>
                    <w:top w:val="single" w:color="auto" w:sz="4" w:space="0"/>
                    <w:left w:val="single" w:color="auto" w:sz="4" w:space="0"/>
                    <w:bottom w:val="single" w:color="auto" w:sz="4" w:space="0"/>
                    <w:right w:val="nil"/>
                  </w:tcBorders>
                  <w:shd w:val="clear" w:color="auto" w:fill="CCE8CF"/>
                  <w:vAlign w:val="center"/>
                </w:tcPr>
                <w:p>
                  <w:pPr>
                    <w:widowControl/>
                    <w:jc w:val="center"/>
                    <w:textAlignment w:val="center"/>
                    <w:rPr>
                      <w:rFonts w:hint="eastAsia"/>
                      <w:color w:val="auto"/>
                      <w:kern w:val="0"/>
                      <w:szCs w:val="21"/>
                      <w:lang w:val="en-US" w:eastAsia="zh-CN" w:bidi="ar"/>
                    </w:rPr>
                  </w:pPr>
                  <w:r>
                    <w:rPr>
                      <w:rFonts w:hint="eastAsia"/>
                      <w:color w:val="auto"/>
                      <w:kern w:val="0"/>
                      <w:szCs w:val="21"/>
                      <w:lang w:val="en-US" w:eastAsia="zh-CN" w:bidi="ar"/>
                    </w:rPr>
                    <w:t>900</w:t>
                  </w:r>
                </w:p>
              </w:tc>
              <w:tc>
                <w:tcPr>
                  <w:tcW w:w="1370" w:type="dxa"/>
                  <w:tcBorders>
                    <w:top w:val="single" w:color="auto" w:sz="4" w:space="0"/>
                    <w:left w:val="single" w:color="auto" w:sz="4" w:space="0"/>
                    <w:bottom w:val="single" w:color="auto" w:sz="4" w:space="0"/>
                    <w:right w:val="nil"/>
                  </w:tcBorders>
                  <w:shd w:val="clear" w:color="auto" w:fill="CCE8CF"/>
                  <w:vAlign w:val="center"/>
                </w:tcPr>
                <w:p>
                  <w:pPr>
                    <w:widowControl/>
                    <w:jc w:val="center"/>
                    <w:textAlignment w:val="center"/>
                    <w:rPr>
                      <w:rFonts w:hint="eastAsia"/>
                      <w:color w:val="auto"/>
                      <w:kern w:val="0"/>
                      <w:szCs w:val="21"/>
                      <w:lang w:val="en-US" w:eastAsia="zh-CN" w:bidi="ar"/>
                    </w:rPr>
                  </w:pPr>
                  <w:r>
                    <w:rPr>
                      <w:rFonts w:hint="eastAsia"/>
                      <w:color w:val="auto"/>
                      <w:kern w:val="0"/>
                      <w:szCs w:val="21"/>
                      <w:lang w:val="en-US" w:eastAsia="zh-CN" w:bidi="ar"/>
                    </w:rPr>
                    <w:t>0.0014</w:t>
                  </w:r>
                </w:p>
              </w:tc>
              <w:tc>
                <w:tcPr>
                  <w:tcW w:w="1134" w:type="dxa"/>
                  <w:tcBorders>
                    <w:top w:val="single" w:color="auto" w:sz="4" w:space="0"/>
                    <w:left w:val="single" w:color="auto" w:sz="4" w:space="0"/>
                    <w:bottom w:val="single" w:color="auto" w:sz="4" w:space="0"/>
                    <w:right w:val="nil"/>
                  </w:tcBorders>
                  <w:shd w:val="clear" w:color="auto" w:fill="CCE8CF"/>
                  <w:vAlign w:val="center"/>
                </w:tcPr>
                <w:p>
                  <w:pPr>
                    <w:widowControl/>
                    <w:jc w:val="center"/>
                    <w:textAlignment w:val="center"/>
                    <w:rPr>
                      <w:rFonts w:hint="eastAsia"/>
                      <w:color w:val="auto"/>
                      <w:kern w:val="0"/>
                      <w:szCs w:val="21"/>
                      <w:lang w:val="en-US" w:eastAsia="zh-CN" w:bidi="ar"/>
                    </w:rPr>
                  </w:pPr>
                  <w:r>
                    <w:rPr>
                      <w:rFonts w:hint="eastAsia"/>
                      <w:color w:val="auto"/>
                      <w:kern w:val="0"/>
                      <w:szCs w:val="21"/>
                      <w:lang w:val="en-US" w:eastAsia="zh-CN" w:bidi="ar"/>
                    </w:rPr>
                    <w:t>0.31</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PrEx>
              <w:trPr>
                <w:trHeight w:val="340" w:hRule="atLeast"/>
              </w:trPr>
              <w:tc>
                <w:tcPr>
                  <w:tcW w:w="710" w:type="pct"/>
                  <w:tcBorders>
                    <w:top w:val="single" w:color="auto" w:sz="4" w:space="0"/>
                    <w:left w:val="nil"/>
                    <w:bottom w:val="single" w:color="auto" w:sz="4" w:space="0"/>
                    <w:right w:val="single" w:color="auto" w:sz="4" w:space="0"/>
                  </w:tcBorders>
                  <w:shd w:val="clear" w:color="auto" w:fill="CCE8CF"/>
                  <w:vAlign w:val="center"/>
                </w:tcPr>
                <w:p>
                  <w:pPr>
                    <w:widowControl/>
                    <w:jc w:val="center"/>
                    <w:textAlignment w:val="center"/>
                    <w:rPr>
                      <w:color w:val="auto"/>
                      <w:kern w:val="0"/>
                      <w:szCs w:val="21"/>
                      <w:lang w:bidi="ar"/>
                    </w:rPr>
                  </w:pPr>
                  <w:r>
                    <w:rPr>
                      <w:rFonts w:hint="eastAsia"/>
                      <w:color w:val="auto"/>
                      <w:kern w:val="0"/>
                      <w:szCs w:val="21"/>
                      <w:lang w:bidi="ar"/>
                    </w:rPr>
                    <w:t>1000</w:t>
                  </w:r>
                </w:p>
              </w:tc>
              <w:tc>
                <w:tcPr>
                  <w:tcW w:w="882" w:type="pct"/>
                  <w:tcBorders>
                    <w:top w:val="single" w:color="auto" w:sz="4" w:space="0"/>
                    <w:left w:val="single" w:color="auto" w:sz="4" w:space="0"/>
                    <w:bottom w:val="single" w:color="auto" w:sz="4" w:space="0"/>
                    <w:right w:val="single" w:color="auto" w:sz="4" w:space="0"/>
                  </w:tcBorders>
                  <w:shd w:val="clear" w:color="auto" w:fill="CCE8CF"/>
                  <w:vAlign w:val="center"/>
                </w:tcPr>
                <w:p>
                  <w:pPr>
                    <w:widowControl/>
                    <w:jc w:val="center"/>
                    <w:textAlignment w:val="center"/>
                    <w:rPr>
                      <w:rFonts w:hint="eastAsia"/>
                      <w:color w:val="auto"/>
                      <w:kern w:val="0"/>
                      <w:szCs w:val="21"/>
                      <w:lang w:bidi="ar"/>
                    </w:rPr>
                  </w:pPr>
                  <w:r>
                    <w:rPr>
                      <w:rFonts w:hint="eastAsia"/>
                      <w:color w:val="auto"/>
                      <w:kern w:val="0"/>
                      <w:szCs w:val="21"/>
                      <w:lang w:val="en-US" w:eastAsia="zh-CN" w:bidi="ar"/>
                    </w:rPr>
                    <w:t>0.0001</w:t>
                  </w:r>
                </w:p>
              </w:tc>
              <w:tc>
                <w:tcPr>
                  <w:tcW w:w="1030" w:type="pct"/>
                  <w:tcBorders>
                    <w:top w:val="single" w:color="auto" w:sz="4" w:space="0"/>
                    <w:left w:val="single" w:color="auto" w:sz="4" w:space="0"/>
                    <w:bottom w:val="single" w:color="auto" w:sz="4" w:space="0"/>
                    <w:right w:val="nil"/>
                  </w:tcBorders>
                  <w:shd w:val="clear" w:color="auto" w:fill="CCE8CF"/>
                  <w:vAlign w:val="center"/>
                </w:tcPr>
                <w:p>
                  <w:pPr>
                    <w:widowControl/>
                    <w:jc w:val="center"/>
                    <w:textAlignment w:val="center"/>
                    <w:rPr>
                      <w:rFonts w:hint="eastAsia"/>
                      <w:color w:val="auto"/>
                      <w:kern w:val="0"/>
                      <w:szCs w:val="21"/>
                      <w:lang w:bidi="ar"/>
                    </w:rPr>
                  </w:pPr>
                  <w:r>
                    <w:rPr>
                      <w:rFonts w:hint="eastAsia"/>
                      <w:color w:val="auto"/>
                      <w:kern w:val="0"/>
                      <w:szCs w:val="21"/>
                      <w:lang w:val="en-US" w:eastAsia="zh-CN" w:bidi="ar"/>
                    </w:rPr>
                    <w:t>0</w:t>
                  </w:r>
                </w:p>
              </w:tc>
              <w:tc>
                <w:tcPr>
                  <w:tcW w:w="1616" w:type="dxa"/>
                  <w:tcBorders>
                    <w:top w:val="single" w:color="auto" w:sz="4" w:space="0"/>
                    <w:left w:val="single" w:color="auto" w:sz="4" w:space="0"/>
                    <w:bottom w:val="single" w:color="auto" w:sz="4" w:space="0"/>
                    <w:right w:val="nil"/>
                  </w:tcBorders>
                  <w:shd w:val="clear" w:color="auto" w:fill="CCE8CF"/>
                  <w:vAlign w:val="center"/>
                </w:tcPr>
                <w:p>
                  <w:pPr>
                    <w:widowControl/>
                    <w:jc w:val="center"/>
                    <w:textAlignment w:val="center"/>
                    <w:rPr>
                      <w:rFonts w:hint="eastAsia"/>
                      <w:color w:val="auto"/>
                      <w:kern w:val="0"/>
                      <w:szCs w:val="21"/>
                      <w:lang w:val="en-US" w:eastAsia="zh-CN" w:bidi="ar"/>
                    </w:rPr>
                  </w:pPr>
                  <w:r>
                    <w:rPr>
                      <w:rFonts w:hint="eastAsia"/>
                      <w:color w:val="auto"/>
                      <w:kern w:val="0"/>
                      <w:szCs w:val="21"/>
                      <w:lang w:val="en-US" w:eastAsia="zh-CN" w:bidi="ar"/>
                    </w:rPr>
                    <w:t>1000</w:t>
                  </w:r>
                </w:p>
              </w:tc>
              <w:tc>
                <w:tcPr>
                  <w:tcW w:w="1370" w:type="dxa"/>
                  <w:tcBorders>
                    <w:top w:val="single" w:color="auto" w:sz="4" w:space="0"/>
                    <w:left w:val="single" w:color="auto" w:sz="4" w:space="0"/>
                    <w:bottom w:val="single" w:color="auto" w:sz="4" w:space="0"/>
                    <w:right w:val="nil"/>
                  </w:tcBorders>
                  <w:shd w:val="clear" w:color="auto" w:fill="CCE8CF"/>
                  <w:vAlign w:val="center"/>
                </w:tcPr>
                <w:p>
                  <w:pPr>
                    <w:widowControl/>
                    <w:jc w:val="center"/>
                    <w:textAlignment w:val="center"/>
                    <w:rPr>
                      <w:rFonts w:hint="eastAsia"/>
                      <w:color w:val="auto"/>
                      <w:kern w:val="0"/>
                      <w:szCs w:val="21"/>
                      <w:lang w:val="en-US" w:eastAsia="zh-CN" w:bidi="ar"/>
                    </w:rPr>
                  </w:pPr>
                  <w:r>
                    <w:rPr>
                      <w:rFonts w:hint="eastAsia"/>
                      <w:color w:val="auto"/>
                      <w:kern w:val="0"/>
                      <w:szCs w:val="21"/>
                      <w:lang w:val="en-US" w:eastAsia="zh-CN" w:bidi="ar"/>
                    </w:rPr>
                    <w:t>0.0012</w:t>
                  </w:r>
                </w:p>
              </w:tc>
              <w:tc>
                <w:tcPr>
                  <w:tcW w:w="1134" w:type="dxa"/>
                  <w:tcBorders>
                    <w:top w:val="single" w:color="auto" w:sz="4" w:space="0"/>
                    <w:left w:val="single" w:color="auto" w:sz="4" w:space="0"/>
                    <w:bottom w:val="single" w:color="auto" w:sz="4" w:space="0"/>
                    <w:right w:val="nil"/>
                  </w:tcBorders>
                  <w:shd w:val="clear" w:color="auto" w:fill="CCE8CF"/>
                  <w:vAlign w:val="center"/>
                </w:tcPr>
                <w:p>
                  <w:pPr>
                    <w:widowControl/>
                    <w:jc w:val="center"/>
                    <w:textAlignment w:val="center"/>
                    <w:rPr>
                      <w:rFonts w:hint="eastAsia"/>
                      <w:color w:val="auto"/>
                      <w:kern w:val="0"/>
                      <w:szCs w:val="21"/>
                      <w:lang w:val="en-US" w:eastAsia="zh-CN" w:bidi="ar"/>
                    </w:rPr>
                  </w:pPr>
                  <w:r>
                    <w:rPr>
                      <w:rFonts w:hint="eastAsia"/>
                      <w:color w:val="auto"/>
                      <w:kern w:val="0"/>
                      <w:szCs w:val="21"/>
                      <w:lang w:val="en-US" w:eastAsia="zh-CN" w:bidi="ar"/>
                    </w:rPr>
                    <w:t>0.27</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PrEx>
              <w:trPr>
                <w:trHeight w:val="340" w:hRule="atLeast"/>
              </w:trPr>
              <w:tc>
                <w:tcPr>
                  <w:tcW w:w="710" w:type="pct"/>
                  <w:tcBorders>
                    <w:top w:val="single" w:color="auto" w:sz="4" w:space="0"/>
                    <w:left w:val="nil"/>
                    <w:bottom w:val="single" w:color="auto" w:sz="4" w:space="0"/>
                    <w:right w:val="single" w:color="auto" w:sz="4" w:space="0"/>
                  </w:tcBorders>
                  <w:shd w:val="clear" w:color="auto" w:fill="CCE8CF"/>
                  <w:vAlign w:val="center"/>
                </w:tcPr>
                <w:p>
                  <w:pPr>
                    <w:widowControl/>
                    <w:jc w:val="center"/>
                    <w:textAlignment w:val="center"/>
                    <w:rPr>
                      <w:color w:val="auto"/>
                      <w:kern w:val="0"/>
                      <w:szCs w:val="21"/>
                      <w:lang w:bidi="ar"/>
                    </w:rPr>
                  </w:pPr>
                  <w:r>
                    <w:rPr>
                      <w:rFonts w:hint="eastAsia"/>
                      <w:color w:val="auto"/>
                      <w:kern w:val="0"/>
                      <w:szCs w:val="21"/>
                      <w:lang w:bidi="ar"/>
                    </w:rPr>
                    <w:t>1500</w:t>
                  </w:r>
                </w:p>
              </w:tc>
              <w:tc>
                <w:tcPr>
                  <w:tcW w:w="882" w:type="pct"/>
                  <w:tcBorders>
                    <w:top w:val="single" w:color="auto" w:sz="4" w:space="0"/>
                    <w:left w:val="single" w:color="auto" w:sz="4" w:space="0"/>
                    <w:bottom w:val="single" w:color="auto" w:sz="4" w:space="0"/>
                    <w:right w:val="single" w:color="auto" w:sz="4" w:space="0"/>
                  </w:tcBorders>
                  <w:shd w:val="clear" w:color="auto" w:fill="CCE8CF"/>
                  <w:vAlign w:val="center"/>
                </w:tcPr>
                <w:p>
                  <w:pPr>
                    <w:widowControl/>
                    <w:jc w:val="center"/>
                    <w:textAlignment w:val="center"/>
                    <w:rPr>
                      <w:rFonts w:hint="eastAsia"/>
                      <w:color w:val="auto"/>
                      <w:kern w:val="0"/>
                      <w:szCs w:val="21"/>
                      <w:lang w:bidi="ar"/>
                    </w:rPr>
                  </w:pPr>
                  <w:r>
                    <w:rPr>
                      <w:rFonts w:hint="eastAsia"/>
                      <w:color w:val="auto"/>
                      <w:kern w:val="0"/>
                      <w:szCs w:val="21"/>
                      <w:lang w:val="en-US" w:eastAsia="zh-CN" w:bidi="ar"/>
                    </w:rPr>
                    <w:t>0</w:t>
                  </w:r>
                </w:p>
              </w:tc>
              <w:tc>
                <w:tcPr>
                  <w:tcW w:w="1030" w:type="pct"/>
                  <w:tcBorders>
                    <w:top w:val="single" w:color="auto" w:sz="4" w:space="0"/>
                    <w:left w:val="single" w:color="auto" w:sz="4" w:space="0"/>
                    <w:bottom w:val="single" w:color="auto" w:sz="4" w:space="0"/>
                    <w:right w:val="nil"/>
                  </w:tcBorders>
                  <w:shd w:val="clear" w:color="auto" w:fill="CCE8CF"/>
                  <w:vAlign w:val="center"/>
                </w:tcPr>
                <w:p>
                  <w:pPr>
                    <w:widowControl/>
                    <w:jc w:val="center"/>
                    <w:textAlignment w:val="center"/>
                    <w:rPr>
                      <w:rFonts w:hint="eastAsia"/>
                      <w:color w:val="auto"/>
                      <w:kern w:val="0"/>
                      <w:szCs w:val="21"/>
                      <w:lang w:bidi="ar"/>
                    </w:rPr>
                  </w:pPr>
                  <w:r>
                    <w:rPr>
                      <w:rFonts w:hint="eastAsia"/>
                      <w:color w:val="auto"/>
                      <w:kern w:val="0"/>
                      <w:szCs w:val="21"/>
                      <w:lang w:val="en-US" w:eastAsia="zh-CN" w:bidi="ar"/>
                    </w:rPr>
                    <w:t>0</w:t>
                  </w:r>
                </w:p>
              </w:tc>
              <w:tc>
                <w:tcPr>
                  <w:tcW w:w="1616" w:type="dxa"/>
                  <w:tcBorders>
                    <w:top w:val="single" w:color="auto" w:sz="4" w:space="0"/>
                    <w:left w:val="single" w:color="auto" w:sz="4" w:space="0"/>
                    <w:bottom w:val="single" w:color="auto" w:sz="4" w:space="0"/>
                    <w:right w:val="nil"/>
                  </w:tcBorders>
                  <w:shd w:val="clear" w:color="auto" w:fill="CCE8CF"/>
                  <w:vAlign w:val="center"/>
                </w:tcPr>
                <w:p>
                  <w:pPr>
                    <w:widowControl/>
                    <w:jc w:val="center"/>
                    <w:textAlignment w:val="center"/>
                    <w:rPr>
                      <w:rFonts w:hint="eastAsia"/>
                      <w:color w:val="auto"/>
                      <w:kern w:val="0"/>
                      <w:szCs w:val="21"/>
                      <w:lang w:val="en-US" w:eastAsia="zh-CN" w:bidi="ar"/>
                    </w:rPr>
                  </w:pPr>
                  <w:r>
                    <w:rPr>
                      <w:rFonts w:hint="eastAsia"/>
                      <w:color w:val="auto"/>
                      <w:kern w:val="0"/>
                      <w:szCs w:val="21"/>
                      <w:lang w:val="en-US" w:eastAsia="zh-CN" w:bidi="ar"/>
                    </w:rPr>
                    <w:t>1500</w:t>
                  </w:r>
                </w:p>
              </w:tc>
              <w:tc>
                <w:tcPr>
                  <w:tcW w:w="1370" w:type="dxa"/>
                  <w:tcBorders>
                    <w:top w:val="single" w:color="auto" w:sz="4" w:space="0"/>
                    <w:left w:val="single" w:color="auto" w:sz="4" w:space="0"/>
                    <w:bottom w:val="single" w:color="auto" w:sz="4" w:space="0"/>
                    <w:right w:val="nil"/>
                  </w:tcBorders>
                  <w:shd w:val="clear" w:color="auto" w:fill="CCE8CF"/>
                  <w:vAlign w:val="center"/>
                </w:tcPr>
                <w:p>
                  <w:pPr>
                    <w:widowControl/>
                    <w:jc w:val="center"/>
                    <w:textAlignment w:val="center"/>
                    <w:rPr>
                      <w:rFonts w:hint="eastAsia"/>
                      <w:color w:val="auto"/>
                      <w:kern w:val="0"/>
                      <w:szCs w:val="21"/>
                      <w:lang w:val="en-US" w:eastAsia="zh-CN" w:bidi="ar"/>
                    </w:rPr>
                  </w:pPr>
                  <w:r>
                    <w:rPr>
                      <w:rFonts w:hint="eastAsia"/>
                      <w:color w:val="auto"/>
                      <w:kern w:val="0"/>
                      <w:szCs w:val="21"/>
                      <w:lang w:val="en-US" w:eastAsia="zh-CN" w:bidi="ar"/>
                    </w:rPr>
                    <w:t>0.0007</w:t>
                  </w:r>
                </w:p>
              </w:tc>
              <w:tc>
                <w:tcPr>
                  <w:tcW w:w="1134" w:type="dxa"/>
                  <w:tcBorders>
                    <w:top w:val="single" w:color="auto" w:sz="4" w:space="0"/>
                    <w:left w:val="single" w:color="auto" w:sz="4" w:space="0"/>
                    <w:bottom w:val="single" w:color="auto" w:sz="4" w:space="0"/>
                    <w:right w:val="nil"/>
                  </w:tcBorders>
                  <w:shd w:val="clear" w:color="auto" w:fill="CCE8CF"/>
                  <w:vAlign w:val="center"/>
                </w:tcPr>
                <w:p>
                  <w:pPr>
                    <w:widowControl/>
                    <w:jc w:val="center"/>
                    <w:textAlignment w:val="center"/>
                    <w:rPr>
                      <w:rFonts w:hint="eastAsia"/>
                      <w:color w:val="auto"/>
                      <w:kern w:val="0"/>
                      <w:szCs w:val="21"/>
                      <w:lang w:val="en-US" w:eastAsia="zh-CN" w:bidi="ar"/>
                    </w:rPr>
                  </w:pPr>
                  <w:r>
                    <w:rPr>
                      <w:rFonts w:hint="eastAsia"/>
                      <w:color w:val="auto"/>
                      <w:kern w:val="0"/>
                      <w:szCs w:val="21"/>
                      <w:lang w:val="en-US" w:eastAsia="zh-CN" w:bidi="ar"/>
                    </w:rPr>
                    <w:t>0.15</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PrEx>
              <w:trPr>
                <w:trHeight w:val="340" w:hRule="atLeast"/>
              </w:trPr>
              <w:tc>
                <w:tcPr>
                  <w:tcW w:w="710" w:type="pct"/>
                  <w:tcBorders>
                    <w:top w:val="single" w:color="auto" w:sz="4" w:space="0"/>
                    <w:left w:val="nil"/>
                    <w:bottom w:val="single" w:color="auto" w:sz="4" w:space="0"/>
                    <w:right w:val="single" w:color="auto" w:sz="4" w:space="0"/>
                  </w:tcBorders>
                  <w:shd w:val="clear" w:color="auto" w:fill="CCE8CF"/>
                  <w:vAlign w:val="center"/>
                </w:tcPr>
                <w:p>
                  <w:pPr>
                    <w:widowControl/>
                    <w:jc w:val="center"/>
                    <w:textAlignment w:val="center"/>
                    <w:rPr>
                      <w:color w:val="auto"/>
                      <w:kern w:val="0"/>
                      <w:szCs w:val="21"/>
                      <w:lang w:bidi="ar"/>
                    </w:rPr>
                  </w:pPr>
                  <w:r>
                    <w:rPr>
                      <w:rFonts w:hint="eastAsia"/>
                      <w:color w:val="auto"/>
                      <w:kern w:val="0"/>
                      <w:szCs w:val="21"/>
                      <w:lang w:bidi="ar"/>
                    </w:rPr>
                    <w:t>2000</w:t>
                  </w:r>
                </w:p>
              </w:tc>
              <w:tc>
                <w:tcPr>
                  <w:tcW w:w="882" w:type="pct"/>
                  <w:tcBorders>
                    <w:top w:val="single" w:color="auto" w:sz="4" w:space="0"/>
                    <w:left w:val="single" w:color="auto" w:sz="4" w:space="0"/>
                    <w:bottom w:val="single" w:color="auto" w:sz="4" w:space="0"/>
                    <w:right w:val="single" w:color="auto" w:sz="4" w:space="0"/>
                  </w:tcBorders>
                  <w:shd w:val="clear" w:color="auto" w:fill="CCE8CF"/>
                  <w:vAlign w:val="center"/>
                </w:tcPr>
                <w:p>
                  <w:pPr>
                    <w:widowControl/>
                    <w:jc w:val="center"/>
                    <w:textAlignment w:val="center"/>
                    <w:rPr>
                      <w:rFonts w:hint="eastAsia"/>
                      <w:color w:val="auto"/>
                      <w:kern w:val="0"/>
                      <w:szCs w:val="21"/>
                      <w:lang w:bidi="ar"/>
                    </w:rPr>
                  </w:pPr>
                  <w:r>
                    <w:rPr>
                      <w:rFonts w:hint="eastAsia"/>
                      <w:color w:val="auto"/>
                      <w:kern w:val="0"/>
                      <w:szCs w:val="21"/>
                      <w:lang w:val="en-US" w:eastAsia="zh-CN" w:bidi="ar"/>
                    </w:rPr>
                    <w:t>0</w:t>
                  </w:r>
                </w:p>
              </w:tc>
              <w:tc>
                <w:tcPr>
                  <w:tcW w:w="1030" w:type="pct"/>
                  <w:tcBorders>
                    <w:top w:val="single" w:color="auto" w:sz="4" w:space="0"/>
                    <w:left w:val="single" w:color="auto" w:sz="4" w:space="0"/>
                    <w:bottom w:val="single" w:color="auto" w:sz="4" w:space="0"/>
                    <w:right w:val="nil"/>
                  </w:tcBorders>
                  <w:shd w:val="clear" w:color="auto" w:fill="CCE8CF"/>
                  <w:vAlign w:val="center"/>
                </w:tcPr>
                <w:p>
                  <w:pPr>
                    <w:widowControl/>
                    <w:jc w:val="center"/>
                    <w:textAlignment w:val="center"/>
                    <w:rPr>
                      <w:rFonts w:hint="eastAsia"/>
                      <w:color w:val="auto"/>
                      <w:kern w:val="0"/>
                      <w:szCs w:val="21"/>
                      <w:lang w:bidi="ar"/>
                    </w:rPr>
                  </w:pPr>
                  <w:r>
                    <w:rPr>
                      <w:rFonts w:hint="eastAsia"/>
                      <w:color w:val="auto"/>
                      <w:kern w:val="0"/>
                      <w:szCs w:val="21"/>
                      <w:lang w:val="en-US" w:eastAsia="zh-CN" w:bidi="ar"/>
                    </w:rPr>
                    <w:t>0</w:t>
                  </w:r>
                </w:p>
              </w:tc>
              <w:tc>
                <w:tcPr>
                  <w:tcW w:w="1616" w:type="dxa"/>
                  <w:tcBorders>
                    <w:top w:val="single" w:color="auto" w:sz="4" w:space="0"/>
                    <w:left w:val="single" w:color="auto" w:sz="4" w:space="0"/>
                    <w:bottom w:val="single" w:color="auto" w:sz="4" w:space="0"/>
                    <w:right w:val="nil"/>
                  </w:tcBorders>
                  <w:shd w:val="clear" w:color="auto" w:fill="CCE8CF"/>
                  <w:vAlign w:val="center"/>
                </w:tcPr>
                <w:p>
                  <w:pPr>
                    <w:widowControl/>
                    <w:jc w:val="center"/>
                    <w:textAlignment w:val="center"/>
                    <w:rPr>
                      <w:rFonts w:hint="eastAsia"/>
                      <w:color w:val="auto"/>
                      <w:kern w:val="0"/>
                      <w:szCs w:val="21"/>
                      <w:lang w:val="en-US" w:eastAsia="zh-CN" w:bidi="ar"/>
                    </w:rPr>
                  </w:pPr>
                  <w:r>
                    <w:rPr>
                      <w:rFonts w:hint="eastAsia"/>
                      <w:color w:val="auto"/>
                      <w:kern w:val="0"/>
                      <w:szCs w:val="21"/>
                      <w:lang w:val="en-US" w:eastAsia="zh-CN" w:bidi="ar"/>
                    </w:rPr>
                    <w:t>2000</w:t>
                  </w:r>
                </w:p>
              </w:tc>
              <w:tc>
                <w:tcPr>
                  <w:tcW w:w="1370" w:type="dxa"/>
                  <w:tcBorders>
                    <w:top w:val="single" w:color="auto" w:sz="4" w:space="0"/>
                    <w:left w:val="single" w:color="auto" w:sz="4" w:space="0"/>
                    <w:bottom w:val="single" w:color="auto" w:sz="4" w:space="0"/>
                    <w:right w:val="nil"/>
                  </w:tcBorders>
                  <w:shd w:val="clear" w:color="auto" w:fill="CCE8CF"/>
                  <w:vAlign w:val="center"/>
                </w:tcPr>
                <w:p>
                  <w:pPr>
                    <w:widowControl/>
                    <w:jc w:val="center"/>
                    <w:textAlignment w:val="center"/>
                    <w:rPr>
                      <w:rFonts w:hint="eastAsia"/>
                      <w:color w:val="auto"/>
                      <w:kern w:val="0"/>
                      <w:szCs w:val="21"/>
                      <w:lang w:val="en-US" w:eastAsia="zh-CN" w:bidi="ar"/>
                    </w:rPr>
                  </w:pPr>
                  <w:r>
                    <w:rPr>
                      <w:rFonts w:hint="eastAsia"/>
                      <w:color w:val="auto"/>
                      <w:kern w:val="0"/>
                      <w:szCs w:val="21"/>
                      <w:lang w:val="en-US" w:eastAsia="zh-CN" w:bidi="ar"/>
                    </w:rPr>
                    <w:t>0.0005</w:t>
                  </w:r>
                </w:p>
              </w:tc>
              <w:tc>
                <w:tcPr>
                  <w:tcW w:w="1134" w:type="dxa"/>
                  <w:tcBorders>
                    <w:top w:val="single" w:color="auto" w:sz="4" w:space="0"/>
                    <w:left w:val="single" w:color="auto" w:sz="4" w:space="0"/>
                    <w:bottom w:val="single" w:color="auto" w:sz="4" w:space="0"/>
                    <w:right w:val="nil"/>
                  </w:tcBorders>
                  <w:shd w:val="clear" w:color="auto" w:fill="CCE8CF"/>
                  <w:vAlign w:val="center"/>
                </w:tcPr>
                <w:p>
                  <w:pPr>
                    <w:widowControl/>
                    <w:jc w:val="center"/>
                    <w:textAlignment w:val="center"/>
                    <w:rPr>
                      <w:rFonts w:hint="eastAsia"/>
                      <w:color w:val="auto"/>
                      <w:kern w:val="0"/>
                      <w:szCs w:val="21"/>
                      <w:lang w:val="en-US" w:eastAsia="zh-CN" w:bidi="ar"/>
                    </w:rPr>
                  </w:pPr>
                  <w:r>
                    <w:rPr>
                      <w:rFonts w:hint="eastAsia"/>
                      <w:color w:val="auto"/>
                      <w:kern w:val="0"/>
                      <w:szCs w:val="21"/>
                      <w:lang w:val="en-US" w:eastAsia="zh-CN" w:bidi="ar"/>
                    </w:rPr>
                    <w:t>0.1</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PrEx>
              <w:trPr>
                <w:trHeight w:val="315" w:hRule="atLeast"/>
              </w:trPr>
              <w:tc>
                <w:tcPr>
                  <w:tcW w:w="710" w:type="pct"/>
                  <w:tcBorders>
                    <w:top w:val="single" w:color="auto" w:sz="4" w:space="0"/>
                    <w:left w:val="nil"/>
                    <w:bottom w:val="single" w:color="auto" w:sz="4" w:space="0"/>
                    <w:right w:val="single" w:color="auto" w:sz="4" w:space="0"/>
                  </w:tcBorders>
                  <w:shd w:val="clear" w:color="auto" w:fill="CCE8CF"/>
                  <w:vAlign w:val="center"/>
                </w:tcPr>
                <w:p>
                  <w:pPr>
                    <w:widowControl/>
                    <w:jc w:val="center"/>
                    <w:textAlignment w:val="center"/>
                    <w:rPr>
                      <w:color w:val="auto"/>
                      <w:kern w:val="0"/>
                      <w:szCs w:val="21"/>
                      <w:lang w:bidi="ar"/>
                    </w:rPr>
                  </w:pPr>
                  <w:r>
                    <w:rPr>
                      <w:rFonts w:hint="eastAsia"/>
                      <w:color w:val="auto"/>
                      <w:kern w:val="0"/>
                      <w:szCs w:val="21"/>
                      <w:lang w:bidi="ar"/>
                    </w:rPr>
                    <w:t>2500</w:t>
                  </w:r>
                </w:p>
              </w:tc>
              <w:tc>
                <w:tcPr>
                  <w:tcW w:w="882" w:type="pct"/>
                  <w:tcBorders>
                    <w:top w:val="single" w:color="auto" w:sz="4" w:space="0"/>
                    <w:left w:val="single" w:color="auto" w:sz="4" w:space="0"/>
                    <w:bottom w:val="single" w:color="auto" w:sz="4" w:space="0"/>
                    <w:right w:val="single" w:color="auto" w:sz="4" w:space="0"/>
                  </w:tcBorders>
                  <w:shd w:val="clear" w:color="auto" w:fill="CCE8CF"/>
                  <w:vAlign w:val="center"/>
                </w:tcPr>
                <w:p>
                  <w:pPr>
                    <w:widowControl/>
                    <w:jc w:val="center"/>
                    <w:textAlignment w:val="center"/>
                    <w:rPr>
                      <w:rFonts w:hint="eastAsia"/>
                      <w:color w:val="auto"/>
                      <w:kern w:val="0"/>
                      <w:szCs w:val="21"/>
                      <w:lang w:bidi="ar"/>
                    </w:rPr>
                  </w:pPr>
                  <w:r>
                    <w:rPr>
                      <w:rFonts w:hint="eastAsia"/>
                      <w:color w:val="auto"/>
                      <w:kern w:val="0"/>
                      <w:szCs w:val="21"/>
                      <w:lang w:val="en-US" w:eastAsia="zh-CN" w:bidi="ar"/>
                    </w:rPr>
                    <w:t>0</w:t>
                  </w:r>
                </w:p>
              </w:tc>
              <w:tc>
                <w:tcPr>
                  <w:tcW w:w="1030" w:type="pct"/>
                  <w:tcBorders>
                    <w:top w:val="single" w:color="auto" w:sz="4" w:space="0"/>
                    <w:left w:val="single" w:color="auto" w:sz="4" w:space="0"/>
                    <w:bottom w:val="single" w:color="auto" w:sz="4" w:space="0"/>
                    <w:right w:val="nil"/>
                  </w:tcBorders>
                  <w:shd w:val="clear" w:color="auto" w:fill="CCE8CF"/>
                  <w:vAlign w:val="center"/>
                </w:tcPr>
                <w:p>
                  <w:pPr>
                    <w:widowControl/>
                    <w:jc w:val="center"/>
                    <w:textAlignment w:val="center"/>
                    <w:rPr>
                      <w:rFonts w:hint="eastAsia"/>
                      <w:color w:val="auto"/>
                      <w:kern w:val="0"/>
                      <w:szCs w:val="21"/>
                      <w:lang w:bidi="ar"/>
                    </w:rPr>
                  </w:pPr>
                  <w:r>
                    <w:rPr>
                      <w:rFonts w:hint="eastAsia"/>
                      <w:color w:val="auto"/>
                      <w:kern w:val="0"/>
                      <w:szCs w:val="21"/>
                      <w:lang w:val="en-US" w:eastAsia="zh-CN" w:bidi="ar"/>
                    </w:rPr>
                    <w:t>0</w:t>
                  </w:r>
                </w:p>
              </w:tc>
              <w:tc>
                <w:tcPr>
                  <w:tcW w:w="1616" w:type="dxa"/>
                  <w:tcBorders>
                    <w:top w:val="single" w:color="auto" w:sz="4" w:space="0"/>
                    <w:left w:val="single" w:color="auto" w:sz="4" w:space="0"/>
                    <w:bottom w:val="single" w:color="auto" w:sz="4" w:space="0"/>
                    <w:right w:val="nil"/>
                  </w:tcBorders>
                  <w:shd w:val="clear" w:color="auto" w:fill="CCE8CF"/>
                  <w:vAlign w:val="center"/>
                </w:tcPr>
                <w:p>
                  <w:pPr>
                    <w:widowControl/>
                    <w:jc w:val="center"/>
                    <w:textAlignment w:val="center"/>
                    <w:rPr>
                      <w:rFonts w:hint="eastAsia"/>
                      <w:color w:val="auto"/>
                      <w:kern w:val="0"/>
                      <w:szCs w:val="21"/>
                      <w:lang w:val="en-US" w:eastAsia="zh-CN" w:bidi="ar"/>
                    </w:rPr>
                  </w:pPr>
                  <w:r>
                    <w:rPr>
                      <w:rFonts w:hint="eastAsia"/>
                      <w:color w:val="auto"/>
                      <w:kern w:val="0"/>
                      <w:szCs w:val="21"/>
                      <w:lang w:val="en-US" w:eastAsia="zh-CN" w:bidi="ar"/>
                    </w:rPr>
                    <w:t>2500</w:t>
                  </w:r>
                </w:p>
              </w:tc>
              <w:tc>
                <w:tcPr>
                  <w:tcW w:w="1370" w:type="dxa"/>
                  <w:tcBorders>
                    <w:top w:val="single" w:color="auto" w:sz="4" w:space="0"/>
                    <w:left w:val="single" w:color="auto" w:sz="4" w:space="0"/>
                    <w:bottom w:val="single" w:color="auto" w:sz="4" w:space="0"/>
                    <w:right w:val="nil"/>
                  </w:tcBorders>
                  <w:shd w:val="clear" w:color="auto" w:fill="CCE8CF"/>
                  <w:vAlign w:val="center"/>
                </w:tcPr>
                <w:p>
                  <w:pPr>
                    <w:widowControl/>
                    <w:jc w:val="center"/>
                    <w:textAlignment w:val="center"/>
                    <w:rPr>
                      <w:rFonts w:hint="eastAsia"/>
                      <w:color w:val="auto"/>
                      <w:kern w:val="0"/>
                      <w:szCs w:val="21"/>
                      <w:lang w:val="en-US" w:eastAsia="zh-CN" w:bidi="ar"/>
                    </w:rPr>
                  </w:pPr>
                  <w:r>
                    <w:rPr>
                      <w:rFonts w:hint="eastAsia"/>
                      <w:color w:val="auto"/>
                      <w:kern w:val="0"/>
                      <w:szCs w:val="21"/>
                      <w:lang w:val="en-US" w:eastAsia="zh-CN" w:bidi="ar"/>
                    </w:rPr>
                    <w:t>0.0003</w:t>
                  </w:r>
                </w:p>
              </w:tc>
              <w:tc>
                <w:tcPr>
                  <w:tcW w:w="1134" w:type="dxa"/>
                  <w:tcBorders>
                    <w:top w:val="single" w:color="auto" w:sz="4" w:space="0"/>
                    <w:left w:val="single" w:color="auto" w:sz="4" w:space="0"/>
                    <w:bottom w:val="single" w:color="auto" w:sz="4" w:space="0"/>
                    <w:right w:val="nil"/>
                  </w:tcBorders>
                  <w:shd w:val="clear" w:color="auto" w:fill="CCE8CF"/>
                  <w:vAlign w:val="center"/>
                </w:tcPr>
                <w:p>
                  <w:pPr>
                    <w:widowControl/>
                    <w:jc w:val="center"/>
                    <w:textAlignment w:val="center"/>
                    <w:rPr>
                      <w:rFonts w:hint="eastAsia"/>
                      <w:color w:val="auto"/>
                      <w:kern w:val="0"/>
                      <w:szCs w:val="21"/>
                      <w:lang w:val="en-US" w:eastAsia="zh-CN" w:bidi="ar"/>
                    </w:rPr>
                  </w:pPr>
                  <w:r>
                    <w:rPr>
                      <w:rFonts w:hint="eastAsia"/>
                      <w:color w:val="auto"/>
                      <w:kern w:val="0"/>
                      <w:szCs w:val="21"/>
                      <w:lang w:val="en-US" w:eastAsia="zh-CN" w:bidi="ar"/>
                    </w:rPr>
                    <w:t>0.08</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PrEx>
              <w:trPr>
                <w:trHeight w:val="443" w:hRule="atLeast"/>
              </w:trPr>
              <w:tc>
                <w:tcPr>
                  <w:tcW w:w="710" w:type="pct"/>
                  <w:tcBorders>
                    <w:top w:val="single" w:color="auto" w:sz="4" w:space="0"/>
                    <w:left w:val="nil"/>
                    <w:bottom w:val="single" w:color="auto" w:sz="4" w:space="0"/>
                    <w:right w:val="single" w:color="auto" w:sz="4" w:space="0"/>
                  </w:tcBorders>
                  <w:shd w:val="clear" w:color="auto" w:fill="CCE8CF"/>
                  <w:vAlign w:val="center"/>
                </w:tcPr>
                <w:p>
                  <w:pPr>
                    <w:pStyle w:val="210"/>
                    <w:rPr>
                      <w:color w:val="auto"/>
                      <w:kern w:val="0"/>
                      <w:szCs w:val="21"/>
                      <w:lang w:val="en-US" w:bidi="ar"/>
                    </w:rPr>
                  </w:pPr>
                  <w:r>
                    <w:rPr>
                      <w:color w:val="auto"/>
                      <w:kern w:val="0"/>
                      <w:szCs w:val="21"/>
                      <w:lang w:val="en-US" w:bidi="ar"/>
                    </w:rPr>
                    <w:t>最大地面浓度</w:t>
                  </w:r>
                  <w:r>
                    <w:rPr>
                      <w:rFonts w:hint="eastAsia"/>
                      <w:color w:val="auto"/>
                      <w:kern w:val="0"/>
                      <w:szCs w:val="21"/>
                      <w:lang w:val="en-US" w:bidi="ar"/>
                    </w:rPr>
                    <w:t>及占标率</w:t>
                  </w:r>
                </w:p>
              </w:tc>
              <w:tc>
                <w:tcPr>
                  <w:tcW w:w="882" w:type="pct"/>
                  <w:tcBorders>
                    <w:top w:val="single" w:color="auto" w:sz="4" w:space="0"/>
                    <w:left w:val="single" w:color="auto" w:sz="4" w:space="0"/>
                    <w:bottom w:val="single" w:color="auto" w:sz="4" w:space="0"/>
                    <w:right w:val="single" w:color="auto" w:sz="4" w:space="0"/>
                  </w:tcBorders>
                  <w:shd w:val="clear" w:color="auto" w:fill="CCE8CF"/>
                  <w:vAlign w:val="center"/>
                </w:tcPr>
                <w:p>
                  <w:pPr>
                    <w:widowControl/>
                    <w:jc w:val="center"/>
                    <w:textAlignment w:val="center"/>
                    <w:rPr>
                      <w:rFonts w:hint="eastAsia"/>
                      <w:color w:val="auto"/>
                      <w:kern w:val="0"/>
                      <w:szCs w:val="21"/>
                      <w:lang w:bidi="ar"/>
                    </w:rPr>
                  </w:pPr>
                  <w:r>
                    <w:rPr>
                      <w:rFonts w:hint="eastAsia"/>
                      <w:color w:val="auto"/>
                      <w:kern w:val="0"/>
                      <w:szCs w:val="21"/>
                      <w:lang w:val="en-US" w:eastAsia="zh-CN" w:bidi="ar"/>
                    </w:rPr>
                    <w:t>0.0021</w:t>
                  </w:r>
                </w:p>
              </w:tc>
              <w:tc>
                <w:tcPr>
                  <w:tcW w:w="1030" w:type="pct"/>
                  <w:tcBorders>
                    <w:top w:val="single" w:color="auto" w:sz="4" w:space="0"/>
                    <w:left w:val="single" w:color="auto" w:sz="4" w:space="0"/>
                    <w:bottom w:val="single" w:color="auto" w:sz="4" w:space="0"/>
                    <w:right w:val="nil"/>
                  </w:tcBorders>
                  <w:shd w:val="clear" w:color="auto" w:fill="CCE8CF"/>
                  <w:vAlign w:val="center"/>
                </w:tcPr>
                <w:p>
                  <w:pPr>
                    <w:widowControl/>
                    <w:jc w:val="center"/>
                    <w:textAlignment w:val="center"/>
                    <w:rPr>
                      <w:rFonts w:hint="eastAsia"/>
                      <w:color w:val="auto"/>
                      <w:kern w:val="0"/>
                      <w:szCs w:val="21"/>
                      <w:lang w:bidi="ar"/>
                    </w:rPr>
                  </w:pPr>
                  <w:r>
                    <w:rPr>
                      <w:rFonts w:hint="eastAsia"/>
                      <w:color w:val="auto"/>
                      <w:kern w:val="0"/>
                      <w:szCs w:val="21"/>
                      <w:lang w:val="en-US" w:eastAsia="zh-CN" w:bidi="ar"/>
                    </w:rPr>
                    <w:t>0.1</w:t>
                  </w:r>
                </w:p>
              </w:tc>
              <w:tc>
                <w:tcPr>
                  <w:tcW w:w="932" w:type="pct"/>
                  <w:tcBorders>
                    <w:top w:val="single" w:color="auto" w:sz="4" w:space="0"/>
                    <w:left w:val="single" w:color="auto" w:sz="4" w:space="0"/>
                    <w:bottom w:val="single" w:color="auto" w:sz="4" w:space="0"/>
                    <w:right w:val="nil"/>
                  </w:tcBorders>
                  <w:shd w:val="clear" w:color="auto" w:fill="CCE8CF"/>
                  <w:vAlign w:val="center"/>
                </w:tcPr>
                <w:p>
                  <w:pPr>
                    <w:widowControl/>
                    <w:jc w:val="center"/>
                    <w:textAlignment w:val="center"/>
                    <w:rPr>
                      <w:rFonts w:hint="eastAsia"/>
                      <w:color w:val="auto"/>
                      <w:kern w:val="0"/>
                      <w:szCs w:val="21"/>
                      <w:lang w:val="en-US" w:eastAsia="zh-CN" w:bidi="ar"/>
                    </w:rPr>
                  </w:pPr>
                  <w:r>
                    <w:rPr>
                      <w:color w:val="auto"/>
                      <w:kern w:val="0"/>
                      <w:szCs w:val="21"/>
                      <w:lang w:val="en-US" w:bidi="ar"/>
                    </w:rPr>
                    <w:t>最大地面浓度</w:t>
                  </w:r>
                  <w:r>
                    <w:rPr>
                      <w:rFonts w:hint="eastAsia"/>
                      <w:color w:val="auto"/>
                      <w:kern w:val="0"/>
                      <w:szCs w:val="21"/>
                      <w:lang w:val="en-US" w:bidi="ar"/>
                    </w:rPr>
                    <w:t>及占标率</w:t>
                  </w:r>
                </w:p>
              </w:tc>
              <w:tc>
                <w:tcPr>
                  <w:tcW w:w="1370" w:type="dxa"/>
                  <w:tcBorders>
                    <w:top w:val="single" w:color="auto" w:sz="4" w:space="0"/>
                    <w:left w:val="single" w:color="auto" w:sz="4" w:space="0"/>
                    <w:bottom w:val="single" w:color="auto" w:sz="4" w:space="0"/>
                    <w:right w:val="nil"/>
                  </w:tcBorders>
                  <w:shd w:val="clear" w:color="auto" w:fill="CCE8CF"/>
                  <w:vAlign w:val="center"/>
                </w:tcPr>
                <w:p>
                  <w:pPr>
                    <w:widowControl/>
                    <w:jc w:val="center"/>
                    <w:textAlignment w:val="center"/>
                    <w:rPr>
                      <w:rFonts w:hint="eastAsia"/>
                      <w:color w:val="auto"/>
                      <w:kern w:val="0"/>
                      <w:szCs w:val="21"/>
                      <w:lang w:val="en-US" w:eastAsia="zh-CN" w:bidi="ar"/>
                    </w:rPr>
                  </w:pPr>
                  <w:r>
                    <w:rPr>
                      <w:rFonts w:hint="eastAsia"/>
                      <w:color w:val="auto"/>
                      <w:kern w:val="0"/>
                      <w:szCs w:val="21"/>
                      <w:lang w:val="en-US" w:eastAsia="zh-CN" w:bidi="ar"/>
                    </w:rPr>
                    <w:t>0.0273</w:t>
                  </w:r>
                </w:p>
              </w:tc>
              <w:tc>
                <w:tcPr>
                  <w:tcW w:w="1134" w:type="dxa"/>
                  <w:tcBorders>
                    <w:top w:val="single" w:color="auto" w:sz="4" w:space="0"/>
                    <w:left w:val="single" w:color="auto" w:sz="4" w:space="0"/>
                    <w:bottom w:val="single" w:color="auto" w:sz="4" w:space="0"/>
                    <w:right w:val="nil"/>
                  </w:tcBorders>
                  <w:shd w:val="clear" w:color="auto" w:fill="CCE8CF"/>
                  <w:vAlign w:val="center"/>
                </w:tcPr>
                <w:p>
                  <w:pPr>
                    <w:widowControl/>
                    <w:jc w:val="center"/>
                    <w:textAlignment w:val="center"/>
                    <w:rPr>
                      <w:rFonts w:hint="eastAsia"/>
                      <w:color w:val="auto"/>
                      <w:kern w:val="0"/>
                      <w:szCs w:val="21"/>
                      <w:lang w:val="en-US" w:eastAsia="zh-CN" w:bidi="ar"/>
                    </w:rPr>
                  </w:pPr>
                  <w:r>
                    <w:rPr>
                      <w:rFonts w:hint="eastAsia"/>
                      <w:color w:val="auto"/>
                      <w:kern w:val="0"/>
                      <w:szCs w:val="21"/>
                      <w:lang w:val="en-US" w:eastAsia="zh-CN" w:bidi="ar"/>
                    </w:rPr>
                    <w:t>6.06</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PrEx>
              <w:trPr>
                <w:trHeight w:val="340" w:hRule="atLeast"/>
              </w:trPr>
              <w:tc>
                <w:tcPr>
                  <w:tcW w:w="710" w:type="pct"/>
                  <w:tcBorders>
                    <w:top w:val="single" w:color="auto" w:sz="4" w:space="0"/>
                    <w:left w:val="nil"/>
                    <w:bottom w:val="single" w:color="auto" w:sz="12" w:space="0"/>
                    <w:right w:val="single" w:color="auto" w:sz="4" w:space="0"/>
                  </w:tcBorders>
                  <w:shd w:val="clear" w:color="auto" w:fill="CCE8CF"/>
                  <w:vAlign w:val="center"/>
                </w:tcPr>
                <w:p>
                  <w:pPr>
                    <w:pStyle w:val="210"/>
                    <w:rPr>
                      <w:color w:val="auto"/>
                      <w:szCs w:val="21"/>
                      <w:lang w:val="en-US"/>
                    </w:rPr>
                  </w:pPr>
                  <w:r>
                    <w:rPr>
                      <w:color w:val="auto"/>
                      <w:szCs w:val="21"/>
                      <w:lang w:val="en-US"/>
                    </w:rPr>
                    <w:t>D10%,m</w:t>
                  </w:r>
                </w:p>
              </w:tc>
              <w:tc>
                <w:tcPr>
                  <w:tcW w:w="882" w:type="pct"/>
                  <w:tcBorders>
                    <w:top w:val="single" w:color="auto" w:sz="4" w:space="0"/>
                    <w:left w:val="single" w:color="auto" w:sz="4" w:space="0"/>
                    <w:bottom w:val="single" w:color="auto" w:sz="12" w:space="0"/>
                    <w:right w:val="single" w:color="auto" w:sz="4" w:space="0"/>
                  </w:tcBorders>
                  <w:shd w:val="clear" w:color="auto" w:fill="CCE8CF"/>
                  <w:vAlign w:val="center"/>
                </w:tcPr>
                <w:p>
                  <w:pPr>
                    <w:pStyle w:val="210"/>
                    <w:rPr>
                      <w:color w:val="auto"/>
                      <w:kern w:val="0"/>
                      <w:szCs w:val="21"/>
                      <w:lang w:val="en-US" w:bidi="ar"/>
                    </w:rPr>
                  </w:pPr>
                  <w:r>
                    <w:rPr>
                      <w:rFonts w:hint="eastAsia"/>
                      <w:color w:val="auto"/>
                      <w:kern w:val="0"/>
                      <w:szCs w:val="21"/>
                      <w:lang w:val="en-US" w:bidi="ar"/>
                    </w:rPr>
                    <w:t>/</w:t>
                  </w:r>
                </w:p>
              </w:tc>
              <w:tc>
                <w:tcPr>
                  <w:tcW w:w="1030" w:type="pct"/>
                  <w:tcBorders>
                    <w:top w:val="single" w:color="auto" w:sz="4" w:space="0"/>
                    <w:left w:val="single" w:color="auto" w:sz="4" w:space="0"/>
                    <w:bottom w:val="single" w:color="auto" w:sz="12" w:space="0"/>
                    <w:right w:val="nil"/>
                  </w:tcBorders>
                  <w:shd w:val="clear" w:color="auto" w:fill="CCE8CF"/>
                  <w:vAlign w:val="center"/>
                </w:tcPr>
                <w:p>
                  <w:pPr>
                    <w:pStyle w:val="210"/>
                    <w:rPr>
                      <w:color w:val="auto"/>
                      <w:kern w:val="0"/>
                      <w:szCs w:val="21"/>
                      <w:lang w:val="en-US" w:bidi="ar"/>
                    </w:rPr>
                  </w:pPr>
                  <w:r>
                    <w:rPr>
                      <w:rFonts w:hint="eastAsia"/>
                      <w:color w:val="auto"/>
                      <w:kern w:val="0"/>
                      <w:szCs w:val="21"/>
                      <w:lang w:val="en-US" w:bidi="ar"/>
                    </w:rPr>
                    <w:t>/</w:t>
                  </w:r>
                </w:p>
              </w:tc>
              <w:tc>
                <w:tcPr>
                  <w:tcW w:w="932" w:type="pct"/>
                  <w:tcBorders>
                    <w:top w:val="single" w:color="auto" w:sz="4" w:space="0"/>
                    <w:left w:val="single" w:color="auto" w:sz="4" w:space="0"/>
                    <w:bottom w:val="single" w:color="auto" w:sz="12" w:space="0"/>
                    <w:right w:val="nil"/>
                  </w:tcBorders>
                  <w:shd w:val="clear" w:color="auto" w:fill="CCE8CF"/>
                  <w:vAlign w:val="center"/>
                </w:tcPr>
                <w:p>
                  <w:pPr>
                    <w:rPr>
                      <w:rFonts w:hint="eastAsia"/>
                      <w:color w:val="auto"/>
                      <w:kern w:val="0"/>
                      <w:szCs w:val="21"/>
                      <w:lang w:val="en-US" w:bidi="ar"/>
                    </w:rPr>
                  </w:pPr>
                  <w:r>
                    <w:rPr>
                      <w:rFonts w:hint="eastAsia"/>
                      <w:color w:val="auto"/>
                      <w:kern w:val="0"/>
                      <w:szCs w:val="21"/>
                      <w:lang w:val="en-US" w:bidi="ar"/>
                    </w:rPr>
                    <w:t>/</w:t>
                  </w:r>
                </w:p>
              </w:tc>
              <w:tc>
                <w:tcPr>
                  <w:tcW w:w="790" w:type="pct"/>
                  <w:tcBorders>
                    <w:top w:val="single" w:color="auto" w:sz="4" w:space="0"/>
                    <w:left w:val="single" w:color="auto" w:sz="4" w:space="0"/>
                    <w:bottom w:val="single" w:color="auto" w:sz="12" w:space="0"/>
                    <w:right w:val="nil"/>
                  </w:tcBorders>
                  <w:shd w:val="clear" w:color="auto" w:fill="CCE8CF"/>
                  <w:vAlign w:val="center"/>
                </w:tcPr>
                <w:p>
                  <w:pPr>
                    <w:rPr>
                      <w:rFonts w:hint="eastAsia"/>
                      <w:color w:val="auto"/>
                      <w:kern w:val="0"/>
                      <w:szCs w:val="21"/>
                      <w:lang w:val="en-US" w:bidi="ar"/>
                    </w:rPr>
                  </w:pPr>
                  <w:r>
                    <w:rPr>
                      <w:rFonts w:hint="eastAsia"/>
                      <w:color w:val="auto"/>
                      <w:kern w:val="0"/>
                      <w:szCs w:val="21"/>
                      <w:lang w:val="en-US" w:bidi="ar"/>
                    </w:rPr>
                    <w:t>/</w:t>
                  </w:r>
                </w:p>
              </w:tc>
              <w:tc>
                <w:tcPr>
                  <w:tcW w:w="654" w:type="pct"/>
                  <w:tcBorders>
                    <w:top w:val="single" w:color="auto" w:sz="4" w:space="0"/>
                    <w:left w:val="single" w:color="auto" w:sz="4" w:space="0"/>
                    <w:bottom w:val="single" w:color="auto" w:sz="12" w:space="0"/>
                    <w:right w:val="nil"/>
                  </w:tcBorders>
                  <w:shd w:val="clear" w:color="auto" w:fill="CCE8CF"/>
                  <w:vAlign w:val="center"/>
                </w:tcPr>
                <w:p>
                  <w:pPr>
                    <w:rPr>
                      <w:rFonts w:hint="eastAsia"/>
                      <w:color w:val="auto"/>
                      <w:kern w:val="0"/>
                      <w:szCs w:val="21"/>
                      <w:lang w:val="en-US" w:bidi="ar"/>
                    </w:rPr>
                  </w:pPr>
                  <w:r>
                    <w:rPr>
                      <w:rFonts w:hint="eastAsia"/>
                      <w:color w:val="auto"/>
                      <w:kern w:val="0"/>
                      <w:szCs w:val="21"/>
                      <w:lang w:val="en-US" w:bidi="ar"/>
                    </w:rPr>
                    <w:t>/</w:t>
                  </w:r>
                </w:p>
              </w:tc>
            </w:tr>
          </w:tbl>
          <w:p>
            <w:pPr>
              <w:ind w:left="482"/>
              <w:jc w:val="center"/>
              <w:rPr>
                <w:b/>
                <w:color w:val="auto"/>
                <w:szCs w:val="21"/>
              </w:rPr>
            </w:pPr>
            <w:r>
              <w:rPr>
                <w:b/>
                <w:color w:val="auto"/>
                <w:szCs w:val="21"/>
              </w:rPr>
              <w:t>表7-</w:t>
            </w:r>
            <w:r>
              <w:rPr>
                <w:rFonts w:hint="eastAsia"/>
                <w:b/>
                <w:color w:val="auto"/>
                <w:szCs w:val="21"/>
              </w:rPr>
              <w:t>8</w:t>
            </w:r>
            <w:r>
              <w:rPr>
                <w:b/>
                <w:color w:val="auto"/>
                <w:szCs w:val="21"/>
              </w:rPr>
              <w:t xml:space="preserve">  项目排放污染物预测结果</w:t>
            </w:r>
          </w:p>
          <w:tbl>
            <w:tblPr>
              <w:tblStyle w:val="56"/>
              <w:tblW w:w="8312" w:type="dxa"/>
              <w:jc w:val="center"/>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044"/>
              <w:gridCol w:w="931"/>
              <w:gridCol w:w="1204"/>
              <w:gridCol w:w="1192"/>
              <w:gridCol w:w="1064"/>
              <w:gridCol w:w="914"/>
              <w:gridCol w:w="926"/>
              <w:gridCol w:w="1037"/>
            </w:tblGrid>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44" w:type="dxa"/>
                  <w:vAlign w:val="center"/>
                </w:tcPr>
                <w:p>
                  <w:pPr>
                    <w:adjustRightInd w:val="0"/>
                    <w:snapToGrid w:val="0"/>
                    <w:jc w:val="center"/>
                    <w:rPr>
                      <w:b/>
                      <w:bCs/>
                      <w:color w:val="auto"/>
                      <w:szCs w:val="21"/>
                    </w:rPr>
                  </w:pPr>
                  <w:r>
                    <w:rPr>
                      <w:b/>
                      <w:bCs/>
                      <w:color w:val="auto"/>
                      <w:szCs w:val="21"/>
                    </w:rPr>
                    <w:t>污染源</w:t>
                  </w:r>
                </w:p>
              </w:tc>
              <w:tc>
                <w:tcPr>
                  <w:tcW w:w="931" w:type="dxa"/>
                  <w:vAlign w:val="center"/>
                </w:tcPr>
                <w:p>
                  <w:pPr>
                    <w:adjustRightInd w:val="0"/>
                    <w:snapToGrid w:val="0"/>
                    <w:jc w:val="center"/>
                    <w:rPr>
                      <w:b/>
                      <w:bCs/>
                      <w:color w:val="auto"/>
                      <w:szCs w:val="21"/>
                    </w:rPr>
                  </w:pPr>
                  <w:r>
                    <w:rPr>
                      <w:b/>
                      <w:bCs/>
                      <w:color w:val="auto"/>
                      <w:szCs w:val="21"/>
                    </w:rPr>
                    <w:t>污染因子</w:t>
                  </w:r>
                </w:p>
              </w:tc>
              <w:tc>
                <w:tcPr>
                  <w:tcW w:w="1204" w:type="dxa"/>
                  <w:vAlign w:val="center"/>
                </w:tcPr>
                <w:p>
                  <w:pPr>
                    <w:adjustRightInd w:val="0"/>
                    <w:snapToGrid w:val="0"/>
                    <w:jc w:val="center"/>
                    <w:rPr>
                      <w:b/>
                      <w:bCs/>
                      <w:color w:val="auto"/>
                      <w:szCs w:val="21"/>
                    </w:rPr>
                  </w:pPr>
                  <w:r>
                    <w:rPr>
                      <w:b/>
                      <w:bCs/>
                      <w:color w:val="auto"/>
                      <w:szCs w:val="21"/>
                    </w:rPr>
                    <w:t>最大落地浓度</w:t>
                  </w:r>
                  <w:r>
                    <w:rPr>
                      <w:rFonts w:hint="eastAsia"/>
                      <w:b/>
                      <w:bCs/>
                      <w:color w:val="auto"/>
                      <w:szCs w:val="21"/>
                      <w:lang w:val="en-US" w:eastAsia="zh-CN"/>
                    </w:rPr>
                    <w:t>m</w:t>
                  </w:r>
                  <w:r>
                    <w:rPr>
                      <w:b/>
                      <w:bCs/>
                      <w:color w:val="auto"/>
                      <w:szCs w:val="21"/>
                    </w:rPr>
                    <w:t>g/m</w:t>
                  </w:r>
                  <w:r>
                    <w:rPr>
                      <w:b/>
                      <w:bCs/>
                      <w:color w:val="auto"/>
                      <w:szCs w:val="21"/>
                      <w:vertAlign w:val="superscript"/>
                    </w:rPr>
                    <w:t>3</w:t>
                  </w:r>
                </w:p>
              </w:tc>
              <w:tc>
                <w:tcPr>
                  <w:tcW w:w="1192" w:type="dxa"/>
                  <w:vAlign w:val="center"/>
                </w:tcPr>
                <w:p>
                  <w:pPr>
                    <w:adjustRightInd w:val="0"/>
                    <w:snapToGrid w:val="0"/>
                    <w:jc w:val="center"/>
                    <w:rPr>
                      <w:b/>
                      <w:bCs/>
                      <w:color w:val="auto"/>
                      <w:szCs w:val="21"/>
                    </w:rPr>
                  </w:pPr>
                  <w:r>
                    <w:rPr>
                      <w:b/>
                      <w:bCs/>
                      <w:color w:val="auto"/>
                      <w:szCs w:val="21"/>
                    </w:rPr>
                    <w:t>最大落地浓度距离m</w:t>
                  </w:r>
                </w:p>
              </w:tc>
              <w:tc>
                <w:tcPr>
                  <w:tcW w:w="1064" w:type="dxa"/>
                  <w:vAlign w:val="center"/>
                </w:tcPr>
                <w:p>
                  <w:pPr>
                    <w:adjustRightInd w:val="0"/>
                    <w:snapToGrid w:val="0"/>
                    <w:jc w:val="center"/>
                    <w:rPr>
                      <w:b/>
                      <w:bCs/>
                      <w:color w:val="auto"/>
                      <w:szCs w:val="21"/>
                    </w:rPr>
                  </w:pPr>
                  <w:r>
                    <w:rPr>
                      <w:b/>
                      <w:bCs/>
                      <w:color w:val="auto"/>
                      <w:szCs w:val="21"/>
                    </w:rPr>
                    <w:t>评价标准</w:t>
                  </w:r>
                </w:p>
                <w:p>
                  <w:pPr>
                    <w:adjustRightInd w:val="0"/>
                    <w:snapToGrid w:val="0"/>
                    <w:jc w:val="center"/>
                    <w:rPr>
                      <w:b/>
                      <w:bCs/>
                      <w:color w:val="auto"/>
                      <w:szCs w:val="21"/>
                    </w:rPr>
                  </w:pPr>
                  <w:r>
                    <w:rPr>
                      <w:b/>
                      <w:bCs/>
                      <w:color w:val="auto"/>
                      <w:szCs w:val="21"/>
                    </w:rPr>
                    <w:t>μg/m</w:t>
                  </w:r>
                  <w:r>
                    <w:rPr>
                      <w:b/>
                      <w:bCs/>
                      <w:color w:val="auto"/>
                      <w:szCs w:val="21"/>
                      <w:vertAlign w:val="superscript"/>
                    </w:rPr>
                    <w:t>3</w:t>
                  </w:r>
                </w:p>
              </w:tc>
              <w:tc>
                <w:tcPr>
                  <w:tcW w:w="914" w:type="dxa"/>
                  <w:vAlign w:val="center"/>
                </w:tcPr>
                <w:p>
                  <w:pPr>
                    <w:adjustRightInd w:val="0"/>
                    <w:snapToGrid w:val="0"/>
                    <w:jc w:val="center"/>
                    <w:rPr>
                      <w:b/>
                      <w:bCs/>
                      <w:color w:val="auto"/>
                      <w:szCs w:val="21"/>
                    </w:rPr>
                  </w:pPr>
                  <w:r>
                    <w:rPr>
                      <w:b/>
                      <w:bCs/>
                      <w:color w:val="auto"/>
                      <w:szCs w:val="21"/>
                    </w:rPr>
                    <w:t>占标率%</w:t>
                  </w:r>
                </w:p>
              </w:tc>
              <w:tc>
                <w:tcPr>
                  <w:tcW w:w="926" w:type="dxa"/>
                  <w:vAlign w:val="center"/>
                </w:tcPr>
                <w:p>
                  <w:pPr>
                    <w:adjustRightInd w:val="0"/>
                    <w:snapToGrid w:val="0"/>
                    <w:jc w:val="center"/>
                    <w:rPr>
                      <w:b/>
                      <w:bCs/>
                      <w:color w:val="auto"/>
                      <w:szCs w:val="21"/>
                    </w:rPr>
                  </w:pPr>
                  <w:r>
                    <w:rPr>
                      <w:b/>
                      <w:bCs/>
                      <w:color w:val="auto"/>
                      <w:szCs w:val="21"/>
                    </w:rPr>
                    <w:t>D10%</w:t>
                  </w:r>
                </w:p>
              </w:tc>
              <w:tc>
                <w:tcPr>
                  <w:tcW w:w="1037" w:type="dxa"/>
                  <w:vAlign w:val="center"/>
                </w:tcPr>
                <w:p>
                  <w:pPr>
                    <w:adjustRightInd w:val="0"/>
                    <w:snapToGrid w:val="0"/>
                    <w:jc w:val="center"/>
                    <w:rPr>
                      <w:b/>
                      <w:bCs/>
                      <w:color w:val="auto"/>
                      <w:szCs w:val="21"/>
                    </w:rPr>
                  </w:pPr>
                  <w:r>
                    <w:rPr>
                      <w:b/>
                      <w:bCs/>
                      <w:color w:val="auto"/>
                      <w:szCs w:val="21"/>
                    </w:rPr>
                    <w:t>推荐评价等级</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516" w:hRule="atLeast"/>
                <w:jc w:val="center"/>
              </w:trPr>
              <w:tc>
                <w:tcPr>
                  <w:tcW w:w="1044" w:type="dxa"/>
                  <w:vMerge w:val="restart"/>
                  <w:vAlign w:val="center"/>
                </w:tcPr>
                <w:p>
                  <w:pPr>
                    <w:pStyle w:val="210"/>
                    <w:rPr>
                      <w:rFonts w:hint="default" w:eastAsia="宋体"/>
                      <w:color w:val="auto"/>
                      <w:szCs w:val="21"/>
                      <w:lang w:val="en-US" w:eastAsia="zh-CN"/>
                    </w:rPr>
                  </w:pPr>
                  <w:r>
                    <w:rPr>
                      <w:rFonts w:hint="eastAsia"/>
                      <w:color w:val="auto"/>
                      <w:szCs w:val="21"/>
                      <w:lang w:val="en-US"/>
                    </w:rPr>
                    <w:t>排气筒</w:t>
                  </w:r>
                  <w:r>
                    <w:rPr>
                      <w:rFonts w:hint="eastAsia"/>
                      <w:color w:val="auto"/>
                      <w:szCs w:val="21"/>
                      <w:lang w:val="en-US" w:eastAsia="zh-CN"/>
                    </w:rPr>
                    <w:t>DA001</w:t>
                  </w:r>
                </w:p>
              </w:tc>
              <w:tc>
                <w:tcPr>
                  <w:tcW w:w="931" w:type="dxa"/>
                  <w:vAlign w:val="center"/>
                </w:tcPr>
                <w:p>
                  <w:pPr>
                    <w:rPr>
                      <w:rFonts w:hint="eastAsia"/>
                      <w:b w:val="0"/>
                      <w:bCs/>
                      <w:color w:val="auto"/>
                      <w:szCs w:val="21"/>
                      <w:lang w:eastAsia="zh-CN"/>
                    </w:rPr>
                  </w:pPr>
                  <w:r>
                    <w:rPr>
                      <w:rFonts w:hint="eastAsia"/>
                      <w:b w:val="0"/>
                      <w:bCs/>
                      <w:color w:val="auto"/>
                      <w:szCs w:val="21"/>
                      <w:lang w:eastAsia="zh-CN"/>
                    </w:rPr>
                    <w:t>颗粒物</w:t>
                  </w:r>
                </w:p>
              </w:tc>
              <w:tc>
                <w:tcPr>
                  <w:tcW w:w="1204" w:type="dxa"/>
                  <w:vAlign w:val="center"/>
                </w:tcPr>
                <w:p>
                  <w:pPr>
                    <w:pStyle w:val="210"/>
                    <w:rPr>
                      <w:rFonts w:hint="default" w:eastAsia="宋体"/>
                      <w:color w:val="auto"/>
                      <w:kern w:val="0"/>
                      <w:szCs w:val="21"/>
                      <w:lang w:val="en-US" w:eastAsia="zh-CN" w:bidi="ar"/>
                    </w:rPr>
                  </w:pPr>
                  <w:r>
                    <w:rPr>
                      <w:rFonts w:hint="eastAsia"/>
                      <w:color w:val="auto"/>
                      <w:kern w:val="0"/>
                      <w:szCs w:val="21"/>
                      <w:lang w:val="en-US" w:eastAsia="zh-CN" w:bidi="ar"/>
                    </w:rPr>
                    <w:t>0.0027</w:t>
                  </w:r>
                </w:p>
              </w:tc>
              <w:tc>
                <w:tcPr>
                  <w:tcW w:w="1192" w:type="dxa"/>
                  <w:vAlign w:val="center"/>
                </w:tcPr>
                <w:p>
                  <w:pPr>
                    <w:pStyle w:val="210"/>
                    <w:rPr>
                      <w:rFonts w:hint="default" w:eastAsia="宋体"/>
                      <w:color w:val="auto"/>
                      <w:szCs w:val="21"/>
                      <w:lang w:val="en-US" w:eastAsia="zh-CN"/>
                    </w:rPr>
                  </w:pPr>
                  <w:r>
                    <w:rPr>
                      <w:rFonts w:hint="eastAsia"/>
                      <w:color w:val="auto"/>
                      <w:szCs w:val="21"/>
                      <w:lang w:val="en-US" w:eastAsia="zh-CN"/>
                    </w:rPr>
                    <w:t>100</w:t>
                  </w:r>
                </w:p>
              </w:tc>
              <w:tc>
                <w:tcPr>
                  <w:tcW w:w="1064" w:type="dxa"/>
                  <w:vAlign w:val="center"/>
                </w:tcPr>
                <w:p>
                  <w:pPr>
                    <w:pStyle w:val="210"/>
                    <w:rPr>
                      <w:rFonts w:hint="default"/>
                      <w:color w:val="auto"/>
                      <w:szCs w:val="21"/>
                      <w:lang w:val="en-US" w:eastAsia="zh-CN"/>
                    </w:rPr>
                  </w:pPr>
                  <w:r>
                    <w:rPr>
                      <w:rFonts w:hint="eastAsia"/>
                      <w:color w:val="auto"/>
                      <w:szCs w:val="21"/>
                      <w:lang w:val="en-US" w:eastAsia="zh-CN"/>
                    </w:rPr>
                    <w:t>450</w:t>
                  </w:r>
                </w:p>
              </w:tc>
              <w:tc>
                <w:tcPr>
                  <w:tcW w:w="914" w:type="dxa"/>
                  <w:vAlign w:val="center"/>
                </w:tcPr>
                <w:p>
                  <w:pPr>
                    <w:pStyle w:val="210"/>
                    <w:rPr>
                      <w:rFonts w:hint="default" w:eastAsia="宋体"/>
                      <w:color w:val="auto"/>
                      <w:szCs w:val="21"/>
                      <w:lang w:val="en-US" w:eastAsia="zh-CN"/>
                    </w:rPr>
                  </w:pPr>
                  <w:r>
                    <w:rPr>
                      <w:rFonts w:hint="eastAsia"/>
                      <w:color w:val="auto"/>
                      <w:szCs w:val="21"/>
                      <w:lang w:val="en-US" w:eastAsia="zh-CN"/>
                    </w:rPr>
                    <w:t>0.59</w:t>
                  </w:r>
                </w:p>
              </w:tc>
              <w:tc>
                <w:tcPr>
                  <w:tcW w:w="926" w:type="dxa"/>
                  <w:vAlign w:val="center"/>
                </w:tcPr>
                <w:p>
                  <w:pPr>
                    <w:pStyle w:val="210"/>
                    <w:rPr>
                      <w:rFonts w:hint="eastAsia" w:eastAsia="宋体"/>
                      <w:color w:val="auto"/>
                      <w:szCs w:val="21"/>
                      <w:lang w:val="en-US" w:eastAsia="zh-CN"/>
                    </w:rPr>
                  </w:pPr>
                  <w:r>
                    <w:rPr>
                      <w:rFonts w:hint="eastAsia"/>
                      <w:color w:val="auto"/>
                      <w:szCs w:val="21"/>
                      <w:lang w:val="en-US" w:eastAsia="zh-CN"/>
                    </w:rPr>
                    <w:t>0</w:t>
                  </w:r>
                </w:p>
              </w:tc>
              <w:tc>
                <w:tcPr>
                  <w:tcW w:w="1037" w:type="dxa"/>
                  <w:vAlign w:val="center"/>
                </w:tcPr>
                <w:p>
                  <w:pPr>
                    <w:jc w:val="center"/>
                    <w:rPr>
                      <w:rFonts w:hint="eastAsia"/>
                      <w:color w:val="auto"/>
                      <w:szCs w:val="21"/>
                    </w:rPr>
                  </w:pPr>
                  <w:r>
                    <w:rPr>
                      <w:rFonts w:hint="eastAsia"/>
                      <w:color w:val="auto"/>
                      <w:szCs w:val="21"/>
                    </w:rPr>
                    <w:t>三级</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PrEx>
              <w:trPr>
                <w:trHeight w:val="516" w:hRule="atLeast"/>
                <w:jc w:val="center"/>
              </w:trPr>
              <w:tc>
                <w:tcPr>
                  <w:tcW w:w="1044" w:type="dxa"/>
                  <w:vMerge w:val="continue"/>
                  <w:vAlign w:val="center"/>
                </w:tcPr>
                <w:p>
                  <w:pPr>
                    <w:pStyle w:val="210"/>
                    <w:rPr>
                      <w:rFonts w:hint="default" w:eastAsia="宋体"/>
                      <w:color w:val="auto"/>
                      <w:szCs w:val="21"/>
                      <w:lang w:val="en-US" w:eastAsia="zh-CN"/>
                    </w:rPr>
                  </w:pPr>
                </w:p>
              </w:tc>
              <w:tc>
                <w:tcPr>
                  <w:tcW w:w="931" w:type="dxa"/>
                  <w:vAlign w:val="center"/>
                </w:tcPr>
                <w:p>
                  <w:pPr>
                    <w:rPr>
                      <w:b w:val="0"/>
                      <w:bCs/>
                      <w:color w:val="auto"/>
                      <w:szCs w:val="21"/>
                    </w:rPr>
                  </w:pPr>
                  <w:r>
                    <w:rPr>
                      <w:rFonts w:hint="eastAsia"/>
                      <w:b w:val="0"/>
                      <w:bCs/>
                      <w:color w:val="auto"/>
                      <w:szCs w:val="21"/>
                      <w:lang w:eastAsia="zh-CN"/>
                    </w:rPr>
                    <w:t>非甲烷总烃</w:t>
                  </w:r>
                </w:p>
              </w:tc>
              <w:tc>
                <w:tcPr>
                  <w:tcW w:w="1204" w:type="dxa"/>
                  <w:vAlign w:val="center"/>
                </w:tcPr>
                <w:p>
                  <w:pPr>
                    <w:pStyle w:val="210"/>
                    <w:rPr>
                      <w:rFonts w:hint="default" w:eastAsia="宋体"/>
                      <w:color w:val="auto"/>
                      <w:kern w:val="0"/>
                      <w:szCs w:val="21"/>
                      <w:lang w:val="en-US" w:eastAsia="zh-CN" w:bidi="ar"/>
                    </w:rPr>
                  </w:pPr>
                  <w:r>
                    <w:rPr>
                      <w:rFonts w:hint="eastAsia"/>
                      <w:color w:val="auto"/>
                      <w:kern w:val="0"/>
                      <w:szCs w:val="21"/>
                      <w:lang w:val="en-US" w:bidi="ar"/>
                    </w:rPr>
                    <w:t>0.00</w:t>
                  </w:r>
                  <w:r>
                    <w:rPr>
                      <w:rFonts w:hint="eastAsia"/>
                      <w:color w:val="auto"/>
                      <w:kern w:val="0"/>
                      <w:szCs w:val="21"/>
                      <w:lang w:val="en-US" w:eastAsia="zh-CN" w:bidi="ar"/>
                    </w:rPr>
                    <w:t>02</w:t>
                  </w:r>
                </w:p>
              </w:tc>
              <w:tc>
                <w:tcPr>
                  <w:tcW w:w="1192" w:type="dxa"/>
                  <w:vAlign w:val="center"/>
                </w:tcPr>
                <w:p>
                  <w:pPr>
                    <w:pStyle w:val="210"/>
                    <w:rPr>
                      <w:rFonts w:hint="default" w:eastAsia="宋体"/>
                      <w:color w:val="auto"/>
                      <w:szCs w:val="21"/>
                      <w:lang w:val="en-US" w:eastAsia="zh-CN"/>
                    </w:rPr>
                  </w:pPr>
                  <w:r>
                    <w:rPr>
                      <w:rFonts w:hint="eastAsia"/>
                      <w:color w:val="auto"/>
                      <w:szCs w:val="21"/>
                      <w:lang w:val="en-US"/>
                    </w:rPr>
                    <w:t>1</w:t>
                  </w:r>
                  <w:r>
                    <w:rPr>
                      <w:rFonts w:hint="eastAsia"/>
                      <w:color w:val="auto"/>
                      <w:szCs w:val="21"/>
                      <w:lang w:val="en-US" w:eastAsia="zh-CN"/>
                    </w:rPr>
                    <w:t>50</w:t>
                  </w:r>
                </w:p>
              </w:tc>
              <w:tc>
                <w:tcPr>
                  <w:tcW w:w="1064" w:type="dxa"/>
                  <w:vAlign w:val="center"/>
                </w:tcPr>
                <w:p>
                  <w:pPr>
                    <w:pStyle w:val="210"/>
                    <w:rPr>
                      <w:rFonts w:hint="default" w:eastAsia="宋体"/>
                      <w:color w:val="auto"/>
                      <w:szCs w:val="21"/>
                      <w:lang w:val="en-US" w:eastAsia="zh-CN"/>
                    </w:rPr>
                  </w:pPr>
                  <w:r>
                    <w:rPr>
                      <w:rFonts w:hint="eastAsia"/>
                      <w:color w:val="auto"/>
                      <w:szCs w:val="21"/>
                      <w:lang w:val="en-US" w:eastAsia="zh-CN"/>
                    </w:rPr>
                    <w:t>2000</w:t>
                  </w:r>
                </w:p>
              </w:tc>
              <w:tc>
                <w:tcPr>
                  <w:tcW w:w="914" w:type="dxa"/>
                  <w:vAlign w:val="center"/>
                </w:tcPr>
                <w:p>
                  <w:pPr>
                    <w:pStyle w:val="210"/>
                    <w:rPr>
                      <w:rFonts w:hint="default" w:eastAsia="宋体"/>
                      <w:color w:val="auto"/>
                      <w:szCs w:val="21"/>
                      <w:lang w:val="en-US" w:eastAsia="zh-CN"/>
                    </w:rPr>
                  </w:pPr>
                  <w:r>
                    <w:rPr>
                      <w:rFonts w:hint="eastAsia"/>
                      <w:color w:val="auto"/>
                      <w:szCs w:val="21"/>
                      <w:lang w:val="en-US"/>
                    </w:rPr>
                    <w:t>0.</w:t>
                  </w:r>
                  <w:r>
                    <w:rPr>
                      <w:rFonts w:hint="eastAsia"/>
                      <w:color w:val="auto"/>
                      <w:szCs w:val="21"/>
                      <w:lang w:val="en-US" w:eastAsia="zh-CN"/>
                    </w:rPr>
                    <w:t>01</w:t>
                  </w:r>
                </w:p>
              </w:tc>
              <w:tc>
                <w:tcPr>
                  <w:tcW w:w="926" w:type="dxa"/>
                  <w:vAlign w:val="center"/>
                </w:tcPr>
                <w:p>
                  <w:pPr>
                    <w:pStyle w:val="210"/>
                    <w:rPr>
                      <w:color w:val="auto"/>
                      <w:szCs w:val="21"/>
                    </w:rPr>
                  </w:pPr>
                  <w:r>
                    <w:rPr>
                      <w:color w:val="auto"/>
                      <w:szCs w:val="21"/>
                    </w:rPr>
                    <w:t>0</w:t>
                  </w:r>
                </w:p>
              </w:tc>
              <w:tc>
                <w:tcPr>
                  <w:tcW w:w="1037" w:type="dxa"/>
                  <w:vAlign w:val="center"/>
                </w:tcPr>
                <w:p>
                  <w:pPr>
                    <w:jc w:val="center"/>
                    <w:rPr>
                      <w:color w:val="auto"/>
                      <w:szCs w:val="21"/>
                    </w:rPr>
                  </w:pPr>
                  <w:r>
                    <w:rPr>
                      <w:rFonts w:hint="eastAsia"/>
                      <w:color w:val="auto"/>
                      <w:szCs w:val="21"/>
                    </w:rPr>
                    <w:t>三级</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PrEx>
              <w:trPr>
                <w:trHeight w:val="516" w:hRule="atLeast"/>
                <w:jc w:val="center"/>
              </w:trPr>
              <w:tc>
                <w:tcPr>
                  <w:tcW w:w="1044" w:type="dxa"/>
                  <w:vMerge w:val="restart"/>
                  <w:vAlign w:val="center"/>
                </w:tcPr>
                <w:p>
                  <w:pPr>
                    <w:pStyle w:val="210"/>
                    <w:rPr>
                      <w:color w:val="auto"/>
                      <w:szCs w:val="21"/>
                      <w:lang w:val="en-US"/>
                    </w:rPr>
                  </w:pPr>
                  <w:r>
                    <w:rPr>
                      <w:rFonts w:hint="eastAsia"/>
                      <w:color w:val="auto"/>
                      <w:szCs w:val="21"/>
                      <w:lang w:val="en-US"/>
                    </w:rPr>
                    <w:t>生产车间</w:t>
                  </w:r>
                </w:p>
              </w:tc>
              <w:tc>
                <w:tcPr>
                  <w:tcW w:w="931" w:type="dxa"/>
                  <w:vAlign w:val="center"/>
                </w:tcPr>
                <w:p>
                  <w:pPr>
                    <w:rPr>
                      <w:rFonts w:hint="eastAsia"/>
                      <w:b w:val="0"/>
                      <w:bCs/>
                      <w:color w:val="auto"/>
                      <w:szCs w:val="21"/>
                      <w:lang w:eastAsia="zh-CN"/>
                    </w:rPr>
                  </w:pPr>
                  <w:r>
                    <w:rPr>
                      <w:rFonts w:hint="eastAsia"/>
                      <w:b w:val="0"/>
                      <w:bCs/>
                      <w:color w:val="auto"/>
                      <w:szCs w:val="21"/>
                      <w:lang w:eastAsia="zh-CN"/>
                    </w:rPr>
                    <w:t>颗粒物</w:t>
                  </w:r>
                </w:p>
              </w:tc>
              <w:tc>
                <w:tcPr>
                  <w:tcW w:w="1204" w:type="dxa"/>
                  <w:vAlign w:val="center"/>
                </w:tcPr>
                <w:p>
                  <w:pPr>
                    <w:pStyle w:val="210"/>
                    <w:rPr>
                      <w:rFonts w:hint="default" w:eastAsia="宋体"/>
                      <w:color w:val="auto"/>
                      <w:kern w:val="0"/>
                      <w:szCs w:val="21"/>
                      <w:lang w:val="en-US" w:eastAsia="zh-CN" w:bidi="ar"/>
                    </w:rPr>
                  </w:pPr>
                  <w:r>
                    <w:rPr>
                      <w:rFonts w:hint="eastAsia"/>
                      <w:color w:val="auto"/>
                      <w:kern w:val="0"/>
                      <w:szCs w:val="21"/>
                      <w:lang w:val="en-US" w:eastAsia="zh-CN" w:bidi="ar"/>
                    </w:rPr>
                    <w:t>0.0273</w:t>
                  </w:r>
                </w:p>
              </w:tc>
              <w:tc>
                <w:tcPr>
                  <w:tcW w:w="1192" w:type="dxa"/>
                  <w:vAlign w:val="center"/>
                </w:tcPr>
                <w:p>
                  <w:pPr>
                    <w:pStyle w:val="210"/>
                    <w:rPr>
                      <w:rFonts w:hint="default" w:eastAsia="宋体"/>
                      <w:color w:val="auto"/>
                      <w:szCs w:val="21"/>
                      <w:lang w:val="en-US" w:eastAsia="zh-CN"/>
                    </w:rPr>
                  </w:pPr>
                  <w:r>
                    <w:rPr>
                      <w:rFonts w:hint="eastAsia"/>
                      <w:color w:val="auto"/>
                      <w:szCs w:val="21"/>
                      <w:lang w:val="en-US" w:eastAsia="zh-CN"/>
                    </w:rPr>
                    <w:t>36</w:t>
                  </w:r>
                </w:p>
              </w:tc>
              <w:tc>
                <w:tcPr>
                  <w:tcW w:w="1064" w:type="dxa"/>
                  <w:vAlign w:val="center"/>
                </w:tcPr>
                <w:p>
                  <w:pPr>
                    <w:pStyle w:val="210"/>
                    <w:rPr>
                      <w:rFonts w:hint="default"/>
                      <w:color w:val="auto"/>
                      <w:szCs w:val="21"/>
                      <w:lang w:val="en-US" w:eastAsia="zh-CN"/>
                    </w:rPr>
                  </w:pPr>
                  <w:r>
                    <w:rPr>
                      <w:rFonts w:hint="eastAsia"/>
                      <w:color w:val="auto"/>
                      <w:szCs w:val="21"/>
                      <w:lang w:val="en-US" w:eastAsia="zh-CN"/>
                    </w:rPr>
                    <w:t>450</w:t>
                  </w:r>
                </w:p>
              </w:tc>
              <w:tc>
                <w:tcPr>
                  <w:tcW w:w="914" w:type="dxa"/>
                  <w:vAlign w:val="center"/>
                </w:tcPr>
                <w:p>
                  <w:pPr>
                    <w:pStyle w:val="210"/>
                    <w:rPr>
                      <w:rFonts w:hint="default"/>
                      <w:color w:val="auto"/>
                      <w:szCs w:val="21"/>
                      <w:lang w:val="en-US" w:eastAsia="zh-CN"/>
                    </w:rPr>
                  </w:pPr>
                  <w:r>
                    <w:rPr>
                      <w:rFonts w:hint="eastAsia"/>
                      <w:color w:val="auto"/>
                      <w:szCs w:val="21"/>
                      <w:lang w:val="en-US" w:eastAsia="zh-CN"/>
                    </w:rPr>
                    <w:t>6.06</w:t>
                  </w:r>
                </w:p>
              </w:tc>
              <w:tc>
                <w:tcPr>
                  <w:tcW w:w="926" w:type="dxa"/>
                  <w:vAlign w:val="center"/>
                </w:tcPr>
                <w:p>
                  <w:pPr>
                    <w:pStyle w:val="210"/>
                    <w:rPr>
                      <w:rFonts w:hint="eastAsia" w:eastAsia="宋体"/>
                      <w:color w:val="auto"/>
                      <w:szCs w:val="21"/>
                      <w:lang w:val="en-US" w:eastAsia="zh-CN"/>
                    </w:rPr>
                  </w:pPr>
                  <w:r>
                    <w:rPr>
                      <w:rFonts w:hint="eastAsia"/>
                      <w:color w:val="auto"/>
                      <w:szCs w:val="21"/>
                      <w:lang w:val="en-US" w:eastAsia="zh-CN"/>
                    </w:rPr>
                    <w:t>0</w:t>
                  </w:r>
                </w:p>
              </w:tc>
              <w:tc>
                <w:tcPr>
                  <w:tcW w:w="1037" w:type="dxa"/>
                  <w:vAlign w:val="center"/>
                </w:tcPr>
                <w:p>
                  <w:pPr>
                    <w:jc w:val="center"/>
                    <w:rPr>
                      <w:rFonts w:hint="eastAsia"/>
                      <w:color w:val="auto"/>
                      <w:szCs w:val="21"/>
                      <w:lang w:eastAsia="zh-CN"/>
                    </w:rPr>
                  </w:pPr>
                  <w:r>
                    <w:rPr>
                      <w:rFonts w:hint="eastAsia"/>
                      <w:color w:val="auto"/>
                      <w:szCs w:val="21"/>
                      <w:lang w:eastAsia="zh-CN"/>
                    </w:rPr>
                    <w:t>二级</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PrEx>
              <w:trPr>
                <w:trHeight w:val="516" w:hRule="atLeast"/>
                <w:jc w:val="center"/>
              </w:trPr>
              <w:tc>
                <w:tcPr>
                  <w:tcW w:w="1044" w:type="dxa"/>
                  <w:vMerge w:val="continue"/>
                  <w:vAlign w:val="center"/>
                </w:tcPr>
                <w:p>
                  <w:pPr>
                    <w:pStyle w:val="210"/>
                    <w:rPr>
                      <w:color w:val="auto"/>
                      <w:szCs w:val="21"/>
                      <w:lang w:val="en-US"/>
                    </w:rPr>
                  </w:pPr>
                </w:p>
              </w:tc>
              <w:tc>
                <w:tcPr>
                  <w:tcW w:w="931" w:type="dxa"/>
                  <w:vAlign w:val="center"/>
                </w:tcPr>
                <w:p>
                  <w:pPr>
                    <w:rPr>
                      <w:b w:val="0"/>
                      <w:bCs/>
                      <w:color w:val="auto"/>
                      <w:szCs w:val="21"/>
                    </w:rPr>
                  </w:pPr>
                  <w:r>
                    <w:rPr>
                      <w:rFonts w:hint="eastAsia"/>
                      <w:b w:val="0"/>
                      <w:bCs/>
                      <w:color w:val="auto"/>
                      <w:szCs w:val="21"/>
                      <w:lang w:eastAsia="zh-CN"/>
                    </w:rPr>
                    <w:t>非甲烷总烃</w:t>
                  </w:r>
                </w:p>
              </w:tc>
              <w:tc>
                <w:tcPr>
                  <w:tcW w:w="1204" w:type="dxa"/>
                  <w:vAlign w:val="center"/>
                </w:tcPr>
                <w:p>
                  <w:pPr>
                    <w:pStyle w:val="210"/>
                    <w:rPr>
                      <w:rFonts w:hint="default" w:eastAsia="宋体"/>
                      <w:color w:val="auto"/>
                      <w:kern w:val="0"/>
                      <w:szCs w:val="21"/>
                      <w:lang w:val="en-US" w:eastAsia="zh-CN" w:bidi="ar"/>
                    </w:rPr>
                  </w:pPr>
                  <w:r>
                    <w:rPr>
                      <w:rFonts w:hint="eastAsia"/>
                      <w:color w:val="auto"/>
                      <w:kern w:val="0"/>
                      <w:szCs w:val="21"/>
                      <w:lang w:val="en-US" w:bidi="ar"/>
                    </w:rPr>
                    <w:t>0.0</w:t>
                  </w:r>
                  <w:r>
                    <w:rPr>
                      <w:rFonts w:hint="eastAsia"/>
                      <w:color w:val="auto"/>
                      <w:kern w:val="0"/>
                      <w:szCs w:val="21"/>
                      <w:lang w:val="en-US" w:eastAsia="zh-CN" w:bidi="ar"/>
                    </w:rPr>
                    <w:t>021</w:t>
                  </w:r>
                </w:p>
              </w:tc>
              <w:tc>
                <w:tcPr>
                  <w:tcW w:w="1192" w:type="dxa"/>
                  <w:vAlign w:val="center"/>
                </w:tcPr>
                <w:p>
                  <w:pPr>
                    <w:pStyle w:val="210"/>
                    <w:rPr>
                      <w:rFonts w:hint="eastAsia" w:eastAsia="宋体"/>
                      <w:color w:val="auto"/>
                      <w:szCs w:val="21"/>
                      <w:lang w:val="en-US" w:eastAsia="zh-CN"/>
                    </w:rPr>
                  </w:pPr>
                  <w:r>
                    <w:rPr>
                      <w:rFonts w:hint="eastAsia"/>
                      <w:color w:val="auto"/>
                      <w:szCs w:val="21"/>
                      <w:lang w:val="en-US"/>
                    </w:rPr>
                    <w:t>2</w:t>
                  </w:r>
                  <w:r>
                    <w:rPr>
                      <w:rFonts w:hint="eastAsia"/>
                      <w:color w:val="auto"/>
                      <w:szCs w:val="21"/>
                      <w:lang w:val="en-US" w:eastAsia="zh-CN"/>
                    </w:rPr>
                    <w:t>6</w:t>
                  </w:r>
                </w:p>
              </w:tc>
              <w:tc>
                <w:tcPr>
                  <w:tcW w:w="1064" w:type="dxa"/>
                  <w:vAlign w:val="center"/>
                </w:tcPr>
                <w:p>
                  <w:pPr>
                    <w:pStyle w:val="210"/>
                    <w:rPr>
                      <w:rFonts w:hint="default" w:eastAsia="宋体"/>
                      <w:color w:val="auto"/>
                      <w:szCs w:val="21"/>
                      <w:lang w:val="en-US" w:eastAsia="zh-CN"/>
                    </w:rPr>
                  </w:pPr>
                  <w:r>
                    <w:rPr>
                      <w:rFonts w:hint="eastAsia"/>
                      <w:color w:val="auto"/>
                      <w:szCs w:val="21"/>
                      <w:lang w:val="en-US" w:eastAsia="zh-CN"/>
                    </w:rPr>
                    <w:t>2000</w:t>
                  </w:r>
                </w:p>
              </w:tc>
              <w:tc>
                <w:tcPr>
                  <w:tcW w:w="914" w:type="dxa"/>
                  <w:vAlign w:val="center"/>
                </w:tcPr>
                <w:p>
                  <w:pPr>
                    <w:pStyle w:val="210"/>
                    <w:rPr>
                      <w:rFonts w:hint="default" w:eastAsia="宋体"/>
                      <w:color w:val="auto"/>
                      <w:szCs w:val="21"/>
                      <w:lang w:val="en-US" w:eastAsia="zh-CN"/>
                    </w:rPr>
                  </w:pPr>
                  <w:r>
                    <w:rPr>
                      <w:rFonts w:hint="eastAsia"/>
                      <w:color w:val="auto"/>
                      <w:szCs w:val="21"/>
                      <w:lang w:val="en-US" w:eastAsia="zh-CN"/>
                    </w:rPr>
                    <w:t>0.1</w:t>
                  </w:r>
                </w:p>
              </w:tc>
              <w:tc>
                <w:tcPr>
                  <w:tcW w:w="926" w:type="dxa"/>
                  <w:vAlign w:val="center"/>
                </w:tcPr>
                <w:p>
                  <w:pPr>
                    <w:pStyle w:val="210"/>
                    <w:rPr>
                      <w:color w:val="auto"/>
                      <w:szCs w:val="21"/>
                    </w:rPr>
                  </w:pPr>
                  <w:r>
                    <w:rPr>
                      <w:color w:val="auto"/>
                      <w:szCs w:val="21"/>
                    </w:rPr>
                    <w:t>0</w:t>
                  </w:r>
                </w:p>
              </w:tc>
              <w:tc>
                <w:tcPr>
                  <w:tcW w:w="1037" w:type="dxa"/>
                  <w:vAlign w:val="center"/>
                </w:tcPr>
                <w:p>
                  <w:pPr>
                    <w:jc w:val="center"/>
                    <w:rPr>
                      <w:color w:val="auto"/>
                      <w:szCs w:val="21"/>
                    </w:rPr>
                  </w:pPr>
                  <w:r>
                    <w:rPr>
                      <w:rFonts w:hint="eastAsia"/>
                      <w:color w:val="auto"/>
                      <w:szCs w:val="21"/>
                      <w:lang w:eastAsia="zh-CN"/>
                    </w:rPr>
                    <w:t>三</w:t>
                  </w:r>
                  <w:r>
                    <w:rPr>
                      <w:rFonts w:hint="eastAsia"/>
                      <w:color w:val="auto"/>
                      <w:szCs w:val="21"/>
                    </w:rPr>
                    <w:t>级</w:t>
                  </w:r>
                </w:p>
              </w:tc>
            </w:tr>
          </w:tbl>
          <w:p>
            <w:pPr>
              <w:spacing w:line="360" w:lineRule="auto"/>
              <w:ind w:firstLine="480" w:firstLineChars="200"/>
              <w:rPr>
                <w:color w:val="auto"/>
                <w:sz w:val="24"/>
              </w:rPr>
            </w:pPr>
            <w:r>
              <w:rPr>
                <w:color w:val="auto"/>
                <w:sz w:val="24"/>
              </w:rPr>
              <w:t>由上表可知，项目</w:t>
            </w:r>
            <w:r>
              <w:rPr>
                <w:rFonts w:hint="eastAsia"/>
                <w:color w:val="auto"/>
                <w:sz w:val="24"/>
                <w:lang w:eastAsia="zh-CN"/>
              </w:rPr>
              <w:t>颗粒物</w:t>
            </w:r>
            <w:r>
              <w:rPr>
                <w:color w:val="auto"/>
                <w:sz w:val="24"/>
              </w:rPr>
              <w:t>最大落地浓度占标率</w:t>
            </w:r>
            <w:r>
              <w:rPr>
                <w:rFonts w:hint="eastAsia"/>
                <w:color w:val="auto"/>
                <w:sz w:val="24"/>
                <w:lang w:val="en-US" w:eastAsia="zh-CN"/>
              </w:rPr>
              <w:t>6.06</w:t>
            </w:r>
            <w:r>
              <w:rPr>
                <w:rFonts w:hint="eastAsia"/>
                <w:color w:val="auto"/>
                <w:sz w:val="24"/>
              </w:rPr>
              <w:t>%</w:t>
            </w:r>
            <w:r>
              <w:rPr>
                <w:color w:val="auto"/>
                <w:sz w:val="24"/>
              </w:rPr>
              <w:t>&lt;</w:t>
            </w:r>
            <w:r>
              <w:rPr>
                <w:rFonts w:hint="eastAsia"/>
                <w:color w:val="auto"/>
                <w:sz w:val="24"/>
              </w:rPr>
              <w:t>1</w:t>
            </w:r>
            <w:r>
              <w:rPr>
                <w:rFonts w:hint="eastAsia"/>
                <w:color w:val="auto"/>
                <w:sz w:val="24"/>
                <w:lang w:val="en-US" w:eastAsia="zh-CN"/>
              </w:rPr>
              <w:t>0</w:t>
            </w:r>
            <w:r>
              <w:rPr>
                <w:color w:val="auto"/>
                <w:sz w:val="24"/>
              </w:rPr>
              <w:t>%</w:t>
            </w:r>
            <w:r>
              <w:rPr>
                <w:rFonts w:hint="eastAsia"/>
                <w:color w:val="auto"/>
                <w:sz w:val="24"/>
              </w:rPr>
              <w:t>，</w:t>
            </w:r>
            <w:r>
              <w:rPr>
                <w:rFonts w:hint="eastAsia"/>
                <w:color w:val="auto"/>
                <w:sz w:val="24"/>
                <w:lang w:eastAsia="zh-CN"/>
              </w:rPr>
              <w:t>在珑庭花园的</w:t>
            </w:r>
            <w:r>
              <w:rPr>
                <w:color w:val="auto"/>
                <w:sz w:val="24"/>
              </w:rPr>
              <w:t>最大落地浓度占标率</w:t>
            </w:r>
            <w:r>
              <w:rPr>
                <w:rFonts w:hint="eastAsia"/>
                <w:color w:val="auto"/>
                <w:sz w:val="24"/>
                <w:lang w:val="en-US" w:eastAsia="zh-CN"/>
              </w:rPr>
              <w:t>1.97</w:t>
            </w:r>
            <w:r>
              <w:rPr>
                <w:rFonts w:hint="eastAsia"/>
                <w:color w:val="auto"/>
                <w:sz w:val="24"/>
              </w:rPr>
              <w:t>%</w:t>
            </w:r>
            <w:r>
              <w:rPr>
                <w:color w:val="auto"/>
                <w:sz w:val="24"/>
              </w:rPr>
              <w:t>&lt;</w:t>
            </w:r>
            <w:r>
              <w:rPr>
                <w:rFonts w:hint="eastAsia"/>
                <w:color w:val="auto"/>
                <w:sz w:val="24"/>
                <w:lang w:val="en-US" w:eastAsia="zh-CN"/>
              </w:rPr>
              <w:t>10%；</w:t>
            </w:r>
            <w:r>
              <w:rPr>
                <w:color w:val="auto"/>
                <w:sz w:val="24"/>
              </w:rPr>
              <w:t>项目</w:t>
            </w:r>
            <w:r>
              <w:rPr>
                <w:rFonts w:hint="eastAsia"/>
                <w:color w:val="auto"/>
                <w:sz w:val="24"/>
                <w:lang w:eastAsia="zh-CN"/>
              </w:rPr>
              <w:t>非甲烷总烃</w:t>
            </w:r>
            <w:r>
              <w:rPr>
                <w:color w:val="auto"/>
                <w:sz w:val="24"/>
              </w:rPr>
              <w:t>最大落地浓度占标率</w:t>
            </w:r>
            <w:r>
              <w:rPr>
                <w:rFonts w:hint="eastAsia"/>
                <w:color w:val="auto"/>
                <w:sz w:val="24"/>
                <w:lang w:val="en-US" w:eastAsia="zh-CN"/>
              </w:rPr>
              <w:t>0.1</w:t>
            </w:r>
            <w:r>
              <w:rPr>
                <w:rFonts w:hint="eastAsia"/>
                <w:color w:val="auto"/>
                <w:sz w:val="24"/>
              </w:rPr>
              <w:t>%</w:t>
            </w:r>
            <w:r>
              <w:rPr>
                <w:color w:val="auto"/>
                <w:sz w:val="24"/>
              </w:rPr>
              <w:t>&lt;</w:t>
            </w:r>
            <w:r>
              <w:rPr>
                <w:rFonts w:hint="eastAsia"/>
                <w:color w:val="auto"/>
                <w:sz w:val="24"/>
              </w:rPr>
              <w:t>1</w:t>
            </w:r>
            <w:r>
              <w:rPr>
                <w:color w:val="auto"/>
                <w:sz w:val="24"/>
              </w:rPr>
              <w:t>%</w:t>
            </w:r>
            <w:r>
              <w:rPr>
                <w:rFonts w:hint="eastAsia"/>
                <w:color w:val="auto"/>
                <w:sz w:val="24"/>
              </w:rPr>
              <w:t>，</w:t>
            </w:r>
            <w:r>
              <w:rPr>
                <w:rFonts w:hint="eastAsia"/>
                <w:color w:val="auto"/>
                <w:sz w:val="24"/>
                <w:lang w:eastAsia="zh-CN"/>
              </w:rPr>
              <w:t>在珑庭花园的</w:t>
            </w:r>
            <w:r>
              <w:rPr>
                <w:color w:val="auto"/>
                <w:sz w:val="24"/>
              </w:rPr>
              <w:t>最大落地浓度</w:t>
            </w:r>
            <w:r>
              <w:rPr>
                <w:rFonts w:hint="eastAsia"/>
                <w:color w:val="auto"/>
                <w:sz w:val="24"/>
                <w:lang w:eastAsia="zh-CN"/>
              </w:rPr>
              <w:t>非甲烷总烃</w:t>
            </w:r>
            <w:r>
              <w:rPr>
                <w:color w:val="auto"/>
                <w:sz w:val="24"/>
              </w:rPr>
              <w:t>占标率</w:t>
            </w:r>
            <w:r>
              <w:rPr>
                <w:rFonts w:hint="eastAsia"/>
                <w:color w:val="auto"/>
                <w:sz w:val="24"/>
                <w:lang w:val="en-US" w:eastAsia="zh-CN"/>
              </w:rPr>
              <w:t>0.02</w:t>
            </w:r>
            <w:r>
              <w:rPr>
                <w:rFonts w:hint="eastAsia"/>
                <w:color w:val="auto"/>
                <w:sz w:val="24"/>
              </w:rPr>
              <w:t>%</w:t>
            </w:r>
            <w:r>
              <w:rPr>
                <w:color w:val="auto"/>
                <w:sz w:val="24"/>
              </w:rPr>
              <w:t>&lt;</w:t>
            </w:r>
            <w:r>
              <w:rPr>
                <w:rFonts w:hint="eastAsia"/>
                <w:color w:val="auto"/>
                <w:sz w:val="24"/>
                <w:lang w:val="en-US" w:eastAsia="zh-CN"/>
              </w:rPr>
              <w:t>1</w:t>
            </w:r>
            <w:r>
              <w:rPr>
                <w:color w:val="auto"/>
                <w:sz w:val="24"/>
              </w:rPr>
              <w:t>%</w:t>
            </w:r>
            <w:r>
              <w:rPr>
                <w:rFonts w:hint="eastAsia"/>
                <w:color w:val="auto"/>
                <w:sz w:val="24"/>
                <w:lang w:eastAsia="zh-CN"/>
              </w:rPr>
              <w:t>，</w:t>
            </w:r>
            <w:r>
              <w:rPr>
                <w:rFonts w:hint="eastAsia"/>
                <w:color w:val="auto"/>
                <w:sz w:val="24"/>
              </w:rPr>
              <w:t>本项目评价等级应为</w:t>
            </w:r>
            <w:r>
              <w:rPr>
                <w:rFonts w:hint="eastAsia"/>
                <w:color w:val="auto"/>
                <w:sz w:val="24"/>
                <w:lang w:eastAsia="zh-CN"/>
              </w:rPr>
              <w:t>二</w:t>
            </w:r>
            <w:r>
              <w:rPr>
                <w:rFonts w:hint="eastAsia"/>
                <w:color w:val="auto"/>
                <w:sz w:val="24"/>
              </w:rPr>
              <w:t>级，</w:t>
            </w:r>
            <w:r>
              <w:rPr>
                <w:color w:val="auto"/>
                <w:sz w:val="24"/>
              </w:rPr>
              <w:t>对</w:t>
            </w:r>
            <w:r>
              <w:rPr>
                <w:rFonts w:hint="eastAsia"/>
                <w:color w:val="auto"/>
                <w:sz w:val="24"/>
                <w:lang w:eastAsia="zh-CN"/>
              </w:rPr>
              <w:t>环境保护目标珑庭花园</w:t>
            </w:r>
            <w:r>
              <w:rPr>
                <w:rFonts w:hint="eastAsia"/>
                <w:color w:val="auto"/>
                <w:sz w:val="24"/>
                <w:lang w:val="en-US" w:eastAsia="zh-CN"/>
              </w:rPr>
              <w:t>及</w:t>
            </w:r>
            <w:r>
              <w:rPr>
                <w:color w:val="auto"/>
                <w:sz w:val="24"/>
              </w:rPr>
              <w:t>周边环境影响</w:t>
            </w:r>
            <w:r>
              <w:rPr>
                <w:rFonts w:hint="eastAsia"/>
                <w:color w:val="auto"/>
                <w:sz w:val="24"/>
              </w:rPr>
              <w:t>可接受，不需要进一步预测。</w:t>
            </w:r>
          </w:p>
          <w:p>
            <w:pPr>
              <w:spacing w:line="360" w:lineRule="auto"/>
              <w:ind w:firstLine="482"/>
              <w:rPr>
                <w:b/>
                <w:bCs/>
                <w:color w:val="auto"/>
                <w:sz w:val="24"/>
              </w:rPr>
            </w:pPr>
            <w:r>
              <w:rPr>
                <w:b/>
                <w:bCs/>
                <w:color w:val="auto"/>
                <w:sz w:val="24"/>
              </w:rPr>
              <w:t>（</w:t>
            </w:r>
            <w:r>
              <w:rPr>
                <w:rFonts w:hint="eastAsia"/>
                <w:b/>
                <w:bCs/>
                <w:color w:val="auto"/>
                <w:sz w:val="24"/>
                <w:lang w:val="en-US" w:eastAsia="zh-CN"/>
              </w:rPr>
              <w:t>3</w:t>
            </w:r>
            <w:r>
              <w:rPr>
                <w:b/>
                <w:bCs/>
                <w:color w:val="auto"/>
                <w:sz w:val="24"/>
              </w:rPr>
              <w:t>）污染物排放量核算</w:t>
            </w:r>
          </w:p>
          <w:p>
            <w:pPr>
              <w:jc w:val="center"/>
              <w:rPr>
                <w:color w:val="auto"/>
                <w:szCs w:val="21"/>
              </w:rPr>
            </w:pPr>
            <w:r>
              <w:rPr>
                <w:b/>
                <w:color w:val="auto"/>
                <w:szCs w:val="21"/>
              </w:rPr>
              <w:t>表7-</w:t>
            </w:r>
            <w:r>
              <w:rPr>
                <w:rFonts w:hint="eastAsia"/>
                <w:b/>
                <w:color w:val="auto"/>
                <w:szCs w:val="21"/>
              </w:rPr>
              <w:t>9</w:t>
            </w:r>
            <w:r>
              <w:rPr>
                <w:b/>
                <w:color w:val="auto"/>
                <w:szCs w:val="21"/>
              </w:rPr>
              <w:t xml:space="preserve">  大气污染物有组织排放量核算表</w:t>
            </w:r>
          </w:p>
          <w:tbl>
            <w:tblPr>
              <w:tblStyle w:val="56"/>
              <w:tblW w:w="8312" w:type="dxa"/>
              <w:tblInd w:w="0" w:type="dxa"/>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585"/>
              <w:gridCol w:w="901"/>
              <w:gridCol w:w="875"/>
              <w:gridCol w:w="1383"/>
              <w:gridCol w:w="1575"/>
              <w:gridCol w:w="1410"/>
              <w:gridCol w:w="1583"/>
            </w:tblGrid>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660" w:hRule="atLeast"/>
              </w:trPr>
              <w:tc>
                <w:tcPr>
                  <w:tcW w:w="585" w:type="dxa"/>
                  <w:tcBorders>
                    <w:tl2br w:val="nil"/>
                    <w:tr2bl w:val="nil"/>
                  </w:tcBorders>
                  <w:vAlign w:val="center"/>
                </w:tcPr>
                <w:p>
                  <w:pPr>
                    <w:widowControl/>
                    <w:jc w:val="center"/>
                    <w:rPr>
                      <w:b/>
                      <w:color w:val="auto"/>
                      <w:kern w:val="0"/>
                      <w:szCs w:val="21"/>
                    </w:rPr>
                  </w:pPr>
                  <w:r>
                    <w:rPr>
                      <w:b/>
                      <w:color w:val="auto"/>
                      <w:kern w:val="0"/>
                      <w:szCs w:val="21"/>
                    </w:rPr>
                    <w:t>序号</w:t>
                  </w:r>
                </w:p>
              </w:tc>
              <w:tc>
                <w:tcPr>
                  <w:tcW w:w="901" w:type="dxa"/>
                  <w:tcBorders>
                    <w:tl2br w:val="nil"/>
                    <w:tr2bl w:val="nil"/>
                  </w:tcBorders>
                  <w:vAlign w:val="center"/>
                </w:tcPr>
                <w:p>
                  <w:pPr>
                    <w:widowControl/>
                    <w:jc w:val="center"/>
                    <w:rPr>
                      <w:b/>
                      <w:color w:val="auto"/>
                      <w:kern w:val="0"/>
                      <w:szCs w:val="21"/>
                    </w:rPr>
                  </w:pPr>
                  <w:r>
                    <w:rPr>
                      <w:b/>
                      <w:color w:val="auto"/>
                      <w:kern w:val="0"/>
                      <w:szCs w:val="21"/>
                    </w:rPr>
                    <w:t>排放口</w:t>
                  </w:r>
                </w:p>
                <w:p>
                  <w:pPr>
                    <w:widowControl/>
                    <w:jc w:val="center"/>
                    <w:rPr>
                      <w:b/>
                      <w:color w:val="auto"/>
                      <w:kern w:val="0"/>
                      <w:szCs w:val="21"/>
                    </w:rPr>
                  </w:pPr>
                  <w:r>
                    <w:rPr>
                      <w:b/>
                      <w:color w:val="auto"/>
                      <w:kern w:val="0"/>
                      <w:szCs w:val="21"/>
                    </w:rPr>
                    <w:t>编号</w:t>
                  </w:r>
                </w:p>
              </w:tc>
              <w:tc>
                <w:tcPr>
                  <w:tcW w:w="875" w:type="dxa"/>
                  <w:tcBorders>
                    <w:tl2br w:val="nil"/>
                    <w:tr2bl w:val="nil"/>
                  </w:tcBorders>
                  <w:vAlign w:val="center"/>
                </w:tcPr>
                <w:p>
                  <w:pPr>
                    <w:widowControl/>
                    <w:jc w:val="center"/>
                    <w:rPr>
                      <w:b/>
                      <w:color w:val="auto"/>
                      <w:kern w:val="0"/>
                      <w:szCs w:val="21"/>
                    </w:rPr>
                  </w:pPr>
                  <w:r>
                    <w:rPr>
                      <w:b/>
                      <w:color w:val="auto"/>
                      <w:kern w:val="0"/>
                      <w:szCs w:val="21"/>
                    </w:rPr>
                    <w:t>污染物</w:t>
                  </w:r>
                </w:p>
              </w:tc>
              <w:tc>
                <w:tcPr>
                  <w:tcW w:w="1383" w:type="dxa"/>
                  <w:tcBorders>
                    <w:tl2br w:val="nil"/>
                    <w:tr2bl w:val="nil"/>
                  </w:tcBorders>
                  <w:vAlign w:val="center"/>
                </w:tcPr>
                <w:p>
                  <w:pPr>
                    <w:widowControl/>
                    <w:jc w:val="center"/>
                    <w:rPr>
                      <w:b/>
                      <w:color w:val="auto"/>
                      <w:kern w:val="0"/>
                      <w:szCs w:val="21"/>
                    </w:rPr>
                  </w:pPr>
                  <w:r>
                    <w:rPr>
                      <w:b/>
                      <w:color w:val="auto"/>
                      <w:kern w:val="0"/>
                      <w:szCs w:val="21"/>
                    </w:rPr>
                    <w:t>主要污染防治措施</w:t>
                  </w:r>
                </w:p>
              </w:tc>
              <w:tc>
                <w:tcPr>
                  <w:tcW w:w="1575" w:type="dxa"/>
                  <w:tcBorders>
                    <w:tl2br w:val="nil"/>
                    <w:tr2bl w:val="nil"/>
                  </w:tcBorders>
                  <w:vAlign w:val="center"/>
                </w:tcPr>
                <w:p>
                  <w:pPr>
                    <w:widowControl/>
                    <w:jc w:val="center"/>
                    <w:rPr>
                      <w:b/>
                      <w:color w:val="auto"/>
                      <w:kern w:val="0"/>
                      <w:szCs w:val="21"/>
                    </w:rPr>
                  </w:pPr>
                  <w:r>
                    <w:rPr>
                      <w:b/>
                      <w:color w:val="auto"/>
                      <w:kern w:val="0"/>
                      <w:szCs w:val="21"/>
                    </w:rPr>
                    <w:t>核算排放浓度/（µg/m</w:t>
                  </w:r>
                  <w:r>
                    <w:rPr>
                      <w:b/>
                      <w:color w:val="auto"/>
                      <w:kern w:val="0"/>
                      <w:szCs w:val="21"/>
                      <w:vertAlign w:val="superscript"/>
                    </w:rPr>
                    <w:t>3</w:t>
                  </w:r>
                  <w:r>
                    <w:rPr>
                      <w:b/>
                      <w:color w:val="auto"/>
                      <w:kern w:val="0"/>
                      <w:szCs w:val="21"/>
                    </w:rPr>
                    <w:t>）</w:t>
                  </w:r>
                </w:p>
              </w:tc>
              <w:tc>
                <w:tcPr>
                  <w:tcW w:w="1410" w:type="dxa"/>
                  <w:tcBorders>
                    <w:tl2br w:val="nil"/>
                    <w:tr2bl w:val="nil"/>
                  </w:tcBorders>
                  <w:vAlign w:val="center"/>
                </w:tcPr>
                <w:p>
                  <w:pPr>
                    <w:widowControl/>
                    <w:jc w:val="center"/>
                    <w:rPr>
                      <w:b/>
                      <w:color w:val="auto"/>
                      <w:kern w:val="0"/>
                      <w:szCs w:val="21"/>
                    </w:rPr>
                  </w:pPr>
                  <w:r>
                    <w:rPr>
                      <w:b/>
                      <w:color w:val="auto"/>
                      <w:kern w:val="0"/>
                      <w:szCs w:val="21"/>
                    </w:rPr>
                    <w:t>核算排放速率/（kg/h）</w:t>
                  </w:r>
                </w:p>
              </w:tc>
              <w:tc>
                <w:tcPr>
                  <w:tcW w:w="1583" w:type="dxa"/>
                  <w:tcBorders>
                    <w:tl2br w:val="nil"/>
                    <w:tr2bl w:val="nil"/>
                  </w:tcBorders>
                  <w:vAlign w:val="center"/>
                </w:tcPr>
                <w:p>
                  <w:pPr>
                    <w:widowControl/>
                    <w:jc w:val="center"/>
                    <w:rPr>
                      <w:b/>
                      <w:color w:val="auto"/>
                      <w:kern w:val="0"/>
                      <w:szCs w:val="21"/>
                    </w:rPr>
                  </w:pPr>
                  <w:r>
                    <w:rPr>
                      <w:b/>
                      <w:color w:val="auto"/>
                      <w:kern w:val="0"/>
                      <w:szCs w:val="21"/>
                    </w:rPr>
                    <w:t>核算年排放量/（</w:t>
                  </w:r>
                  <w:r>
                    <w:rPr>
                      <w:rFonts w:hint="eastAsia"/>
                      <w:b/>
                      <w:color w:val="auto"/>
                      <w:kern w:val="0"/>
                      <w:szCs w:val="21"/>
                      <w:lang w:val="en-US" w:eastAsia="zh-CN"/>
                    </w:rPr>
                    <w:t>t</w:t>
                  </w:r>
                  <w:r>
                    <w:rPr>
                      <w:b/>
                      <w:color w:val="auto"/>
                      <w:kern w:val="0"/>
                      <w:szCs w:val="21"/>
                    </w:rPr>
                    <w:t>/a）</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312" w:type="dxa"/>
                  <w:gridSpan w:val="7"/>
                  <w:tcBorders>
                    <w:tl2br w:val="nil"/>
                    <w:tr2bl w:val="nil"/>
                  </w:tcBorders>
                  <w:vAlign w:val="center"/>
                </w:tcPr>
                <w:p>
                  <w:pPr>
                    <w:widowControl/>
                    <w:jc w:val="center"/>
                    <w:rPr>
                      <w:color w:val="auto"/>
                      <w:kern w:val="0"/>
                      <w:szCs w:val="21"/>
                    </w:rPr>
                  </w:pPr>
                  <w:r>
                    <w:rPr>
                      <w:color w:val="auto"/>
                      <w:kern w:val="0"/>
                      <w:szCs w:val="21"/>
                    </w:rPr>
                    <w:t>一般排放口</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61" w:hRule="atLeast"/>
              </w:trPr>
              <w:tc>
                <w:tcPr>
                  <w:tcW w:w="585" w:type="dxa"/>
                  <w:tcBorders>
                    <w:tl2br w:val="nil"/>
                    <w:tr2bl w:val="nil"/>
                  </w:tcBorders>
                  <w:vAlign w:val="center"/>
                </w:tcPr>
                <w:p>
                  <w:pPr>
                    <w:widowControl/>
                    <w:jc w:val="center"/>
                    <w:rPr>
                      <w:color w:val="auto"/>
                      <w:kern w:val="0"/>
                      <w:szCs w:val="21"/>
                    </w:rPr>
                  </w:pPr>
                  <w:r>
                    <w:rPr>
                      <w:rFonts w:hint="eastAsia"/>
                      <w:color w:val="auto"/>
                      <w:kern w:val="0"/>
                      <w:szCs w:val="21"/>
                    </w:rPr>
                    <w:t>1</w:t>
                  </w:r>
                </w:p>
              </w:tc>
              <w:tc>
                <w:tcPr>
                  <w:tcW w:w="901" w:type="dxa"/>
                  <w:vMerge w:val="restart"/>
                  <w:tcBorders>
                    <w:tl2br w:val="nil"/>
                    <w:tr2bl w:val="nil"/>
                  </w:tcBorders>
                  <w:vAlign w:val="center"/>
                </w:tcPr>
                <w:p>
                  <w:pPr>
                    <w:widowControl/>
                    <w:jc w:val="center"/>
                    <w:rPr>
                      <w:color w:val="auto"/>
                      <w:kern w:val="0"/>
                      <w:szCs w:val="21"/>
                    </w:rPr>
                  </w:pPr>
                  <w:r>
                    <w:rPr>
                      <w:rFonts w:hint="eastAsia"/>
                      <w:color w:val="auto"/>
                      <w:kern w:val="0"/>
                      <w:szCs w:val="21"/>
                    </w:rPr>
                    <w:t>排气筒</w:t>
                  </w:r>
                </w:p>
              </w:tc>
              <w:tc>
                <w:tcPr>
                  <w:tcW w:w="875" w:type="dxa"/>
                  <w:tcBorders>
                    <w:tl2br w:val="nil"/>
                    <w:tr2bl w:val="nil"/>
                  </w:tcBorders>
                  <w:vAlign w:val="center"/>
                </w:tcPr>
                <w:p>
                  <w:pPr>
                    <w:jc w:val="center"/>
                    <w:rPr>
                      <w:rFonts w:hint="eastAsia" w:eastAsia="宋体"/>
                      <w:color w:val="auto"/>
                      <w:kern w:val="0"/>
                      <w:szCs w:val="21"/>
                      <w:lang w:eastAsia="zh-CN"/>
                    </w:rPr>
                  </w:pPr>
                  <w:r>
                    <w:rPr>
                      <w:rFonts w:hint="eastAsia"/>
                      <w:color w:val="auto"/>
                      <w:kern w:val="0"/>
                      <w:szCs w:val="21"/>
                      <w:lang w:eastAsia="zh-CN"/>
                    </w:rPr>
                    <w:t>粉尘</w:t>
                  </w:r>
                </w:p>
              </w:tc>
              <w:tc>
                <w:tcPr>
                  <w:tcW w:w="1383" w:type="dxa"/>
                  <w:tcBorders>
                    <w:tl2br w:val="nil"/>
                    <w:tr2bl w:val="nil"/>
                  </w:tcBorders>
                  <w:vAlign w:val="center"/>
                </w:tcPr>
                <w:p>
                  <w:pPr>
                    <w:jc w:val="center"/>
                    <w:rPr>
                      <w:rFonts w:hint="eastAsia" w:eastAsia="宋体"/>
                      <w:color w:val="auto"/>
                      <w:kern w:val="0"/>
                      <w:szCs w:val="21"/>
                      <w:lang w:eastAsia="zh-CN"/>
                    </w:rPr>
                  </w:pPr>
                  <w:r>
                    <w:rPr>
                      <w:rFonts w:hint="eastAsia"/>
                      <w:color w:val="auto"/>
                      <w:kern w:val="0"/>
                      <w:szCs w:val="21"/>
                      <w:lang w:eastAsia="zh-CN"/>
                    </w:rPr>
                    <w:t>布袋除尘器</w:t>
                  </w:r>
                </w:p>
              </w:tc>
              <w:tc>
                <w:tcPr>
                  <w:tcW w:w="1575" w:type="dxa"/>
                  <w:tcBorders>
                    <w:tl2br w:val="nil"/>
                    <w:tr2bl w:val="nil"/>
                  </w:tcBorders>
                  <w:vAlign w:val="center"/>
                </w:tcPr>
                <w:p>
                  <w:pPr>
                    <w:jc w:val="center"/>
                    <w:rPr>
                      <w:rFonts w:hint="default" w:eastAsia="宋体"/>
                      <w:color w:val="auto"/>
                      <w:szCs w:val="21"/>
                      <w:lang w:val="en-US" w:eastAsia="zh-CN"/>
                    </w:rPr>
                  </w:pPr>
                  <w:r>
                    <w:rPr>
                      <w:rFonts w:hint="eastAsia"/>
                      <w:color w:val="auto"/>
                      <w:szCs w:val="21"/>
                      <w:lang w:val="en-US" w:eastAsia="zh-CN"/>
                    </w:rPr>
                    <w:t>2800</w:t>
                  </w:r>
                </w:p>
              </w:tc>
              <w:tc>
                <w:tcPr>
                  <w:tcW w:w="1410" w:type="dxa"/>
                  <w:tcBorders>
                    <w:tl2br w:val="nil"/>
                    <w:tr2bl w:val="nil"/>
                  </w:tcBorders>
                  <w:vAlign w:val="center"/>
                </w:tcPr>
                <w:p>
                  <w:pPr>
                    <w:jc w:val="center"/>
                    <w:rPr>
                      <w:rFonts w:hint="default" w:eastAsia="宋体"/>
                      <w:color w:val="auto"/>
                      <w:szCs w:val="21"/>
                      <w:lang w:val="en-US" w:eastAsia="zh-CN"/>
                    </w:rPr>
                  </w:pPr>
                  <w:r>
                    <w:rPr>
                      <w:rFonts w:hint="eastAsia"/>
                      <w:color w:val="auto"/>
                      <w:szCs w:val="21"/>
                      <w:lang w:val="en-US" w:eastAsia="zh-CN"/>
                    </w:rPr>
                    <w:t>0.014</w:t>
                  </w:r>
                </w:p>
              </w:tc>
              <w:tc>
                <w:tcPr>
                  <w:tcW w:w="1583" w:type="dxa"/>
                  <w:tcBorders>
                    <w:tl2br w:val="nil"/>
                    <w:tr2bl w:val="nil"/>
                  </w:tcBorders>
                  <w:vAlign w:val="center"/>
                </w:tcPr>
                <w:p>
                  <w:pPr>
                    <w:jc w:val="center"/>
                    <w:rPr>
                      <w:rFonts w:hint="default" w:eastAsia="宋体"/>
                      <w:color w:val="auto"/>
                      <w:szCs w:val="21"/>
                      <w:lang w:val="en-US" w:eastAsia="zh-CN"/>
                    </w:rPr>
                  </w:pPr>
                  <w:r>
                    <w:rPr>
                      <w:rFonts w:hint="eastAsia"/>
                      <w:color w:val="auto"/>
                      <w:szCs w:val="21"/>
                      <w:lang w:val="en-US" w:eastAsia="zh-CN"/>
                    </w:rPr>
                    <w:t>0.0005</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61" w:hRule="atLeast"/>
              </w:trPr>
              <w:tc>
                <w:tcPr>
                  <w:tcW w:w="585" w:type="dxa"/>
                  <w:tcBorders>
                    <w:tl2br w:val="nil"/>
                    <w:tr2bl w:val="nil"/>
                  </w:tcBorders>
                  <w:vAlign w:val="center"/>
                </w:tcPr>
                <w:p>
                  <w:pPr>
                    <w:widowControl/>
                    <w:jc w:val="center"/>
                    <w:rPr>
                      <w:rFonts w:hint="eastAsia" w:eastAsia="宋体"/>
                      <w:color w:val="auto"/>
                      <w:kern w:val="0"/>
                      <w:szCs w:val="21"/>
                      <w:lang w:val="en-US" w:eastAsia="zh-CN"/>
                    </w:rPr>
                  </w:pPr>
                  <w:r>
                    <w:rPr>
                      <w:rFonts w:hint="eastAsia"/>
                      <w:color w:val="auto"/>
                      <w:kern w:val="0"/>
                      <w:szCs w:val="21"/>
                      <w:lang w:val="en-US" w:eastAsia="zh-CN"/>
                    </w:rPr>
                    <w:t>2</w:t>
                  </w:r>
                </w:p>
              </w:tc>
              <w:tc>
                <w:tcPr>
                  <w:tcW w:w="901" w:type="dxa"/>
                  <w:vMerge w:val="continue"/>
                  <w:tcBorders>
                    <w:tl2br w:val="nil"/>
                    <w:tr2bl w:val="nil"/>
                  </w:tcBorders>
                  <w:vAlign w:val="center"/>
                </w:tcPr>
                <w:p>
                  <w:pPr>
                    <w:widowControl/>
                    <w:jc w:val="center"/>
                    <w:rPr>
                      <w:rFonts w:hint="eastAsia"/>
                      <w:color w:val="auto"/>
                      <w:kern w:val="0"/>
                      <w:szCs w:val="21"/>
                    </w:rPr>
                  </w:pPr>
                </w:p>
              </w:tc>
              <w:tc>
                <w:tcPr>
                  <w:tcW w:w="875" w:type="dxa"/>
                  <w:tcBorders>
                    <w:tl2br w:val="nil"/>
                    <w:tr2bl w:val="nil"/>
                  </w:tcBorders>
                  <w:vAlign w:val="center"/>
                </w:tcPr>
                <w:p>
                  <w:pPr>
                    <w:jc w:val="center"/>
                    <w:rPr>
                      <w:rFonts w:hint="eastAsia" w:ascii="Times New Roman" w:hAnsi="Times New Roman" w:eastAsia="宋体" w:cs="Times New Roman"/>
                      <w:color w:val="auto"/>
                      <w:kern w:val="0"/>
                      <w:sz w:val="21"/>
                      <w:szCs w:val="21"/>
                      <w:lang w:val="en-US" w:eastAsia="zh-CN" w:bidi="ar-SA"/>
                    </w:rPr>
                  </w:pPr>
                  <w:r>
                    <w:rPr>
                      <w:rFonts w:hint="eastAsia"/>
                      <w:b w:val="0"/>
                      <w:bCs/>
                      <w:color w:val="auto"/>
                      <w:szCs w:val="21"/>
                      <w:lang w:eastAsia="zh-CN"/>
                    </w:rPr>
                    <w:t>非甲烷总烃</w:t>
                  </w:r>
                </w:p>
              </w:tc>
              <w:tc>
                <w:tcPr>
                  <w:tcW w:w="1383" w:type="dxa"/>
                  <w:tcBorders>
                    <w:tl2br w:val="nil"/>
                    <w:tr2bl w:val="nil"/>
                  </w:tcBorders>
                  <w:vAlign w:val="center"/>
                </w:tcPr>
                <w:p>
                  <w:pPr>
                    <w:jc w:val="center"/>
                    <w:rPr>
                      <w:rFonts w:hint="eastAsia" w:ascii="Times New Roman" w:hAnsi="Times New Roman" w:eastAsia="宋体" w:cs="Times New Roman"/>
                      <w:color w:val="auto"/>
                      <w:kern w:val="0"/>
                      <w:sz w:val="21"/>
                      <w:szCs w:val="21"/>
                      <w:lang w:val="en-US" w:eastAsia="zh-CN" w:bidi="ar-SA"/>
                    </w:rPr>
                  </w:pPr>
                  <w:r>
                    <w:rPr>
                      <w:rFonts w:hint="eastAsia"/>
                      <w:color w:val="auto"/>
                      <w:kern w:val="0"/>
                      <w:szCs w:val="21"/>
                    </w:rPr>
                    <w:t>二级活性炭吸附设</w:t>
                  </w:r>
                </w:p>
              </w:tc>
              <w:tc>
                <w:tcPr>
                  <w:tcW w:w="1575" w:type="dxa"/>
                  <w:tcBorders>
                    <w:tl2br w:val="nil"/>
                    <w:tr2bl w:val="nil"/>
                  </w:tcBorders>
                  <w:vAlign w:val="center"/>
                </w:tcPr>
                <w:p>
                  <w:pPr>
                    <w:jc w:val="center"/>
                    <w:rPr>
                      <w:rFonts w:hint="eastAsia" w:ascii="Times New Roman" w:hAnsi="Times New Roman" w:eastAsia="宋体" w:cs="Times New Roman"/>
                      <w:color w:val="auto"/>
                      <w:kern w:val="2"/>
                      <w:sz w:val="21"/>
                      <w:szCs w:val="21"/>
                      <w:lang w:val="en-US" w:eastAsia="zh-CN" w:bidi="ar-SA"/>
                    </w:rPr>
                  </w:pPr>
                  <w:r>
                    <w:rPr>
                      <w:rFonts w:hint="eastAsia"/>
                      <w:color w:val="auto"/>
                      <w:szCs w:val="21"/>
                      <w:lang w:val="en-US" w:eastAsia="zh-CN"/>
                    </w:rPr>
                    <w:t>1000</w:t>
                  </w:r>
                </w:p>
              </w:tc>
              <w:tc>
                <w:tcPr>
                  <w:tcW w:w="1410" w:type="dxa"/>
                  <w:tcBorders>
                    <w:tl2br w:val="nil"/>
                    <w:tr2bl w:val="nil"/>
                  </w:tcBorders>
                  <w:vAlign w:val="center"/>
                </w:tcPr>
                <w:p>
                  <w:pPr>
                    <w:jc w:val="center"/>
                    <w:rPr>
                      <w:rFonts w:hint="eastAsia" w:ascii="Times New Roman" w:hAnsi="Times New Roman" w:eastAsia="宋体" w:cs="Times New Roman"/>
                      <w:color w:val="auto"/>
                      <w:kern w:val="2"/>
                      <w:sz w:val="21"/>
                      <w:szCs w:val="21"/>
                      <w:lang w:val="en-US" w:eastAsia="zh-CN" w:bidi="ar-SA"/>
                    </w:rPr>
                  </w:pPr>
                  <w:r>
                    <w:rPr>
                      <w:rFonts w:hint="eastAsia"/>
                      <w:color w:val="auto"/>
                      <w:szCs w:val="21"/>
                    </w:rPr>
                    <w:t>0.0</w:t>
                  </w:r>
                  <w:r>
                    <w:rPr>
                      <w:rFonts w:hint="eastAsia"/>
                      <w:color w:val="auto"/>
                      <w:szCs w:val="21"/>
                      <w:lang w:val="en-US" w:eastAsia="zh-CN"/>
                    </w:rPr>
                    <w:t>01</w:t>
                  </w:r>
                </w:p>
              </w:tc>
              <w:tc>
                <w:tcPr>
                  <w:tcW w:w="1583" w:type="dxa"/>
                  <w:tcBorders>
                    <w:tl2br w:val="nil"/>
                    <w:tr2bl w:val="nil"/>
                  </w:tcBorders>
                  <w:vAlign w:val="center"/>
                </w:tcPr>
                <w:p>
                  <w:pPr>
                    <w:jc w:val="center"/>
                    <w:rPr>
                      <w:rFonts w:hint="eastAsia" w:ascii="Times New Roman" w:hAnsi="Times New Roman" w:eastAsia="宋体" w:cs="Times New Roman"/>
                      <w:color w:val="auto"/>
                      <w:kern w:val="2"/>
                      <w:sz w:val="21"/>
                      <w:szCs w:val="21"/>
                      <w:lang w:val="en-US" w:eastAsia="zh-CN" w:bidi="ar-SA"/>
                    </w:rPr>
                  </w:pPr>
                  <w:r>
                    <w:rPr>
                      <w:rFonts w:hint="eastAsia"/>
                      <w:color w:val="auto"/>
                      <w:szCs w:val="21"/>
                      <w:lang w:val="en-US" w:eastAsia="zh-CN"/>
                    </w:rPr>
                    <w:t>0.05kg/a</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486" w:type="dxa"/>
                  <w:gridSpan w:val="2"/>
                  <w:vMerge w:val="restart"/>
                  <w:tcBorders>
                    <w:tl2br w:val="nil"/>
                    <w:tr2bl w:val="nil"/>
                  </w:tcBorders>
                  <w:vAlign w:val="center"/>
                </w:tcPr>
                <w:p>
                  <w:pPr>
                    <w:widowControl/>
                    <w:jc w:val="center"/>
                    <w:rPr>
                      <w:color w:val="auto"/>
                      <w:kern w:val="0"/>
                      <w:szCs w:val="21"/>
                    </w:rPr>
                  </w:pPr>
                  <w:r>
                    <w:rPr>
                      <w:color w:val="auto"/>
                      <w:kern w:val="0"/>
                      <w:szCs w:val="21"/>
                    </w:rPr>
                    <w:t>一般排</w:t>
                  </w:r>
                </w:p>
                <w:p>
                  <w:pPr>
                    <w:widowControl/>
                    <w:jc w:val="center"/>
                    <w:rPr>
                      <w:color w:val="auto"/>
                      <w:kern w:val="0"/>
                      <w:szCs w:val="21"/>
                    </w:rPr>
                  </w:pPr>
                  <w:r>
                    <w:rPr>
                      <w:color w:val="auto"/>
                      <w:kern w:val="0"/>
                      <w:szCs w:val="21"/>
                    </w:rPr>
                    <w:t>放口合计</w:t>
                  </w:r>
                </w:p>
              </w:tc>
              <w:tc>
                <w:tcPr>
                  <w:tcW w:w="5243" w:type="dxa"/>
                  <w:gridSpan w:val="4"/>
                  <w:tcBorders>
                    <w:tl2br w:val="nil"/>
                    <w:tr2bl w:val="nil"/>
                  </w:tcBorders>
                  <w:vAlign w:val="center"/>
                </w:tcPr>
                <w:p>
                  <w:pPr>
                    <w:jc w:val="center"/>
                    <w:rPr>
                      <w:color w:val="auto"/>
                      <w:kern w:val="0"/>
                      <w:szCs w:val="21"/>
                    </w:rPr>
                  </w:pPr>
                  <w:r>
                    <w:rPr>
                      <w:rFonts w:hint="eastAsia"/>
                      <w:color w:val="auto"/>
                      <w:kern w:val="0"/>
                      <w:szCs w:val="21"/>
                      <w:lang w:eastAsia="zh-CN"/>
                    </w:rPr>
                    <w:t>粉尘</w:t>
                  </w:r>
                </w:p>
              </w:tc>
              <w:tc>
                <w:tcPr>
                  <w:tcW w:w="1583" w:type="dxa"/>
                  <w:tcBorders>
                    <w:tl2br w:val="nil"/>
                    <w:tr2bl w:val="nil"/>
                  </w:tcBorders>
                  <w:vAlign w:val="center"/>
                </w:tcPr>
                <w:p>
                  <w:pPr>
                    <w:jc w:val="center"/>
                    <w:rPr>
                      <w:rFonts w:hint="default" w:eastAsia="宋体"/>
                      <w:color w:val="auto"/>
                      <w:szCs w:val="21"/>
                      <w:lang w:val="en-US" w:eastAsia="zh-CN"/>
                    </w:rPr>
                  </w:pPr>
                  <w:r>
                    <w:rPr>
                      <w:rFonts w:hint="eastAsia"/>
                      <w:color w:val="auto"/>
                      <w:szCs w:val="21"/>
                      <w:lang w:val="en-US" w:eastAsia="zh-CN"/>
                    </w:rPr>
                    <w:t>0.0005</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486" w:type="dxa"/>
                  <w:gridSpan w:val="2"/>
                  <w:vMerge w:val="continue"/>
                  <w:tcBorders>
                    <w:tl2br w:val="nil"/>
                    <w:tr2bl w:val="nil"/>
                  </w:tcBorders>
                  <w:vAlign w:val="center"/>
                </w:tcPr>
                <w:p>
                  <w:pPr>
                    <w:widowControl/>
                    <w:jc w:val="center"/>
                    <w:rPr>
                      <w:color w:val="auto"/>
                      <w:kern w:val="0"/>
                      <w:szCs w:val="21"/>
                    </w:rPr>
                  </w:pPr>
                </w:p>
              </w:tc>
              <w:tc>
                <w:tcPr>
                  <w:tcW w:w="5243" w:type="dxa"/>
                  <w:gridSpan w:val="4"/>
                  <w:tcBorders>
                    <w:tl2br w:val="nil"/>
                    <w:tr2bl w:val="nil"/>
                  </w:tcBorders>
                  <w:vAlign w:val="center"/>
                </w:tcPr>
                <w:p>
                  <w:pPr>
                    <w:jc w:val="center"/>
                    <w:rPr>
                      <w:rFonts w:hint="eastAsia" w:ascii="Times New Roman" w:hAnsi="Times New Roman" w:eastAsia="宋体" w:cs="Times New Roman"/>
                      <w:color w:val="auto"/>
                      <w:kern w:val="0"/>
                      <w:sz w:val="21"/>
                      <w:szCs w:val="21"/>
                      <w:lang w:val="en-US" w:eastAsia="zh-CN" w:bidi="ar-SA"/>
                    </w:rPr>
                  </w:pPr>
                  <w:r>
                    <w:rPr>
                      <w:rFonts w:hint="eastAsia"/>
                      <w:b w:val="0"/>
                      <w:bCs/>
                      <w:color w:val="auto"/>
                      <w:szCs w:val="21"/>
                      <w:lang w:eastAsia="zh-CN"/>
                    </w:rPr>
                    <w:t>非甲烷总烃</w:t>
                  </w:r>
                </w:p>
              </w:tc>
              <w:tc>
                <w:tcPr>
                  <w:tcW w:w="1583" w:type="dxa"/>
                  <w:tcBorders>
                    <w:tl2br w:val="nil"/>
                    <w:tr2bl w:val="nil"/>
                  </w:tcBorders>
                  <w:vAlign w:val="center"/>
                </w:tcPr>
                <w:p>
                  <w:pPr>
                    <w:jc w:val="center"/>
                    <w:rPr>
                      <w:rFonts w:hint="eastAsia" w:ascii="Times New Roman" w:hAnsi="Times New Roman" w:eastAsia="宋体" w:cs="Times New Roman"/>
                      <w:color w:val="auto"/>
                      <w:kern w:val="2"/>
                      <w:sz w:val="21"/>
                      <w:szCs w:val="21"/>
                      <w:lang w:val="en-US" w:eastAsia="zh-CN" w:bidi="ar-SA"/>
                    </w:rPr>
                  </w:pPr>
                  <w:r>
                    <w:rPr>
                      <w:rFonts w:hint="eastAsia" w:eastAsia="宋体"/>
                      <w:color w:val="auto"/>
                      <w:szCs w:val="21"/>
                      <w:lang w:val="en-US" w:eastAsia="zh-CN"/>
                    </w:rPr>
                    <w:t>0.05kg</w:t>
                  </w:r>
                  <w:r>
                    <w:rPr>
                      <w:rFonts w:hint="default" w:eastAsia="宋体"/>
                      <w:color w:val="auto"/>
                      <w:szCs w:val="21"/>
                      <w:lang w:val="en-US" w:eastAsia="zh-CN"/>
                    </w:rPr>
                    <w:t>/a</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57" w:hRule="atLeast"/>
              </w:trPr>
              <w:tc>
                <w:tcPr>
                  <w:tcW w:w="8312" w:type="dxa"/>
                  <w:gridSpan w:val="7"/>
                  <w:tcBorders>
                    <w:tl2br w:val="nil"/>
                    <w:tr2bl w:val="nil"/>
                  </w:tcBorders>
                  <w:vAlign w:val="center"/>
                </w:tcPr>
                <w:p>
                  <w:pPr>
                    <w:jc w:val="center"/>
                    <w:rPr>
                      <w:color w:val="auto"/>
                      <w:szCs w:val="21"/>
                    </w:rPr>
                  </w:pPr>
                  <w:r>
                    <w:rPr>
                      <w:rFonts w:hint="eastAsia"/>
                      <w:color w:val="auto"/>
                      <w:szCs w:val="21"/>
                    </w:rPr>
                    <w:t>有组织排放总计</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17" w:hRule="atLeast"/>
              </w:trPr>
              <w:tc>
                <w:tcPr>
                  <w:tcW w:w="1486" w:type="dxa"/>
                  <w:gridSpan w:val="2"/>
                  <w:tcBorders>
                    <w:tl2br w:val="nil"/>
                    <w:tr2bl w:val="nil"/>
                  </w:tcBorders>
                  <w:vAlign w:val="center"/>
                </w:tcPr>
                <w:p>
                  <w:pPr>
                    <w:widowControl/>
                    <w:jc w:val="center"/>
                    <w:rPr>
                      <w:color w:val="auto"/>
                      <w:kern w:val="0"/>
                      <w:szCs w:val="21"/>
                    </w:rPr>
                  </w:pPr>
                  <w:r>
                    <w:rPr>
                      <w:color w:val="auto"/>
                      <w:kern w:val="0"/>
                      <w:szCs w:val="21"/>
                    </w:rPr>
                    <w:t>有组织</w:t>
                  </w:r>
                </w:p>
                <w:p>
                  <w:pPr>
                    <w:widowControl/>
                    <w:jc w:val="center"/>
                    <w:rPr>
                      <w:color w:val="auto"/>
                      <w:kern w:val="0"/>
                      <w:szCs w:val="21"/>
                    </w:rPr>
                  </w:pPr>
                  <w:r>
                    <w:rPr>
                      <w:color w:val="auto"/>
                      <w:kern w:val="0"/>
                      <w:szCs w:val="21"/>
                    </w:rPr>
                    <w:t>排放总计</w:t>
                  </w:r>
                </w:p>
              </w:tc>
              <w:tc>
                <w:tcPr>
                  <w:tcW w:w="5243" w:type="dxa"/>
                  <w:gridSpan w:val="4"/>
                  <w:tcBorders>
                    <w:tl2br w:val="nil"/>
                    <w:tr2bl w:val="nil"/>
                  </w:tcBorders>
                  <w:vAlign w:val="center"/>
                </w:tcPr>
                <w:p>
                  <w:pPr>
                    <w:jc w:val="center"/>
                    <w:rPr>
                      <w:color w:val="auto"/>
                      <w:kern w:val="0"/>
                      <w:szCs w:val="21"/>
                    </w:rPr>
                  </w:pPr>
                  <w:r>
                    <w:rPr>
                      <w:rFonts w:hint="eastAsia"/>
                      <w:b w:val="0"/>
                      <w:bCs/>
                      <w:color w:val="auto"/>
                      <w:szCs w:val="21"/>
                      <w:lang w:eastAsia="zh-CN"/>
                    </w:rPr>
                    <w:t>非甲烷总烃</w:t>
                  </w:r>
                </w:p>
              </w:tc>
              <w:tc>
                <w:tcPr>
                  <w:tcW w:w="1583" w:type="dxa"/>
                  <w:tcBorders>
                    <w:tl2br w:val="nil"/>
                    <w:tr2bl w:val="nil"/>
                  </w:tcBorders>
                  <w:vAlign w:val="center"/>
                </w:tcPr>
                <w:p>
                  <w:pPr>
                    <w:jc w:val="center"/>
                    <w:rPr>
                      <w:color w:val="auto"/>
                      <w:szCs w:val="21"/>
                    </w:rPr>
                  </w:pPr>
                  <w:r>
                    <w:rPr>
                      <w:rFonts w:hint="eastAsia"/>
                      <w:color w:val="auto"/>
                      <w:szCs w:val="21"/>
                    </w:rPr>
                    <w:t>0.0</w:t>
                  </w:r>
                  <w:r>
                    <w:rPr>
                      <w:rFonts w:hint="eastAsia"/>
                      <w:color w:val="auto"/>
                      <w:szCs w:val="21"/>
                      <w:lang w:val="en-US" w:eastAsia="zh-CN"/>
                    </w:rPr>
                    <w:t>5</w:t>
                  </w:r>
                </w:p>
              </w:tc>
            </w:tr>
          </w:tbl>
          <w:p>
            <w:pPr>
              <w:jc w:val="center"/>
              <w:rPr>
                <w:color w:val="auto"/>
                <w:szCs w:val="21"/>
              </w:rPr>
            </w:pPr>
            <w:r>
              <w:rPr>
                <w:b/>
                <w:color w:val="auto"/>
                <w:szCs w:val="21"/>
              </w:rPr>
              <w:t>表7-1</w:t>
            </w:r>
            <w:r>
              <w:rPr>
                <w:rFonts w:hint="eastAsia"/>
                <w:b/>
                <w:color w:val="auto"/>
                <w:szCs w:val="21"/>
              </w:rPr>
              <w:t>0</w:t>
            </w:r>
            <w:r>
              <w:rPr>
                <w:b/>
                <w:color w:val="auto"/>
                <w:szCs w:val="21"/>
              </w:rPr>
              <w:t xml:space="preserve"> 大气污染物无组织排放量核算表</w:t>
            </w:r>
          </w:p>
          <w:tbl>
            <w:tblPr>
              <w:tblStyle w:val="56"/>
              <w:tblW w:w="8312" w:type="dxa"/>
              <w:jc w:val="center"/>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458"/>
              <w:gridCol w:w="487"/>
              <w:gridCol w:w="810"/>
              <w:gridCol w:w="10"/>
              <w:gridCol w:w="728"/>
              <w:gridCol w:w="950"/>
              <w:gridCol w:w="2244"/>
              <w:gridCol w:w="1602"/>
              <w:gridCol w:w="1023"/>
            </w:tblGrid>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89" w:hRule="atLeast"/>
                <w:jc w:val="center"/>
              </w:trPr>
              <w:tc>
                <w:tcPr>
                  <w:tcW w:w="458" w:type="dxa"/>
                  <w:vMerge w:val="restart"/>
                  <w:tcBorders>
                    <w:tl2br w:val="nil"/>
                    <w:tr2bl w:val="nil"/>
                  </w:tcBorders>
                  <w:vAlign w:val="center"/>
                </w:tcPr>
                <w:p>
                  <w:pPr>
                    <w:widowControl/>
                    <w:jc w:val="center"/>
                    <w:rPr>
                      <w:b/>
                      <w:color w:val="auto"/>
                      <w:kern w:val="0"/>
                      <w:szCs w:val="21"/>
                    </w:rPr>
                  </w:pPr>
                  <w:r>
                    <w:rPr>
                      <w:b/>
                      <w:color w:val="auto"/>
                      <w:kern w:val="0"/>
                      <w:szCs w:val="21"/>
                    </w:rPr>
                    <w:t>序号</w:t>
                  </w:r>
                </w:p>
              </w:tc>
              <w:tc>
                <w:tcPr>
                  <w:tcW w:w="487" w:type="dxa"/>
                  <w:vMerge w:val="restart"/>
                  <w:tcBorders>
                    <w:tl2br w:val="nil"/>
                    <w:tr2bl w:val="nil"/>
                  </w:tcBorders>
                  <w:vAlign w:val="center"/>
                </w:tcPr>
                <w:p>
                  <w:pPr>
                    <w:widowControl/>
                    <w:jc w:val="center"/>
                    <w:rPr>
                      <w:b/>
                      <w:color w:val="auto"/>
                      <w:kern w:val="0"/>
                      <w:szCs w:val="21"/>
                    </w:rPr>
                  </w:pPr>
                  <w:r>
                    <w:rPr>
                      <w:b/>
                      <w:color w:val="auto"/>
                      <w:kern w:val="0"/>
                      <w:szCs w:val="21"/>
                    </w:rPr>
                    <w:t>排放口编号</w:t>
                  </w:r>
                </w:p>
              </w:tc>
              <w:tc>
                <w:tcPr>
                  <w:tcW w:w="810" w:type="dxa"/>
                  <w:vMerge w:val="restart"/>
                  <w:tcBorders>
                    <w:tl2br w:val="nil"/>
                    <w:tr2bl w:val="nil"/>
                  </w:tcBorders>
                  <w:vAlign w:val="center"/>
                </w:tcPr>
                <w:p>
                  <w:pPr>
                    <w:widowControl/>
                    <w:jc w:val="center"/>
                    <w:rPr>
                      <w:b/>
                      <w:color w:val="auto"/>
                      <w:kern w:val="0"/>
                      <w:szCs w:val="21"/>
                    </w:rPr>
                  </w:pPr>
                  <w:r>
                    <w:rPr>
                      <w:b/>
                      <w:color w:val="auto"/>
                      <w:kern w:val="0"/>
                      <w:szCs w:val="21"/>
                    </w:rPr>
                    <w:t>产污环节</w:t>
                  </w:r>
                </w:p>
              </w:tc>
              <w:tc>
                <w:tcPr>
                  <w:tcW w:w="738" w:type="dxa"/>
                  <w:gridSpan w:val="2"/>
                  <w:vMerge w:val="restart"/>
                  <w:tcBorders>
                    <w:tl2br w:val="nil"/>
                    <w:tr2bl w:val="nil"/>
                  </w:tcBorders>
                  <w:vAlign w:val="center"/>
                </w:tcPr>
                <w:p>
                  <w:pPr>
                    <w:widowControl/>
                    <w:jc w:val="center"/>
                    <w:rPr>
                      <w:b/>
                      <w:color w:val="auto"/>
                      <w:kern w:val="0"/>
                      <w:szCs w:val="21"/>
                    </w:rPr>
                  </w:pPr>
                  <w:r>
                    <w:rPr>
                      <w:b/>
                      <w:color w:val="auto"/>
                      <w:kern w:val="0"/>
                      <w:szCs w:val="21"/>
                    </w:rPr>
                    <w:t>污染物</w:t>
                  </w:r>
                </w:p>
              </w:tc>
              <w:tc>
                <w:tcPr>
                  <w:tcW w:w="950" w:type="dxa"/>
                  <w:vMerge w:val="restart"/>
                  <w:tcBorders>
                    <w:tl2br w:val="nil"/>
                    <w:tr2bl w:val="nil"/>
                  </w:tcBorders>
                  <w:vAlign w:val="center"/>
                </w:tcPr>
                <w:p>
                  <w:pPr>
                    <w:widowControl/>
                    <w:jc w:val="center"/>
                    <w:rPr>
                      <w:b/>
                      <w:color w:val="auto"/>
                      <w:kern w:val="0"/>
                      <w:szCs w:val="21"/>
                    </w:rPr>
                  </w:pPr>
                  <w:r>
                    <w:rPr>
                      <w:b/>
                      <w:color w:val="auto"/>
                      <w:kern w:val="0"/>
                      <w:szCs w:val="21"/>
                    </w:rPr>
                    <w:t>主要污染防治措施</w:t>
                  </w:r>
                </w:p>
              </w:tc>
              <w:tc>
                <w:tcPr>
                  <w:tcW w:w="3846" w:type="dxa"/>
                  <w:gridSpan w:val="2"/>
                  <w:tcBorders>
                    <w:tl2br w:val="nil"/>
                    <w:tr2bl w:val="nil"/>
                  </w:tcBorders>
                  <w:vAlign w:val="center"/>
                </w:tcPr>
                <w:p>
                  <w:pPr>
                    <w:widowControl/>
                    <w:jc w:val="center"/>
                    <w:rPr>
                      <w:b/>
                      <w:color w:val="auto"/>
                      <w:kern w:val="0"/>
                      <w:szCs w:val="21"/>
                    </w:rPr>
                  </w:pPr>
                  <w:r>
                    <w:rPr>
                      <w:b/>
                      <w:color w:val="auto"/>
                      <w:kern w:val="0"/>
                      <w:szCs w:val="21"/>
                    </w:rPr>
                    <w:t>国家或地方污染物排放标准</w:t>
                  </w:r>
                </w:p>
              </w:tc>
              <w:tc>
                <w:tcPr>
                  <w:tcW w:w="1023" w:type="dxa"/>
                  <w:vMerge w:val="restart"/>
                  <w:tcBorders>
                    <w:tl2br w:val="nil"/>
                    <w:tr2bl w:val="nil"/>
                  </w:tcBorders>
                  <w:vAlign w:val="center"/>
                </w:tcPr>
                <w:p>
                  <w:pPr>
                    <w:widowControl/>
                    <w:jc w:val="center"/>
                    <w:rPr>
                      <w:b/>
                      <w:color w:val="auto"/>
                      <w:kern w:val="0"/>
                      <w:szCs w:val="21"/>
                    </w:rPr>
                  </w:pPr>
                  <w:r>
                    <w:rPr>
                      <w:b/>
                      <w:color w:val="auto"/>
                      <w:kern w:val="0"/>
                      <w:szCs w:val="21"/>
                    </w:rPr>
                    <w:t>年排放量/（</w:t>
                  </w:r>
                  <w:r>
                    <w:rPr>
                      <w:rFonts w:hint="eastAsia"/>
                      <w:b/>
                      <w:color w:val="auto"/>
                      <w:kern w:val="0"/>
                      <w:szCs w:val="21"/>
                      <w:lang w:val="en-US" w:eastAsia="zh-CN"/>
                    </w:rPr>
                    <w:t>t</w:t>
                  </w:r>
                  <w:r>
                    <w:rPr>
                      <w:b/>
                      <w:color w:val="auto"/>
                      <w:kern w:val="0"/>
                      <w:szCs w:val="21"/>
                    </w:rPr>
                    <w:t>/a）</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458" w:type="dxa"/>
                  <w:vMerge w:val="continue"/>
                  <w:tcBorders>
                    <w:tl2br w:val="nil"/>
                    <w:tr2bl w:val="nil"/>
                  </w:tcBorders>
                  <w:vAlign w:val="center"/>
                </w:tcPr>
                <w:p>
                  <w:pPr>
                    <w:widowControl/>
                    <w:jc w:val="center"/>
                    <w:rPr>
                      <w:color w:val="auto"/>
                      <w:kern w:val="0"/>
                      <w:szCs w:val="21"/>
                    </w:rPr>
                  </w:pPr>
                </w:p>
              </w:tc>
              <w:tc>
                <w:tcPr>
                  <w:tcW w:w="487" w:type="dxa"/>
                  <w:vMerge w:val="continue"/>
                  <w:tcBorders>
                    <w:tl2br w:val="nil"/>
                    <w:tr2bl w:val="nil"/>
                  </w:tcBorders>
                  <w:vAlign w:val="center"/>
                </w:tcPr>
                <w:p>
                  <w:pPr>
                    <w:widowControl/>
                    <w:jc w:val="left"/>
                    <w:rPr>
                      <w:color w:val="auto"/>
                      <w:kern w:val="0"/>
                      <w:szCs w:val="21"/>
                    </w:rPr>
                  </w:pPr>
                </w:p>
              </w:tc>
              <w:tc>
                <w:tcPr>
                  <w:tcW w:w="810" w:type="dxa"/>
                  <w:vMerge w:val="continue"/>
                  <w:tcBorders>
                    <w:tl2br w:val="nil"/>
                    <w:tr2bl w:val="nil"/>
                  </w:tcBorders>
                  <w:vAlign w:val="center"/>
                </w:tcPr>
                <w:p>
                  <w:pPr>
                    <w:widowControl/>
                    <w:jc w:val="left"/>
                    <w:rPr>
                      <w:color w:val="auto"/>
                      <w:kern w:val="0"/>
                      <w:szCs w:val="21"/>
                    </w:rPr>
                  </w:pPr>
                </w:p>
              </w:tc>
              <w:tc>
                <w:tcPr>
                  <w:tcW w:w="738" w:type="dxa"/>
                  <w:gridSpan w:val="2"/>
                  <w:vMerge w:val="continue"/>
                  <w:tcBorders>
                    <w:tl2br w:val="nil"/>
                    <w:tr2bl w:val="nil"/>
                  </w:tcBorders>
                  <w:vAlign w:val="center"/>
                </w:tcPr>
                <w:p>
                  <w:pPr>
                    <w:widowControl/>
                    <w:jc w:val="left"/>
                    <w:rPr>
                      <w:color w:val="auto"/>
                      <w:kern w:val="0"/>
                      <w:szCs w:val="21"/>
                    </w:rPr>
                  </w:pPr>
                </w:p>
              </w:tc>
              <w:tc>
                <w:tcPr>
                  <w:tcW w:w="950" w:type="dxa"/>
                  <w:vMerge w:val="continue"/>
                  <w:tcBorders>
                    <w:tl2br w:val="nil"/>
                    <w:tr2bl w:val="nil"/>
                  </w:tcBorders>
                  <w:vAlign w:val="center"/>
                </w:tcPr>
                <w:p>
                  <w:pPr>
                    <w:widowControl/>
                    <w:jc w:val="left"/>
                    <w:rPr>
                      <w:color w:val="auto"/>
                      <w:kern w:val="0"/>
                      <w:szCs w:val="21"/>
                    </w:rPr>
                  </w:pPr>
                </w:p>
              </w:tc>
              <w:tc>
                <w:tcPr>
                  <w:tcW w:w="2244" w:type="dxa"/>
                  <w:tcBorders>
                    <w:tl2br w:val="nil"/>
                    <w:tr2bl w:val="nil"/>
                  </w:tcBorders>
                  <w:vAlign w:val="center"/>
                </w:tcPr>
                <w:p>
                  <w:pPr>
                    <w:widowControl/>
                    <w:jc w:val="center"/>
                    <w:rPr>
                      <w:b/>
                      <w:color w:val="auto"/>
                      <w:kern w:val="0"/>
                      <w:szCs w:val="21"/>
                    </w:rPr>
                  </w:pPr>
                  <w:r>
                    <w:rPr>
                      <w:b/>
                      <w:color w:val="auto"/>
                      <w:kern w:val="0"/>
                      <w:szCs w:val="21"/>
                    </w:rPr>
                    <w:t>标准名称</w:t>
                  </w:r>
                </w:p>
              </w:tc>
              <w:tc>
                <w:tcPr>
                  <w:tcW w:w="1602" w:type="dxa"/>
                  <w:tcBorders>
                    <w:tl2br w:val="nil"/>
                    <w:tr2bl w:val="nil"/>
                  </w:tcBorders>
                  <w:vAlign w:val="center"/>
                </w:tcPr>
                <w:p>
                  <w:pPr>
                    <w:widowControl/>
                    <w:jc w:val="center"/>
                    <w:rPr>
                      <w:b/>
                      <w:color w:val="auto"/>
                      <w:kern w:val="0"/>
                      <w:szCs w:val="21"/>
                    </w:rPr>
                  </w:pPr>
                  <w:r>
                    <w:rPr>
                      <w:b/>
                      <w:color w:val="auto"/>
                      <w:kern w:val="0"/>
                      <w:szCs w:val="21"/>
                    </w:rPr>
                    <w:t>浓度限值/（mg/m</w:t>
                  </w:r>
                  <w:r>
                    <w:rPr>
                      <w:b/>
                      <w:color w:val="auto"/>
                      <w:kern w:val="0"/>
                      <w:szCs w:val="21"/>
                      <w:vertAlign w:val="superscript"/>
                    </w:rPr>
                    <w:t>3</w:t>
                  </w:r>
                  <w:r>
                    <w:rPr>
                      <w:b/>
                      <w:color w:val="auto"/>
                      <w:kern w:val="0"/>
                      <w:szCs w:val="21"/>
                    </w:rPr>
                    <w:t>）</w:t>
                  </w:r>
                </w:p>
              </w:tc>
              <w:tc>
                <w:tcPr>
                  <w:tcW w:w="1023" w:type="dxa"/>
                  <w:vMerge w:val="continue"/>
                  <w:tcBorders>
                    <w:tl2br w:val="nil"/>
                    <w:tr2bl w:val="nil"/>
                  </w:tcBorders>
                  <w:vAlign w:val="center"/>
                </w:tcPr>
                <w:p>
                  <w:pPr>
                    <w:widowControl/>
                    <w:jc w:val="left"/>
                    <w:rPr>
                      <w:color w:val="auto"/>
                      <w:kern w:val="0"/>
                      <w:szCs w:val="21"/>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542" w:hRule="atLeast"/>
                <w:jc w:val="center"/>
              </w:trPr>
              <w:tc>
                <w:tcPr>
                  <w:tcW w:w="458" w:type="dxa"/>
                  <w:tcBorders>
                    <w:tl2br w:val="nil"/>
                    <w:tr2bl w:val="nil"/>
                  </w:tcBorders>
                  <w:vAlign w:val="center"/>
                </w:tcPr>
                <w:p>
                  <w:pPr>
                    <w:widowControl/>
                    <w:jc w:val="center"/>
                    <w:rPr>
                      <w:rFonts w:hint="eastAsia" w:eastAsia="宋体"/>
                      <w:color w:val="auto"/>
                      <w:kern w:val="0"/>
                      <w:szCs w:val="21"/>
                      <w:lang w:val="en-US" w:eastAsia="zh-CN"/>
                    </w:rPr>
                  </w:pPr>
                  <w:r>
                    <w:rPr>
                      <w:rFonts w:hint="eastAsia"/>
                      <w:color w:val="auto"/>
                      <w:kern w:val="0"/>
                      <w:szCs w:val="21"/>
                      <w:lang w:val="en-US" w:eastAsia="zh-CN"/>
                    </w:rPr>
                    <w:t>1</w:t>
                  </w:r>
                </w:p>
              </w:tc>
              <w:tc>
                <w:tcPr>
                  <w:tcW w:w="487" w:type="dxa"/>
                  <w:vMerge w:val="restart"/>
                  <w:tcBorders>
                    <w:tl2br w:val="nil"/>
                    <w:tr2bl w:val="nil"/>
                  </w:tcBorders>
                  <w:vAlign w:val="center"/>
                </w:tcPr>
                <w:p>
                  <w:pPr>
                    <w:widowControl/>
                    <w:jc w:val="center"/>
                    <w:rPr>
                      <w:color w:val="auto"/>
                      <w:kern w:val="0"/>
                      <w:szCs w:val="21"/>
                    </w:rPr>
                  </w:pPr>
                  <w:r>
                    <w:rPr>
                      <w:rFonts w:hint="eastAsia"/>
                      <w:color w:val="auto"/>
                      <w:kern w:val="0"/>
                      <w:szCs w:val="21"/>
                    </w:rPr>
                    <w:t>生产车间</w:t>
                  </w:r>
                </w:p>
              </w:tc>
              <w:tc>
                <w:tcPr>
                  <w:tcW w:w="820" w:type="dxa"/>
                  <w:gridSpan w:val="2"/>
                  <w:tcBorders>
                    <w:tl2br w:val="nil"/>
                    <w:tr2bl w:val="nil"/>
                  </w:tcBorders>
                  <w:vAlign w:val="center"/>
                </w:tcPr>
                <w:p>
                  <w:pPr>
                    <w:jc w:val="center"/>
                    <w:rPr>
                      <w:rFonts w:hint="eastAsia"/>
                      <w:color w:val="auto"/>
                      <w:szCs w:val="21"/>
                      <w:lang w:eastAsia="zh-CN"/>
                    </w:rPr>
                  </w:pPr>
                  <w:r>
                    <w:rPr>
                      <w:rFonts w:hint="eastAsia"/>
                      <w:color w:val="auto"/>
                      <w:szCs w:val="21"/>
                      <w:lang w:eastAsia="zh-CN"/>
                    </w:rPr>
                    <w:t>投料混合</w:t>
                  </w:r>
                </w:p>
              </w:tc>
              <w:tc>
                <w:tcPr>
                  <w:tcW w:w="728" w:type="dxa"/>
                  <w:tcBorders>
                    <w:tl2br w:val="nil"/>
                    <w:tr2bl w:val="nil"/>
                  </w:tcBorders>
                  <w:vAlign w:val="center"/>
                </w:tcPr>
                <w:p>
                  <w:pPr>
                    <w:jc w:val="center"/>
                    <w:rPr>
                      <w:rFonts w:hint="eastAsia"/>
                      <w:b w:val="0"/>
                      <w:bCs/>
                      <w:color w:val="auto"/>
                      <w:szCs w:val="21"/>
                      <w:lang w:eastAsia="zh-CN"/>
                    </w:rPr>
                  </w:pPr>
                  <w:r>
                    <w:rPr>
                      <w:rFonts w:hint="eastAsia"/>
                      <w:b w:val="0"/>
                      <w:bCs/>
                      <w:color w:val="auto"/>
                      <w:szCs w:val="21"/>
                      <w:lang w:eastAsia="zh-CN"/>
                    </w:rPr>
                    <w:t>颗粒物</w:t>
                  </w:r>
                </w:p>
              </w:tc>
              <w:tc>
                <w:tcPr>
                  <w:tcW w:w="950" w:type="dxa"/>
                  <w:tcBorders>
                    <w:tl2br w:val="nil"/>
                    <w:tr2bl w:val="nil"/>
                  </w:tcBorders>
                  <w:vAlign w:val="center"/>
                </w:tcPr>
                <w:p>
                  <w:pPr>
                    <w:jc w:val="center"/>
                    <w:rPr>
                      <w:rFonts w:hint="eastAsia" w:eastAsia="宋体"/>
                      <w:color w:val="auto"/>
                      <w:kern w:val="0"/>
                      <w:szCs w:val="21"/>
                      <w:lang w:val="en-US" w:eastAsia="zh-CN"/>
                    </w:rPr>
                  </w:pPr>
                  <w:r>
                    <w:rPr>
                      <w:rFonts w:hint="eastAsia"/>
                      <w:color w:val="auto"/>
                      <w:kern w:val="0"/>
                      <w:szCs w:val="21"/>
                      <w:lang w:val="en-US" w:eastAsia="zh-CN"/>
                    </w:rPr>
                    <w:t>/</w:t>
                  </w:r>
                </w:p>
              </w:tc>
              <w:tc>
                <w:tcPr>
                  <w:tcW w:w="2244" w:type="dxa"/>
                  <w:vMerge w:val="restart"/>
                  <w:tcBorders>
                    <w:tl2br w:val="nil"/>
                    <w:tr2bl w:val="nil"/>
                  </w:tcBorders>
                  <w:vAlign w:val="center"/>
                </w:tcPr>
                <w:p>
                  <w:pPr>
                    <w:adjustRightInd w:val="0"/>
                    <w:snapToGrid w:val="0"/>
                    <w:rPr>
                      <w:rFonts w:hint="eastAsia" w:eastAsia="宋体"/>
                      <w:color w:val="auto"/>
                      <w:szCs w:val="21"/>
                      <w:lang w:eastAsia="zh-CN"/>
                    </w:rPr>
                  </w:pPr>
                  <w:r>
                    <w:rPr>
                      <w:rFonts w:hint="eastAsia"/>
                      <w:color w:val="auto"/>
                      <w:szCs w:val="21"/>
                    </w:rPr>
                    <w:t>《合成树脂工业污染物排放标准》（GB31572-2015）</w:t>
                  </w:r>
                </w:p>
              </w:tc>
              <w:tc>
                <w:tcPr>
                  <w:tcW w:w="1602" w:type="dxa"/>
                  <w:tcBorders>
                    <w:tl2br w:val="nil"/>
                    <w:tr2bl w:val="nil"/>
                  </w:tcBorders>
                  <w:vAlign w:val="center"/>
                </w:tcPr>
                <w:p>
                  <w:pPr>
                    <w:adjustRightInd w:val="0"/>
                    <w:snapToGrid w:val="0"/>
                    <w:jc w:val="center"/>
                    <w:rPr>
                      <w:rFonts w:hint="default" w:eastAsia="宋体"/>
                      <w:color w:val="auto"/>
                      <w:spacing w:val="4"/>
                      <w:kern w:val="0"/>
                      <w:szCs w:val="21"/>
                      <w:lang w:val="en-US" w:eastAsia="zh-CN"/>
                    </w:rPr>
                  </w:pPr>
                  <w:r>
                    <w:rPr>
                      <w:rFonts w:hint="eastAsia"/>
                      <w:color w:val="auto"/>
                      <w:spacing w:val="4"/>
                      <w:kern w:val="0"/>
                      <w:szCs w:val="21"/>
                      <w:lang w:val="en-US" w:eastAsia="zh-CN"/>
                    </w:rPr>
                    <w:t>1.0</w:t>
                  </w:r>
                </w:p>
              </w:tc>
              <w:tc>
                <w:tcPr>
                  <w:tcW w:w="1023" w:type="dxa"/>
                  <w:tcBorders>
                    <w:tl2br w:val="nil"/>
                    <w:tr2bl w:val="nil"/>
                  </w:tcBorders>
                  <w:vAlign w:val="center"/>
                </w:tcPr>
                <w:p>
                  <w:pPr>
                    <w:adjustRightInd w:val="0"/>
                    <w:snapToGrid w:val="0"/>
                    <w:jc w:val="center"/>
                    <w:rPr>
                      <w:rFonts w:hint="default"/>
                      <w:color w:val="auto"/>
                      <w:spacing w:val="4"/>
                      <w:kern w:val="0"/>
                      <w:szCs w:val="21"/>
                      <w:lang w:val="en-US" w:eastAsia="zh-CN"/>
                    </w:rPr>
                  </w:pPr>
                  <w:r>
                    <w:rPr>
                      <w:rFonts w:hint="eastAsia"/>
                      <w:color w:val="auto"/>
                      <w:spacing w:val="4"/>
                      <w:kern w:val="0"/>
                      <w:szCs w:val="21"/>
                      <w:lang w:val="en-US" w:eastAsia="zh-CN"/>
                    </w:rPr>
                    <w:t>0.001</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PrEx>
              <w:trPr>
                <w:trHeight w:val="542" w:hRule="atLeast"/>
                <w:jc w:val="center"/>
              </w:trPr>
              <w:tc>
                <w:tcPr>
                  <w:tcW w:w="458" w:type="dxa"/>
                  <w:tcBorders>
                    <w:tl2br w:val="nil"/>
                    <w:tr2bl w:val="nil"/>
                  </w:tcBorders>
                  <w:vAlign w:val="center"/>
                </w:tcPr>
                <w:p>
                  <w:pPr>
                    <w:widowControl/>
                    <w:jc w:val="center"/>
                    <w:rPr>
                      <w:rFonts w:hint="eastAsia" w:eastAsia="宋体"/>
                      <w:color w:val="auto"/>
                      <w:kern w:val="0"/>
                      <w:szCs w:val="21"/>
                      <w:lang w:eastAsia="zh-CN"/>
                    </w:rPr>
                  </w:pPr>
                  <w:r>
                    <w:rPr>
                      <w:rFonts w:hint="eastAsia"/>
                      <w:color w:val="auto"/>
                      <w:kern w:val="0"/>
                      <w:szCs w:val="21"/>
                      <w:lang w:val="en-US" w:eastAsia="zh-CN"/>
                    </w:rPr>
                    <w:t>2</w:t>
                  </w:r>
                </w:p>
              </w:tc>
              <w:tc>
                <w:tcPr>
                  <w:tcW w:w="487" w:type="dxa"/>
                  <w:vMerge w:val="continue"/>
                  <w:tcBorders>
                    <w:tl2br w:val="nil"/>
                    <w:tr2bl w:val="nil"/>
                  </w:tcBorders>
                  <w:vAlign w:val="center"/>
                </w:tcPr>
                <w:p>
                  <w:pPr>
                    <w:widowControl/>
                    <w:jc w:val="center"/>
                    <w:rPr>
                      <w:color w:val="auto"/>
                      <w:kern w:val="0"/>
                      <w:szCs w:val="21"/>
                    </w:rPr>
                  </w:pPr>
                </w:p>
              </w:tc>
              <w:tc>
                <w:tcPr>
                  <w:tcW w:w="820" w:type="dxa"/>
                  <w:gridSpan w:val="2"/>
                  <w:tcBorders>
                    <w:tl2br w:val="nil"/>
                    <w:tr2bl w:val="nil"/>
                  </w:tcBorders>
                  <w:vAlign w:val="center"/>
                </w:tcPr>
                <w:p>
                  <w:pPr>
                    <w:jc w:val="center"/>
                    <w:rPr>
                      <w:rFonts w:hint="eastAsia" w:eastAsia="宋体"/>
                      <w:color w:val="auto"/>
                      <w:szCs w:val="21"/>
                      <w:lang w:eastAsia="zh-CN"/>
                    </w:rPr>
                  </w:pPr>
                  <w:r>
                    <w:rPr>
                      <w:rFonts w:hint="eastAsia"/>
                      <w:color w:val="auto"/>
                      <w:szCs w:val="21"/>
                      <w:lang w:eastAsia="zh-CN"/>
                    </w:rPr>
                    <w:t>注塑成型</w:t>
                  </w:r>
                </w:p>
              </w:tc>
              <w:tc>
                <w:tcPr>
                  <w:tcW w:w="728" w:type="dxa"/>
                  <w:tcBorders>
                    <w:tl2br w:val="nil"/>
                    <w:tr2bl w:val="nil"/>
                  </w:tcBorders>
                  <w:vAlign w:val="center"/>
                </w:tcPr>
                <w:p>
                  <w:pPr>
                    <w:jc w:val="center"/>
                    <w:rPr>
                      <w:color w:val="auto"/>
                      <w:kern w:val="0"/>
                      <w:szCs w:val="21"/>
                    </w:rPr>
                  </w:pPr>
                  <w:r>
                    <w:rPr>
                      <w:rFonts w:hint="eastAsia"/>
                      <w:b w:val="0"/>
                      <w:bCs/>
                      <w:color w:val="auto"/>
                      <w:szCs w:val="21"/>
                      <w:lang w:eastAsia="zh-CN"/>
                    </w:rPr>
                    <w:t>非甲烷总烃</w:t>
                  </w:r>
                </w:p>
              </w:tc>
              <w:tc>
                <w:tcPr>
                  <w:tcW w:w="950" w:type="dxa"/>
                  <w:tcBorders>
                    <w:tl2br w:val="nil"/>
                    <w:tr2bl w:val="nil"/>
                  </w:tcBorders>
                  <w:vAlign w:val="center"/>
                </w:tcPr>
                <w:p>
                  <w:pPr>
                    <w:jc w:val="center"/>
                    <w:rPr>
                      <w:color w:val="auto"/>
                      <w:kern w:val="0"/>
                      <w:szCs w:val="21"/>
                    </w:rPr>
                  </w:pPr>
                  <w:r>
                    <w:rPr>
                      <w:rFonts w:hint="eastAsia"/>
                      <w:color w:val="auto"/>
                      <w:kern w:val="0"/>
                      <w:szCs w:val="21"/>
                    </w:rPr>
                    <w:t>/</w:t>
                  </w:r>
                </w:p>
              </w:tc>
              <w:tc>
                <w:tcPr>
                  <w:tcW w:w="2244" w:type="dxa"/>
                  <w:vMerge w:val="continue"/>
                  <w:tcBorders>
                    <w:tl2br w:val="nil"/>
                    <w:tr2bl w:val="nil"/>
                  </w:tcBorders>
                  <w:vAlign w:val="center"/>
                </w:tcPr>
                <w:p>
                  <w:pPr>
                    <w:adjustRightInd w:val="0"/>
                    <w:snapToGrid w:val="0"/>
                    <w:rPr>
                      <w:rFonts w:hint="eastAsia" w:eastAsia="宋体"/>
                      <w:color w:val="auto"/>
                      <w:szCs w:val="21"/>
                      <w:lang w:eastAsia="zh-CN"/>
                    </w:rPr>
                  </w:pPr>
                </w:p>
              </w:tc>
              <w:tc>
                <w:tcPr>
                  <w:tcW w:w="1602" w:type="dxa"/>
                  <w:tcBorders>
                    <w:tl2br w:val="nil"/>
                    <w:tr2bl w:val="nil"/>
                  </w:tcBorders>
                  <w:vAlign w:val="center"/>
                </w:tcPr>
                <w:p>
                  <w:pPr>
                    <w:adjustRightInd w:val="0"/>
                    <w:snapToGrid w:val="0"/>
                    <w:jc w:val="center"/>
                    <w:rPr>
                      <w:color w:val="auto"/>
                      <w:spacing w:val="4"/>
                      <w:kern w:val="0"/>
                      <w:szCs w:val="21"/>
                    </w:rPr>
                  </w:pPr>
                  <w:r>
                    <w:rPr>
                      <w:rFonts w:hint="eastAsia"/>
                      <w:color w:val="auto"/>
                      <w:spacing w:val="4"/>
                      <w:kern w:val="0"/>
                      <w:szCs w:val="21"/>
                    </w:rPr>
                    <w:t>2.0</w:t>
                  </w:r>
                </w:p>
              </w:tc>
              <w:tc>
                <w:tcPr>
                  <w:tcW w:w="1023" w:type="dxa"/>
                  <w:tcBorders>
                    <w:tl2br w:val="nil"/>
                    <w:tr2bl w:val="nil"/>
                  </w:tcBorders>
                  <w:vAlign w:val="center"/>
                </w:tcPr>
                <w:p>
                  <w:pPr>
                    <w:adjustRightInd w:val="0"/>
                    <w:snapToGrid w:val="0"/>
                    <w:jc w:val="center"/>
                    <w:rPr>
                      <w:rFonts w:hint="default" w:eastAsia="宋体"/>
                      <w:color w:val="auto"/>
                      <w:spacing w:val="4"/>
                      <w:kern w:val="0"/>
                      <w:szCs w:val="21"/>
                      <w:lang w:val="en-US" w:eastAsia="zh-CN"/>
                    </w:rPr>
                  </w:pPr>
                  <w:r>
                    <w:rPr>
                      <w:rFonts w:hint="eastAsia"/>
                      <w:color w:val="auto"/>
                      <w:spacing w:val="4"/>
                      <w:kern w:val="0"/>
                      <w:szCs w:val="21"/>
                      <w:lang w:val="en-US" w:eastAsia="zh-CN"/>
                    </w:rPr>
                    <w:t>0.07kg/a</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PrEx>
              <w:trPr>
                <w:trHeight w:val="300" w:hRule="atLeast"/>
                <w:jc w:val="center"/>
              </w:trPr>
              <w:tc>
                <w:tcPr>
                  <w:tcW w:w="8312" w:type="dxa"/>
                  <w:gridSpan w:val="9"/>
                  <w:tcBorders>
                    <w:tl2br w:val="nil"/>
                    <w:tr2bl w:val="nil"/>
                  </w:tcBorders>
                  <w:vAlign w:val="center"/>
                </w:tcPr>
                <w:p>
                  <w:pPr>
                    <w:adjustRightInd w:val="0"/>
                    <w:snapToGrid w:val="0"/>
                    <w:jc w:val="center"/>
                    <w:rPr>
                      <w:color w:val="auto"/>
                      <w:szCs w:val="21"/>
                    </w:rPr>
                  </w:pPr>
                  <w:r>
                    <w:rPr>
                      <w:rFonts w:hint="eastAsia"/>
                      <w:color w:val="auto"/>
                      <w:szCs w:val="21"/>
                    </w:rPr>
                    <w:t>无组织排放总计</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1755" w:type="dxa"/>
                  <w:gridSpan w:val="3"/>
                  <w:vMerge w:val="restart"/>
                  <w:tcBorders>
                    <w:tl2br w:val="nil"/>
                    <w:tr2bl w:val="nil"/>
                  </w:tcBorders>
                  <w:vAlign w:val="center"/>
                </w:tcPr>
                <w:p>
                  <w:pPr>
                    <w:widowControl/>
                    <w:jc w:val="center"/>
                    <w:rPr>
                      <w:color w:val="auto"/>
                      <w:kern w:val="0"/>
                      <w:szCs w:val="21"/>
                    </w:rPr>
                  </w:pPr>
                  <w:r>
                    <w:rPr>
                      <w:rFonts w:hint="eastAsia"/>
                      <w:color w:val="auto"/>
                      <w:kern w:val="0"/>
                      <w:szCs w:val="21"/>
                    </w:rPr>
                    <w:t>无组织排放合计</w:t>
                  </w:r>
                  <w:r>
                    <w:rPr>
                      <w:color w:val="auto"/>
                      <w:kern w:val="0"/>
                      <w:szCs w:val="21"/>
                    </w:rPr>
                    <w:t>（t/a）</w:t>
                  </w:r>
                </w:p>
              </w:tc>
              <w:tc>
                <w:tcPr>
                  <w:tcW w:w="5534" w:type="dxa"/>
                  <w:gridSpan w:val="5"/>
                  <w:tcBorders>
                    <w:tl2br w:val="nil"/>
                    <w:tr2bl w:val="nil"/>
                  </w:tcBorders>
                  <w:vAlign w:val="center"/>
                </w:tcPr>
                <w:p>
                  <w:pPr>
                    <w:jc w:val="center"/>
                    <w:rPr>
                      <w:rFonts w:hint="eastAsia"/>
                      <w:b w:val="0"/>
                      <w:bCs/>
                      <w:color w:val="auto"/>
                      <w:szCs w:val="21"/>
                      <w:lang w:eastAsia="zh-CN"/>
                    </w:rPr>
                  </w:pPr>
                  <w:r>
                    <w:rPr>
                      <w:rFonts w:hint="eastAsia"/>
                      <w:b w:val="0"/>
                      <w:bCs/>
                      <w:color w:val="auto"/>
                      <w:szCs w:val="21"/>
                      <w:lang w:eastAsia="zh-CN"/>
                    </w:rPr>
                    <w:t>粉尘</w:t>
                  </w:r>
                </w:p>
              </w:tc>
              <w:tc>
                <w:tcPr>
                  <w:tcW w:w="1023" w:type="dxa"/>
                  <w:tcBorders>
                    <w:tl2br w:val="nil"/>
                    <w:tr2bl w:val="nil"/>
                  </w:tcBorders>
                  <w:vAlign w:val="center"/>
                </w:tcPr>
                <w:p>
                  <w:pPr>
                    <w:adjustRightInd w:val="0"/>
                    <w:snapToGrid w:val="0"/>
                    <w:jc w:val="center"/>
                    <w:rPr>
                      <w:rFonts w:hint="default" w:eastAsia="宋体"/>
                      <w:color w:val="auto"/>
                      <w:szCs w:val="21"/>
                      <w:lang w:val="en-US" w:eastAsia="zh-CN"/>
                    </w:rPr>
                  </w:pPr>
                  <w:r>
                    <w:rPr>
                      <w:rFonts w:hint="eastAsia"/>
                      <w:color w:val="auto"/>
                      <w:szCs w:val="21"/>
                      <w:lang w:val="en-US" w:eastAsia="zh-CN"/>
                    </w:rPr>
                    <w:t>0.001</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1755" w:type="dxa"/>
                  <w:gridSpan w:val="3"/>
                  <w:vMerge w:val="continue"/>
                  <w:tcBorders>
                    <w:tl2br w:val="nil"/>
                    <w:tr2bl w:val="nil"/>
                  </w:tcBorders>
                  <w:vAlign w:val="center"/>
                </w:tcPr>
                <w:p>
                  <w:pPr>
                    <w:widowControl/>
                    <w:jc w:val="center"/>
                    <w:rPr>
                      <w:color w:val="auto"/>
                      <w:kern w:val="0"/>
                      <w:szCs w:val="21"/>
                    </w:rPr>
                  </w:pPr>
                </w:p>
              </w:tc>
              <w:tc>
                <w:tcPr>
                  <w:tcW w:w="5534" w:type="dxa"/>
                  <w:gridSpan w:val="5"/>
                  <w:tcBorders>
                    <w:tl2br w:val="nil"/>
                    <w:tr2bl w:val="nil"/>
                  </w:tcBorders>
                  <w:vAlign w:val="center"/>
                </w:tcPr>
                <w:p>
                  <w:pPr>
                    <w:jc w:val="center"/>
                    <w:rPr>
                      <w:color w:val="auto"/>
                      <w:kern w:val="0"/>
                      <w:szCs w:val="21"/>
                    </w:rPr>
                  </w:pPr>
                  <w:r>
                    <w:rPr>
                      <w:rFonts w:hint="eastAsia"/>
                      <w:b w:val="0"/>
                      <w:bCs/>
                      <w:color w:val="auto"/>
                      <w:szCs w:val="21"/>
                      <w:lang w:eastAsia="zh-CN"/>
                    </w:rPr>
                    <w:t>非甲烷总烃</w:t>
                  </w:r>
                </w:p>
              </w:tc>
              <w:tc>
                <w:tcPr>
                  <w:tcW w:w="1023" w:type="dxa"/>
                  <w:tcBorders>
                    <w:tl2br w:val="nil"/>
                    <w:tr2bl w:val="nil"/>
                  </w:tcBorders>
                  <w:vAlign w:val="center"/>
                </w:tcPr>
                <w:p>
                  <w:pPr>
                    <w:adjustRightInd w:val="0"/>
                    <w:snapToGrid w:val="0"/>
                    <w:jc w:val="center"/>
                    <w:rPr>
                      <w:rFonts w:hint="eastAsia" w:eastAsia="宋体"/>
                      <w:color w:val="auto"/>
                      <w:szCs w:val="21"/>
                      <w:lang w:eastAsia="zh-CN"/>
                    </w:rPr>
                  </w:pPr>
                  <w:r>
                    <w:rPr>
                      <w:rFonts w:hint="eastAsia"/>
                      <w:color w:val="auto"/>
                      <w:szCs w:val="21"/>
                    </w:rPr>
                    <w:t>0.0</w:t>
                  </w:r>
                  <w:r>
                    <w:rPr>
                      <w:rFonts w:hint="eastAsia"/>
                      <w:color w:val="auto"/>
                      <w:szCs w:val="21"/>
                      <w:lang w:val="en-US" w:eastAsia="zh-CN"/>
                    </w:rPr>
                    <w:t>7</w:t>
                  </w:r>
                  <w:r>
                    <w:rPr>
                      <w:rFonts w:hint="eastAsia"/>
                      <w:color w:val="auto"/>
                      <w:spacing w:val="4"/>
                      <w:kern w:val="0"/>
                      <w:szCs w:val="21"/>
                      <w:lang w:val="en-US" w:eastAsia="zh-CN"/>
                    </w:rPr>
                    <w:t>kg/a</w:t>
                  </w:r>
                </w:p>
              </w:tc>
            </w:tr>
          </w:tbl>
          <w:p>
            <w:pPr>
              <w:jc w:val="center"/>
              <w:rPr>
                <w:b/>
                <w:color w:val="auto"/>
                <w:szCs w:val="21"/>
              </w:rPr>
            </w:pPr>
            <w:r>
              <w:rPr>
                <w:b/>
                <w:color w:val="auto"/>
                <w:szCs w:val="21"/>
              </w:rPr>
              <w:t>表7-</w:t>
            </w:r>
            <w:r>
              <w:rPr>
                <w:rFonts w:hint="eastAsia"/>
                <w:b/>
                <w:color w:val="auto"/>
                <w:szCs w:val="21"/>
              </w:rPr>
              <w:t>11</w:t>
            </w:r>
            <w:r>
              <w:rPr>
                <w:b/>
                <w:color w:val="auto"/>
                <w:szCs w:val="21"/>
              </w:rPr>
              <w:t xml:space="preserve">  大气污染物年排放量核算表</w:t>
            </w:r>
          </w:p>
          <w:tbl>
            <w:tblPr>
              <w:tblStyle w:val="56"/>
              <w:tblW w:w="8312" w:type="dxa"/>
              <w:jc w:val="center"/>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879"/>
              <w:gridCol w:w="3140"/>
              <w:gridCol w:w="3293"/>
            </w:tblGrid>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8" w:hRule="atLeast"/>
                <w:tblHeader/>
                <w:jc w:val="center"/>
              </w:trPr>
              <w:tc>
                <w:tcPr>
                  <w:tcW w:w="1879" w:type="dxa"/>
                  <w:vAlign w:val="center"/>
                </w:tcPr>
                <w:p>
                  <w:pPr>
                    <w:pStyle w:val="214"/>
                    <w:spacing w:before="24" w:after="24"/>
                    <w:rPr>
                      <w:rFonts w:ascii="Times New Roman" w:hAnsi="Times New Roman" w:eastAsia="宋体"/>
                      <w:b/>
                      <w:color w:val="auto"/>
                      <w:sz w:val="21"/>
                      <w:szCs w:val="21"/>
                    </w:rPr>
                  </w:pPr>
                  <w:r>
                    <w:rPr>
                      <w:rFonts w:ascii="Times New Roman" w:hAnsi="Times New Roman" w:eastAsia="宋体"/>
                      <w:b/>
                      <w:color w:val="auto"/>
                      <w:sz w:val="21"/>
                      <w:szCs w:val="21"/>
                    </w:rPr>
                    <w:t>序号</w:t>
                  </w:r>
                </w:p>
              </w:tc>
              <w:tc>
                <w:tcPr>
                  <w:tcW w:w="3140" w:type="dxa"/>
                  <w:vAlign w:val="center"/>
                </w:tcPr>
                <w:p>
                  <w:pPr>
                    <w:pStyle w:val="214"/>
                    <w:spacing w:before="24" w:after="24"/>
                    <w:rPr>
                      <w:rFonts w:ascii="Times New Roman" w:hAnsi="Times New Roman" w:eastAsia="宋体"/>
                      <w:b/>
                      <w:color w:val="auto"/>
                      <w:sz w:val="21"/>
                      <w:szCs w:val="21"/>
                    </w:rPr>
                  </w:pPr>
                  <w:r>
                    <w:rPr>
                      <w:rFonts w:ascii="Times New Roman" w:hAnsi="Times New Roman" w:eastAsia="宋体"/>
                      <w:b/>
                      <w:color w:val="auto"/>
                      <w:sz w:val="21"/>
                      <w:szCs w:val="21"/>
                    </w:rPr>
                    <w:t>污染物</w:t>
                  </w:r>
                </w:p>
              </w:tc>
              <w:tc>
                <w:tcPr>
                  <w:tcW w:w="3293" w:type="dxa"/>
                  <w:vAlign w:val="center"/>
                </w:tcPr>
                <w:p>
                  <w:pPr>
                    <w:pStyle w:val="214"/>
                    <w:spacing w:before="24" w:after="24"/>
                    <w:rPr>
                      <w:rFonts w:ascii="Times New Roman" w:hAnsi="Times New Roman" w:eastAsia="宋体"/>
                      <w:b/>
                      <w:color w:val="auto"/>
                      <w:sz w:val="21"/>
                      <w:szCs w:val="21"/>
                    </w:rPr>
                  </w:pPr>
                  <w:r>
                    <w:rPr>
                      <w:rFonts w:ascii="Times New Roman" w:hAnsi="Times New Roman" w:eastAsia="宋体"/>
                      <w:b/>
                      <w:color w:val="auto"/>
                      <w:sz w:val="21"/>
                      <w:szCs w:val="21"/>
                    </w:rPr>
                    <w:t>年排放量/（</w:t>
                  </w:r>
                  <w:r>
                    <w:rPr>
                      <w:rFonts w:hint="eastAsia" w:ascii="Times New Roman" w:hAnsi="Times New Roman" w:eastAsia="宋体"/>
                      <w:b/>
                      <w:color w:val="auto"/>
                      <w:sz w:val="21"/>
                      <w:szCs w:val="21"/>
                      <w:lang w:val="en-US" w:eastAsia="zh-CN"/>
                    </w:rPr>
                    <w:t>t</w:t>
                  </w:r>
                  <w:r>
                    <w:rPr>
                      <w:rFonts w:ascii="Times New Roman" w:hAnsi="Times New Roman" w:eastAsia="宋体"/>
                      <w:b/>
                      <w:color w:val="auto"/>
                      <w:sz w:val="21"/>
                      <w:szCs w:val="21"/>
                    </w:rPr>
                    <w:t>/a）</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8" w:hRule="atLeast"/>
                <w:jc w:val="center"/>
              </w:trPr>
              <w:tc>
                <w:tcPr>
                  <w:tcW w:w="1879" w:type="dxa"/>
                  <w:vAlign w:val="center"/>
                </w:tcPr>
                <w:p>
                  <w:pPr>
                    <w:pStyle w:val="214"/>
                    <w:spacing w:before="24" w:after="24"/>
                    <w:rPr>
                      <w:rFonts w:hint="eastAsia" w:ascii="Times New Roman" w:hAnsi="Times New Roman" w:eastAsia="宋体"/>
                      <w:color w:val="auto"/>
                      <w:sz w:val="21"/>
                      <w:szCs w:val="21"/>
                      <w:lang w:val="en-US" w:eastAsia="zh-CN"/>
                    </w:rPr>
                  </w:pPr>
                  <w:r>
                    <w:rPr>
                      <w:rFonts w:hint="eastAsia" w:ascii="Times New Roman" w:hAnsi="Times New Roman" w:eastAsia="宋体"/>
                      <w:color w:val="auto"/>
                      <w:sz w:val="21"/>
                      <w:szCs w:val="21"/>
                      <w:lang w:val="en-US" w:eastAsia="zh-CN"/>
                    </w:rPr>
                    <w:t>1</w:t>
                  </w:r>
                </w:p>
              </w:tc>
              <w:tc>
                <w:tcPr>
                  <w:tcW w:w="3140" w:type="dxa"/>
                  <w:vAlign w:val="center"/>
                </w:tcPr>
                <w:p>
                  <w:pPr>
                    <w:jc w:val="center"/>
                    <w:rPr>
                      <w:rFonts w:hint="eastAsia"/>
                      <w:b w:val="0"/>
                      <w:bCs/>
                      <w:color w:val="auto"/>
                      <w:szCs w:val="21"/>
                      <w:lang w:eastAsia="zh-CN"/>
                    </w:rPr>
                  </w:pPr>
                  <w:r>
                    <w:rPr>
                      <w:rFonts w:hint="eastAsia"/>
                      <w:b w:val="0"/>
                      <w:bCs/>
                      <w:color w:val="auto"/>
                      <w:szCs w:val="21"/>
                      <w:lang w:eastAsia="zh-CN"/>
                    </w:rPr>
                    <w:t>粉尘</w:t>
                  </w:r>
                </w:p>
              </w:tc>
              <w:tc>
                <w:tcPr>
                  <w:tcW w:w="3293" w:type="dxa"/>
                  <w:vAlign w:val="center"/>
                </w:tcPr>
                <w:p>
                  <w:pPr>
                    <w:jc w:val="center"/>
                    <w:rPr>
                      <w:rFonts w:hint="default" w:eastAsia="宋体"/>
                      <w:color w:val="auto"/>
                      <w:szCs w:val="21"/>
                      <w:lang w:val="en-US" w:eastAsia="zh-CN"/>
                    </w:rPr>
                  </w:pPr>
                  <w:r>
                    <w:rPr>
                      <w:rFonts w:hint="eastAsia"/>
                      <w:color w:val="auto"/>
                      <w:szCs w:val="21"/>
                      <w:lang w:val="en-US" w:eastAsia="zh-CN"/>
                    </w:rPr>
                    <w:t>0.0015</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8" w:hRule="atLeast"/>
                <w:jc w:val="center"/>
              </w:trPr>
              <w:tc>
                <w:tcPr>
                  <w:tcW w:w="1879" w:type="dxa"/>
                  <w:vAlign w:val="center"/>
                </w:tcPr>
                <w:p>
                  <w:pPr>
                    <w:pStyle w:val="214"/>
                    <w:spacing w:before="24" w:after="24"/>
                    <w:rPr>
                      <w:rFonts w:hint="eastAsia" w:ascii="Times New Roman" w:hAnsi="Times New Roman" w:eastAsia="宋体"/>
                      <w:color w:val="auto"/>
                      <w:sz w:val="21"/>
                      <w:szCs w:val="21"/>
                      <w:lang w:eastAsia="zh-CN"/>
                    </w:rPr>
                  </w:pPr>
                  <w:r>
                    <w:rPr>
                      <w:rFonts w:hint="eastAsia" w:ascii="Times New Roman" w:hAnsi="Times New Roman" w:eastAsia="宋体"/>
                      <w:color w:val="auto"/>
                      <w:sz w:val="21"/>
                      <w:szCs w:val="21"/>
                      <w:lang w:val="en-US" w:eastAsia="zh-CN"/>
                    </w:rPr>
                    <w:t>2</w:t>
                  </w:r>
                </w:p>
              </w:tc>
              <w:tc>
                <w:tcPr>
                  <w:tcW w:w="3140" w:type="dxa"/>
                  <w:vAlign w:val="center"/>
                </w:tcPr>
                <w:p>
                  <w:pPr>
                    <w:jc w:val="center"/>
                    <w:rPr>
                      <w:color w:val="auto"/>
                      <w:szCs w:val="21"/>
                    </w:rPr>
                  </w:pPr>
                  <w:r>
                    <w:rPr>
                      <w:rFonts w:hint="eastAsia"/>
                      <w:b w:val="0"/>
                      <w:bCs/>
                      <w:color w:val="auto"/>
                      <w:szCs w:val="21"/>
                      <w:lang w:eastAsia="zh-CN"/>
                    </w:rPr>
                    <w:t>非甲烷总烃</w:t>
                  </w:r>
                </w:p>
              </w:tc>
              <w:tc>
                <w:tcPr>
                  <w:tcW w:w="3293" w:type="dxa"/>
                  <w:vAlign w:val="center"/>
                </w:tcPr>
                <w:p>
                  <w:pPr>
                    <w:jc w:val="center"/>
                    <w:rPr>
                      <w:rFonts w:hint="default" w:eastAsia="宋体"/>
                      <w:color w:val="auto"/>
                      <w:szCs w:val="21"/>
                      <w:lang w:val="en-US" w:eastAsia="zh-CN"/>
                    </w:rPr>
                  </w:pPr>
                  <w:r>
                    <w:rPr>
                      <w:rFonts w:hint="eastAsia"/>
                      <w:color w:val="auto"/>
                      <w:szCs w:val="21"/>
                    </w:rPr>
                    <w:t>0.</w:t>
                  </w:r>
                  <w:r>
                    <w:rPr>
                      <w:rFonts w:hint="eastAsia"/>
                      <w:color w:val="auto"/>
                      <w:szCs w:val="21"/>
                      <w:lang w:val="en-US" w:eastAsia="zh-CN"/>
                    </w:rPr>
                    <w:t>12kg/a</w:t>
                  </w:r>
                </w:p>
              </w:tc>
            </w:tr>
          </w:tbl>
          <w:p>
            <w:pPr>
              <w:snapToGrid w:val="0"/>
              <w:spacing w:line="360" w:lineRule="auto"/>
              <w:ind w:firstLine="480" w:firstLineChars="200"/>
              <w:contextualSpacing/>
              <w:jc w:val="left"/>
              <w:rPr>
                <w:b/>
                <w:bCs/>
                <w:color w:val="auto"/>
                <w:sz w:val="24"/>
              </w:rPr>
            </w:pPr>
            <w:r>
              <w:rPr>
                <w:b/>
                <w:bCs/>
                <w:color w:val="auto"/>
                <w:sz w:val="24"/>
              </w:rPr>
              <w:t>（</w:t>
            </w:r>
            <w:r>
              <w:rPr>
                <w:rFonts w:hint="eastAsia"/>
                <w:b/>
                <w:bCs/>
                <w:color w:val="auto"/>
                <w:sz w:val="24"/>
                <w:lang w:val="en-US" w:eastAsia="zh-CN"/>
              </w:rPr>
              <w:t>4</w:t>
            </w:r>
            <w:r>
              <w:rPr>
                <w:b/>
                <w:bCs/>
                <w:color w:val="auto"/>
                <w:sz w:val="24"/>
              </w:rPr>
              <w:t>）大气环境防护距离</w:t>
            </w:r>
          </w:p>
          <w:p>
            <w:pPr>
              <w:snapToGrid w:val="0"/>
              <w:spacing w:line="360" w:lineRule="auto"/>
              <w:ind w:firstLine="480" w:firstLineChars="200"/>
              <w:contextualSpacing/>
              <w:jc w:val="left"/>
              <w:rPr>
                <w:color w:val="auto"/>
                <w:sz w:val="24"/>
              </w:rPr>
            </w:pPr>
            <w:r>
              <w:rPr>
                <w:color w:val="auto"/>
                <w:sz w:val="24"/>
                <w:szCs w:val="24"/>
              </w:rPr>
              <w:t>根据《环境影响评价技术导则—大气环境（HJ2.2-2018）》要求，</w:t>
            </w:r>
            <w:r>
              <w:rPr>
                <w:rFonts w:hint="eastAsia"/>
                <w:color w:val="auto"/>
                <w:sz w:val="24"/>
                <w:szCs w:val="24"/>
              </w:rPr>
              <w:t>“</w:t>
            </w:r>
            <w:r>
              <w:rPr>
                <w:color w:val="auto"/>
                <w:sz w:val="24"/>
                <w:szCs w:val="24"/>
              </w:rPr>
              <w:t>对于项目厂界浓度满足大气污染物厂界浓度限值，但厂界外大气污染物短期贡献浓度超过环境质量浓度限值的，可以自厂界向外设置一定范围的大气环境防护区域，以确保大气环境防护区域外的污染物贡献浓度满足环境质量标准</w:t>
            </w:r>
            <w:r>
              <w:rPr>
                <w:rFonts w:hint="eastAsia"/>
                <w:color w:val="auto"/>
                <w:sz w:val="24"/>
                <w:szCs w:val="24"/>
              </w:rPr>
              <w:t>”</w:t>
            </w:r>
            <w:r>
              <w:rPr>
                <w:color w:val="auto"/>
                <w:sz w:val="24"/>
                <w:szCs w:val="24"/>
              </w:rPr>
              <w:t>。由本项目预测情况可知，项目厂界及厂界外污染物浓度满足大气污染物厂界浓度限值，因此</w:t>
            </w:r>
            <w:r>
              <w:rPr>
                <w:rFonts w:hint="eastAsia"/>
                <w:color w:val="auto"/>
                <w:sz w:val="24"/>
                <w:szCs w:val="24"/>
              </w:rPr>
              <w:t>本项目</w:t>
            </w:r>
            <w:r>
              <w:rPr>
                <w:color w:val="auto"/>
                <w:sz w:val="24"/>
                <w:szCs w:val="24"/>
              </w:rPr>
              <w:t>不需设置大气环境防护距离。</w:t>
            </w:r>
          </w:p>
          <w:p>
            <w:pPr>
              <w:snapToGrid w:val="0"/>
              <w:spacing w:line="360" w:lineRule="auto"/>
              <w:ind w:firstLine="480" w:firstLineChars="200"/>
              <w:contextualSpacing/>
              <w:jc w:val="left"/>
              <w:rPr>
                <w:b/>
                <w:bCs/>
                <w:color w:val="auto"/>
                <w:sz w:val="24"/>
              </w:rPr>
            </w:pPr>
            <w:r>
              <w:rPr>
                <w:b/>
                <w:bCs/>
                <w:color w:val="auto"/>
                <w:sz w:val="24"/>
              </w:rPr>
              <w:t>（</w:t>
            </w:r>
            <w:r>
              <w:rPr>
                <w:rFonts w:hint="eastAsia"/>
                <w:b/>
                <w:bCs/>
                <w:color w:val="auto"/>
                <w:sz w:val="24"/>
                <w:lang w:val="en-US" w:eastAsia="zh-CN"/>
              </w:rPr>
              <w:t>5</w:t>
            </w:r>
            <w:r>
              <w:rPr>
                <w:b/>
                <w:bCs/>
                <w:color w:val="auto"/>
                <w:sz w:val="24"/>
              </w:rPr>
              <w:t xml:space="preserve">）卫生防护距离设置 </w:t>
            </w:r>
          </w:p>
          <w:p>
            <w:pPr>
              <w:spacing w:line="360" w:lineRule="auto"/>
              <w:ind w:firstLine="480" w:firstLineChars="200"/>
              <w:rPr>
                <w:color w:val="auto"/>
                <w:sz w:val="24"/>
              </w:rPr>
            </w:pPr>
            <w:r>
              <w:rPr>
                <w:color w:val="auto"/>
                <w:sz w:val="24"/>
              </w:rPr>
              <w:t>根据《制定地方大气污染物排放标准的技术方法》（GB/T13201-91）规定，无组织排入有害气体的生产单元（生产区、车间、工段）超出GB3095与TJ36规定的居住区容许浓度限值，则需要与居民区之间应设置卫生防护距离，计算公式如下：</w:t>
            </w:r>
          </w:p>
          <w:p>
            <w:pPr>
              <w:spacing w:line="360" w:lineRule="auto"/>
              <w:jc w:val="center"/>
              <w:rPr>
                <w:color w:val="auto"/>
                <w:sz w:val="24"/>
              </w:rPr>
            </w:pPr>
            <w:r>
              <w:rPr>
                <w:color w:val="auto"/>
                <w:position w:val="-30"/>
                <w:sz w:val="24"/>
              </w:rPr>
              <w:object>
                <v:shape id="_x0000_i1027" o:spt="75" type="#_x0000_t75" style="height:35.45pt;width:144pt;" o:ole="t" filled="f" o:preferrelative="t" stroked="f" coordsize="21600,21600">
                  <v:path/>
                  <v:fill on="f" focussize="0,0"/>
                  <v:stroke on="f" joinstyle="miter"/>
                  <v:imagedata r:id="rId20" o:title="6515309301556505032514"/>
                  <o:lock v:ext="edit" aspectratio="t"/>
                  <w10:wrap type="none"/>
                  <w10:anchorlock/>
                </v:shape>
                <o:OLEObject Type="Embed" ProgID="Equation.3" ShapeID="_x0000_i1027" DrawAspect="Content" ObjectID="_1468075727" r:id="rId19">
                  <o:LockedField>false</o:LockedField>
                </o:OLEObject>
              </w:object>
            </w:r>
          </w:p>
          <w:p>
            <w:pPr>
              <w:spacing w:line="360" w:lineRule="auto"/>
              <w:ind w:firstLine="480" w:firstLineChars="200"/>
              <w:rPr>
                <w:color w:val="auto"/>
                <w:sz w:val="24"/>
              </w:rPr>
            </w:pPr>
            <w:r>
              <w:rPr>
                <w:color w:val="auto"/>
                <w:sz w:val="24"/>
              </w:rPr>
              <w:t>式中：C</w:t>
            </w:r>
            <w:r>
              <w:rPr>
                <w:color w:val="auto"/>
                <w:sz w:val="24"/>
                <w:vertAlign w:val="subscript"/>
              </w:rPr>
              <w:t>m</w:t>
            </w:r>
            <w:r>
              <w:rPr>
                <w:color w:val="auto"/>
                <w:sz w:val="24"/>
              </w:rPr>
              <w:t>—为标准浓度限值（mg/m</w:t>
            </w:r>
            <w:r>
              <w:rPr>
                <w:color w:val="auto"/>
                <w:sz w:val="24"/>
                <w:vertAlign w:val="superscript"/>
              </w:rPr>
              <w:t>3</w:t>
            </w:r>
            <w:r>
              <w:rPr>
                <w:color w:val="auto"/>
                <w:sz w:val="24"/>
              </w:rPr>
              <w:t>）；</w:t>
            </w:r>
          </w:p>
          <w:p>
            <w:pPr>
              <w:spacing w:line="360" w:lineRule="auto"/>
              <w:ind w:firstLine="1200" w:firstLineChars="500"/>
              <w:rPr>
                <w:color w:val="auto"/>
                <w:sz w:val="24"/>
              </w:rPr>
            </w:pPr>
            <w:r>
              <w:rPr>
                <w:color w:val="auto"/>
                <w:sz w:val="24"/>
              </w:rPr>
              <w:t>Q</w:t>
            </w:r>
            <w:r>
              <w:rPr>
                <w:color w:val="auto"/>
                <w:sz w:val="24"/>
                <w:vertAlign w:val="subscript"/>
              </w:rPr>
              <w:t>c</w:t>
            </w:r>
            <w:r>
              <w:rPr>
                <w:color w:val="auto"/>
                <w:sz w:val="24"/>
              </w:rPr>
              <w:t>—有害气体无组织排放量可达到的控制水平（kg/h）；</w:t>
            </w:r>
          </w:p>
          <w:p>
            <w:pPr>
              <w:spacing w:line="360" w:lineRule="auto"/>
              <w:ind w:firstLine="1200" w:firstLineChars="500"/>
              <w:rPr>
                <w:color w:val="auto"/>
                <w:sz w:val="24"/>
              </w:rPr>
            </w:pPr>
            <w:r>
              <w:rPr>
                <w:color w:val="auto"/>
                <w:sz w:val="24"/>
              </w:rPr>
              <w:t>r—为有害气体无组织排放源所在生产单元的等效半径（m）；</w:t>
            </w:r>
          </w:p>
          <w:p>
            <w:pPr>
              <w:spacing w:line="360" w:lineRule="auto"/>
              <w:ind w:firstLine="1200" w:firstLineChars="500"/>
              <w:rPr>
                <w:color w:val="auto"/>
                <w:sz w:val="24"/>
              </w:rPr>
            </w:pPr>
            <w:r>
              <w:rPr>
                <w:color w:val="auto"/>
                <w:sz w:val="24"/>
              </w:rPr>
              <w:t>L—为工业企业所需的卫生防护距离（m）；</w:t>
            </w:r>
          </w:p>
          <w:p>
            <w:pPr>
              <w:spacing w:line="360" w:lineRule="auto"/>
              <w:ind w:firstLine="1200" w:firstLineChars="500"/>
              <w:rPr>
                <w:color w:val="auto"/>
                <w:sz w:val="24"/>
              </w:rPr>
            </w:pPr>
            <w:r>
              <w:rPr>
                <w:color w:val="auto"/>
                <w:sz w:val="24"/>
              </w:rPr>
              <w:t>A、B、C、D为计算系数。根据所在地平均风速及工业企业大气污染源构成类别查取。</w:t>
            </w:r>
          </w:p>
          <w:p>
            <w:pPr>
              <w:ind w:firstLine="198"/>
              <w:jc w:val="center"/>
              <w:rPr>
                <w:b/>
                <w:color w:val="auto"/>
                <w:szCs w:val="21"/>
              </w:rPr>
            </w:pPr>
            <w:r>
              <w:rPr>
                <w:b/>
                <w:color w:val="auto"/>
                <w:szCs w:val="21"/>
              </w:rPr>
              <w:t>表7-1</w:t>
            </w:r>
            <w:r>
              <w:rPr>
                <w:rFonts w:hint="eastAsia"/>
                <w:b/>
                <w:color w:val="auto"/>
                <w:szCs w:val="21"/>
              </w:rPr>
              <w:t>2</w:t>
            </w:r>
            <w:r>
              <w:rPr>
                <w:b/>
                <w:color w:val="auto"/>
                <w:szCs w:val="21"/>
              </w:rPr>
              <w:t xml:space="preserve">  本项目卫生防护距离计算结果表</w:t>
            </w:r>
          </w:p>
          <w:tbl>
            <w:tblPr>
              <w:tblStyle w:val="56"/>
              <w:tblW w:w="8312" w:type="dxa"/>
              <w:tblInd w:w="0" w:type="dxa"/>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560"/>
              <w:gridCol w:w="1770"/>
              <w:gridCol w:w="1662"/>
              <w:gridCol w:w="3320"/>
            </w:tblGrid>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560" w:type="dxa"/>
                  <w:vAlign w:val="center"/>
                </w:tcPr>
                <w:p>
                  <w:pPr>
                    <w:pStyle w:val="29"/>
                    <w:spacing w:before="0" w:line="240" w:lineRule="auto"/>
                    <w:jc w:val="center"/>
                    <w:rPr>
                      <w:rFonts w:ascii="Times New Roman"/>
                      <w:b/>
                      <w:color w:val="auto"/>
                      <w:szCs w:val="21"/>
                    </w:rPr>
                  </w:pPr>
                  <w:r>
                    <w:rPr>
                      <w:rFonts w:ascii="Times New Roman"/>
                      <w:b/>
                      <w:color w:val="auto"/>
                      <w:szCs w:val="21"/>
                    </w:rPr>
                    <w:t>源强</w:t>
                  </w:r>
                </w:p>
              </w:tc>
              <w:tc>
                <w:tcPr>
                  <w:tcW w:w="1770" w:type="dxa"/>
                  <w:vAlign w:val="center"/>
                </w:tcPr>
                <w:p>
                  <w:pPr>
                    <w:pStyle w:val="29"/>
                    <w:spacing w:before="0" w:line="240" w:lineRule="auto"/>
                    <w:jc w:val="center"/>
                    <w:rPr>
                      <w:rFonts w:ascii="Times New Roman"/>
                      <w:b/>
                      <w:color w:val="auto"/>
                      <w:szCs w:val="21"/>
                    </w:rPr>
                  </w:pPr>
                  <w:r>
                    <w:rPr>
                      <w:rFonts w:ascii="Times New Roman"/>
                      <w:b/>
                      <w:color w:val="auto"/>
                      <w:szCs w:val="21"/>
                    </w:rPr>
                    <w:t>污染物</w:t>
                  </w:r>
                </w:p>
              </w:tc>
              <w:tc>
                <w:tcPr>
                  <w:tcW w:w="1662" w:type="dxa"/>
                  <w:vAlign w:val="center"/>
                </w:tcPr>
                <w:p>
                  <w:pPr>
                    <w:pStyle w:val="29"/>
                    <w:spacing w:before="0" w:line="240" w:lineRule="auto"/>
                    <w:jc w:val="center"/>
                    <w:rPr>
                      <w:rFonts w:ascii="Times New Roman"/>
                      <w:b/>
                      <w:color w:val="auto"/>
                      <w:szCs w:val="21"/>
                    </w:rPr>
                  </w:pPr>
                  <w:r>
                    <w:rPr>
                      <w:rFonts w:ascii="Times New Roman"/>
                      <w:b/>
                      <w:color w:val="auto"/>
                      <w:szCs w:val="21"/>
                    </w:rPr>
                    <w:t>计算结果m</w:t>
                  </w:r>
                </w:p>
              </w:tc>
              <w:tc>
                <w:tcPr>
                  <w:tcW w:w="3320" w:type="dxa"/>
                  <w:vAlign w:val="center"/>
                </w:tcPr>
                <w:p>
                  <w:pPr>
                    <w:pStyle w:val="29"/>
                    <w:spacing w:before="0" w:line="240" w:lineRule="auto"/>
                    <w:jc w:val="center"/>
                    <w:rPr>
                      <w:rFonts w:ascii="Times New Roman"/>
                      <w:b/>
                      <w:color w:val="auto"/>
                      <w:szCs w:val="21"/>
                    </w:rPr>
                  </w:pPr>
                  <w:r>
                    <w:rPr>
                      <w:rFonts w:ascii="Times New Roman"/>
                      <w:b/>
                      <w:color w:val="auto"/>
                      <w:szCs w:val="21"/>
                    </w:rPr>
                    <w:t>卫生防护距离m</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560" w:type="dxa"/>
                  <w:vMerge w:val="restart"/>
                  <w:vAlign w:val="center"/>
                </w:tcPr>
                <w:p>
                  <w:pPr>
                    <w:pStyle w:val="29"/>
                    <w:spacing w:before="0" w:line="240" w:lineRule="auto"/>
                    <w:jc w:val="center"/>
                    <w:rPr>
                      <w:rFonts w:ascii="Times New Roman"/>
                      <w:color w:val="auto"/>
                      <w:szCs w:val="21"/>
                    </w:rPr>
                  </w:pPr>
                  <w:r>
                    <w:rPr>
                      <w:rFonts w:hint="eastAsia" w:ascii="Times New Roman"/>
                      <w:color w:val="auto"/>
                      <w:szCs w:val="21"/>
                    </w:rPr>
                    <w:t>生产车间</w:t>
                  </w:r>
                </w:p>
              </w:tc>
              <w:tc>
                <w:tcPr>
                  <w:tcW w:w="1770" w:type="dxa"/>
                  <w:vAlign w:val="center"/>
                </w:tcPr>
                <w:p>
                  <w:pPr>
                    <w:jc w:val="center"/>
                    <w:rPr>
                      <w:rFonts w:hint="eastAsia"/>
                      <w:color w:val="auto"/>
                      <w:szCs w:val="21"/>
                      <w:lang w:eastAsia="zh-CN"/>
                    </w:rPr>
                  </w:pPr>
                  <w:r>
                    <w:rPr>
                      <w:rFonts w:hint="eastAsia"/>
                      <w:color w:val="auto"/>
                      <w:szCs w:val="21"/>
                      <w:lang w:eastAsia="zh-CN"/>
                    </w:rPr>
                    <w:t>粉尘</w:t>
                  </w:r>
                </w:p>
              </w:tc>
              <w:tc>
                <w:tcPr>
                  <w:tcW w:w="1662" w:type="dxa"/>
                  <w:vAlign w:val="center"/>
                </w:tcPr>
                <w:p>
                  <w:pPr>
                    <w:jc w:val="center"/>
                    <w:rPr>
                      <w:rFonts w:hint="default"/>
                      <w:color w:val="auto"/>
                      <w:szCs w:val="21"/>
                      <w:lang w:val="en-US" w:eastAsia="zh-CN"/>
                    </w:rPr>
                  </w:pPr>
                  <w:r>
                    <w:rPr>
                      <w:rFonts w:hint="eastAsia"/>
                      <w:color w:val="auto"/>
                      <w:szCs w:val="21"/>
                      <w:lang w:val="en-US" w:eastAsia="zh-CN"/>
                    </w:rPr>
                    <w:t>4.065</w:t>
                  </w:r>
                </w:p>
              </w:tc>
              <w:tc>
                <w:tcPr>
                  <w:tcW w:w="3320" w:type="dxa"/>
                  <w:vAlign w:val="center"/>
                </w:tcPr>
                <w:p>
                  <w:pPr>
                    <w:pStyle w:val="29"/>
                    <w:spacing w:before="0" w:line="240" w:lineRule="auto"/>
                    <w:jc w:val="center"/>
                    <w:rPr>
                      <w:rFonts w:hint="default" w:ascii="Times New Roman" w:eastAsia="宋体"/>
                      <w:color w:val="auto"/>
                      <w:szCs w:val="21"/>
                      <w:lang w:val="en-US" w:eastAsia="zh-CN"/>
                    </w:rPr>
                  </w:pPr>
                  <w:r>
                    <w:rPr>
                      <w:rFonts w:hint="eastAsia" w:ascii="Times New Roman"/>
                      <w:color w:val="auto"/>
                      <w:szCs w:val="21"/>
                      <w:lang w:val="en-US" w:eastAsia="zh-CN"/>
                    </w:rPr>
                    <w:t>50</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560" w:type="dxa"/>
                  <w:vMerge w:val="continue"/>
                  <w:vAlign w:val="center"/>
                </w:tcPr>
                <w:p>
                  <w:pPr>
                    <w:pStyle w:val="29"/>
                    <w:spacing w:before="0" w:line="240" w:lineRule="auto"/>
                    <w:jc w:val="center"/>
                    <w:rPr>
                      <w:rFonts w:ascii="Times New Roman"/>
                      <w:color w:val="auto"/>
                      <w:szCs w:val="21"/>
                    </w:rPr>
                  </w:pPr>
                </w:p>
              </w:tc>
              <w:tc>
                <w:tcPr>
                  <w:tcW w:w="1770" w:type="dxa"/>
                  <w:vAlign w:val="center"/>
                </w:tcPr>
                <w:p>
                  <w:pPr>
                    <w:jc w:val="center"/>
                    <w:rPr>
                      <w:rFonts w:hint="eastAsia" w:eastAsia="宋体"/>
                      <w:color w:val="auto"/>
                      <w:lang w:eastAsia="zh-CN"/>
                    </w:rPr>
                  </w:pPr>
                  <w:r>
                    <w:rPr>
                      <w:rFonts w:hint="eastAsia"/>
                      <w:color w:val="auto"/>
                      <w:szCs w:val="21"/>
                      <w:lang w:eastAsia="zh-CN"/>
                    </w:rPr>
                    <w:t>非甲烷总烃</w:t>
                  </w:r>
                </w:p>
              </w:tc>
              <w:tc>
                <w:tcPr>
                  <w:tcW w:w="1662" w:type="dxa"/>
                  <w:vAlign w:val="center"/>
                </w:tcPr>
                <w:p>
                  <w:pPr>
                    <w:jc w:val="center"/>
                    <w:rPr>
                      <w:rFonts w:hint="default" w:eastAsia="宋体"/>
                      <w:color w:val="auto"/>
                      <w:szCs w:val="21"/>
                      <w:lang w:val="en-US" w:eastAsia="zh-CN"/>
                    </w:rPr>
                  </w:pPr>
                  <w:r>
                    <w:rPr>
                      <w:rFonts w:hint="eastAsia"/>
                      <w:color w:val="auto"/>
                      <w:szCs w:val="21"/>
                      <w:lang w:val="en-US" w:eastAsia="zh-CN"/>
                    </w:rPr>
                    <w:t>0.014</w:t>
                  </w:r>
                </w:p>
              </w:tc>
              <w:tc>
                <w:tcPr>
                  <w:tcW w:w="3320" w:type="dxa"/>
                  <w:vAlign w:val="center"/>
                </w:tcPr>
                <w:p>
                  <w:pPr>
                    <w:pStyle w:val="29"/>
                    <w:spacing w:before="0" w:line="240" w:lineRule="auto"/>
                    <w:jc w:val="center"/>
                    <w:rPr>
                      <w:rFonts w:ascii="Times New Roman"/>
                      <w:color w:val="auto"/>
                      <w:szCs w:val="21"/>
                    </w:rPr>
                  </w:pPr>
                  <w:r>
                    <w:rPr>
                      <w:rFonts w:ascii="Times New Roman"/>
                      <w:color w:val="auto"/>
                      <w:szCs w:val="21"/>
                    </w:rPr>
                    <w:t>50</w:t>
                  </w:r>
                </w:p>
              </w:tc>
            </w:tr>
          </w:tbl>
          <w:p>
            <w:pPr>
              <w:spacing w:line="360" w:lineRule="auto"/>
              <w:ind w:firstLine="480" w:firstLineChars="200"/>
              <w:rPr>
                <w:color w:val="auto"/>
                <w:sz w:val="24"/>
              </w:rPr>
            </w:pPr>
            <w:r>
              <w:rPr>
                <w:color w:val="auto"/>
                <w:sz w:val="24"/>
              </w:rPr>
              <w:t>综上所述，根据《制定地方大气污染物排放标准的技术方法》（GB/T3840-1991）中的规定，本项目卫生防护距离</w:t>
            </w:r>
            <w:r>
              <w:rPr>
                <w:rFonts w:hint="eastAsia"/>
                <w:color w:val="auto"/>
                <w:sz w:val="24"/>
              </w:rPr>
              <w:t>以车间内生产线为边界</w:t>
            </w:r>
            <w:r>
              <w:rPr>
                <w:color w:val="auto"/>
                <w:sz w:val="24"/>
              </w:rPr>
              <w:t>外延</w:t>
            </w:r>
            <w:r>
              <w:rPr>
                <w:rFonts w:hint="eastAsia"/>
                <w:color w:val="auto"/>
                <w:sz w:val="24"/>
                <w:lang w:val="en-US" w:eastAsia="zh-CN"/>
              </w:rPr>
              <w:t>100</w:t>
            </w:r>
            <w:r>
              <w:rPr>
                <w:color w:val="auto"/>
                <w:sz w:val="24"/>
              </w:rPr>
              <w:t>m。</w:t>
            </w:r>
          </w:p>
          <w:p>
            <w:pPr>
              <w:spacing w:line="360" w:lineRule="auto"/>
              <w:ind w:firstLine="480" w:firstLineChars="200"/>
              <w:rPr>
                <w:color w:val="auto"/>
                <w:sz w:val="24"/>
              </w:rPr>
            </w:pPr>
            <w:r>
              <w:rPr>
                <w:color w:val="auto"/>
                <w:sz w:val="24"/>
              </w:rPr>
              <w:t>目前该卫生防护距离内无敏感点，同时要求未来不得在本项目卫生防护距离内新建居民住宅、医院、学校等敏感点。具体项目卫生防护距离</w:t>
            </w:r>
            <w:r>
              <w:rPr>
                <w:rFonts w:hint="eastAsia"/>
                <w:color w:val="auto"/>
                <w:sz w:val="24"/>
              </w:rPr>
              <w:t>包络线</w:t>
            </w:r>
            <w:r>
              <w:rPr>
                <w:color w:val="auto"/>
                <w:sz w:val="24"/>
              </w:rPr>
              <w:t>见图</w:t>
            </w:r>
            <w:r>
              <w:rPr>
                <w:rFonts w:hint="eastAsia"/>
                <w:color w:val="auto"/>
                <w:sz w:val="24"/>
              </w:rPr>
              <w:t>2</w:t>
            </w:r>
            <w:r>
              <w:rPr>
                <w:color w:val="auto"/>
                <w:sz w:val="24"/>
              </w:rPr>
              <w:t>周围概况图。</w:t>
            </w:r>
          </w:p>
          <w:p>
            <w:pPr>
              <w:spacing w:line="360" w:lineRule="auto"/>
              <w:ind w:firstLine="480" w:firstLineChars="200"/>
              <w:rPr>
                <w:color w:val="auto"/>
                <w:sz w:val="24"/>
              </w:rPr>
            </w:pPr>
            <w:r>
              <w:rPr>
                <w:color w:val="auto"/>
                <w:sz w:val="24"/>
              </w:rPr>
              <w:t>综上，本项目对大气环境影响较小。</w:t>
            </w:r>
          </w:p>
          <w:p>
            <w:pPr>
              <w:spacing w:line="360" w:lineRule="auto"/>
              <w:ind w:firstLine="480" w:firstLineChars="200"/>
              <w:rPr>
                <w:rFonts w:hint="eastAsia" w:eastAsia="宋体"/>
                <w:b/>
                <w:color w:val="auto"/>
                <w:sz w:val="24"/>
                <w:lang w:eastAsia="zh-CN"/>
              </w:rPr>
            </w:pPr>
            <w:r>
              <w:rPr>
                <w:rFonts w:hint="eastAsia"/>
                <w:b/>
                <w:color w:val="auto"/>
                <w:sz w:val="24"/>
                <w:lang w:eastAsia="zh-CN"/>
              </w:rPr>
              <w:t>（</w:t>
            </w:r>
            <w:r>
              <w:rPr>
                <w:rFonts w:hint="eastAsia"/>
                <w:b/>
                <w:color w:val="auto"/>
                <w:sz w:val="24"/>
                <w:lang w:val="en-US" w:eastAsia="zh-CN"/>
              </w:rPr>
              <w:t>6</w:t>
            </w:r>
            <w:r>
              <w:rPr>
                <w:rFonts w:hint="eastAsia"/>
                <w:b/>
                <w:color w:val="auto"/>
                <w:sz w:val="24"/>
                <w:lang w:eastAsia="zh-CN"/>
              </w:rPr>
              <w:t>）环境保护目标影响分析</w:t>
            </w:r>
          </w:p>
          <w:p>
            <w:pPr>
              <w:spacing w:line="360" w:lineRule="auto"/>
              <w:ind w:firstLine="480" w:firstLineChars="200"/>
              <w:rPr>
                <w:rFonts w:hint="eastAsia"/>
                <w:b w:val="0"/>
                <w:bCs/>
                <w:color w:val="auto"/>
                <w:sz w:val="24"/>
              </w:rPr>
            </w:pPr>
            <w:r>
              <w:rPr>
                <w:rFonts w:hint="eastAsia"/>
                <w:b w:val="0"/>
                <w:bCs/>
                <w:color w:val="auto"/>
                <w:sz w:val="24"/>
              </w:rPr>
              <w:t>本项目最近环境保护目标为项目</w:t>
            </w:r>
            <w:r>
              <w:rPr>
                <w:rFonts w:hint="eastAsia"/>
                <w:b w:val="0"/>
                <w:bCs/>
                <w:color w:val="auto"/>
                <w:sz w:val="24"/>
                <w:lang w:val="en-US" w:eastAsia="zh-CN"/>
              </w:rPr>
              <w:t>4#</w:t>
            </w:r>
            <w:r>
              <w:rPr>
                <w:rFonts w:hint="eastAsia"/>
                <w:b w:val="0"/>
                <w:bCs/>
                <w:color w:val="auto"/>
                <w:sz w:val="24"/>
                <w:lang w:eastAsia="zh-CN"/>
              </w:rPr>
              <w:t>标准化厂房边界</w:t>
            </w:r>
            <w:r>
              <w:rPr>
                <w:rFonts w:hint="eastAsia"/>
                <w:b w:val="0"/>
                <w:bCs/>
                <w:color w:val="auto"/>
                <w:sz w:val="24"/>
              </w:rPr>
              <w:t>东侧</w:t>
            </w:r>
            <w:r>
              <w:rPr>
                <w:rFonts w:hint="eastAsia" w:cs="Times New Roman"/>
                <w:b w:val="0"/>
                <w:bCs/>
                <w:color w:val="auto"/>
                <w:sz w:val="24"/>
                <w:szCs w:val="22"/>
                <w:lang w:val="en-US" w:eastAsia="zh-CN"/>
              </w:rPr>
              <w:t>100</w:t>
            </w:r>
            <w:r>
              <w:rPr>
                <w:rFonts w:hint="eastAsia" w:ascii="Times New Roman" w:hAnsi="Times New Roman" w:eastAsia="宋体" w:cs="Times New Roman"/>
                <w:b w:val="0"/>
                <w:bCs/>
                <w:color w:val="auto"/>
                <w:sz w:val="24"/>
                <w:szCs w:val="22"/>
              </w:rPr>
              <w:t>的</w:t>
            </w:r>
            <w:r>
              <w:rPr>
                <w:rFonts w:hint="eastAsia" w:cs="Times New Roman"/>
                <w:b w:val="0"/>
                <w:bCs/>
                <w:color w:val="auto"/>
                <w:sz w:val="24"/>
                <w:szCs w:val="22"/>
                <w:lang w:eastAsia="zh-CN"/>
              </w:rPr>
              <w:t>珑庭花园，距本项目生产车间边界</w:t>
            </w:r>
            <w:r>
              <w:rPr>
                <w:rFonts w:hint="eastAsia" w:cs="Times New Roman"/>
                <w:b w:val="0"/>
                <w:bCs/>
                <w:color w:val="auto"/>
                <w:sz w:val="24"/>
                <w:szCs w:val="22"/>
                <w:lang w:val="en-US" w:eastAsia="zh-CN"/>
              </w:rPr>
              <w:t>200m</w:t>
            </w:r>
            <w:r>
              <w:rPr>
                <w:rFonts w:hint="eastAsia" w:cs="Times New Roman"/>
                <w:b w:val="0"/>
                <w:bCs/>
                <w:color w:val="auto"/>
                <w:sz w:val="24"/>
                <w:szCs w:val="22"/>
                <w:lang w:eastAsia="zh-CN"/>
              </w:rPr>
              <w:t>。</w:t>
            </w:r>
            <w:r>
              <w:rPr>
                <w:rFonts w:hint="eastAsia" w:ascii="Times New Roman" w:hAnsi="Times New Roman" w:eastAsia="宋体" w:cs="Times New Roman"/>
                <w:b w:val="0"/>
                <w:bCs/>
                <w:color w:val="auto"/>
                <w:sz w:val="24"/>
                <w:szCs w:val="22"/>
              </w:rPr>
              <w:t>根据表 7-6、表 7-7，有组织废气</w:t>
            </w:r>
            <w:r>
              <w:rPr>
                <w:rFonts w:hint="eastAsia" w:cs="Times New Roman"/>
                <w:b w:val="0"/>
                <w:bCs/>
                <w:color w:val="auto"/>
                <w:sz w:val="24"/>
                <w:szCs w:val="22"/>
                <w:lang w:eastAsia="zh-CN"/>
              </w:rPr>
              <w:t>颗粒物（粉尘）</w:t>
            </w:r>
            <w:r>
              <w:rPr>
                <w:rFonts w:hint="eastAsia" w:ascii="Times New Roman" w:hAnsi="Times New Roman" w:eastAsia="宋体" w:cs="Times New Roman"/>
                <w:b w:val="0"/>
                <w:bCs/>
                <w:color w:val="auto"/>
                <w:sz w:val="24"/>
                <w:szCs w:val="22"/>
              </w:rPr>
              <w:t>在</w:t>
            </w:r>
            <w:r>
              <w:rPr>
                <w:rFonts w:hint="eastAsia" w:cs="Times New Roman"/>
                <w:b w:val="0"/>
                <w:bCs/>
                <w:color w:val="auto"/>
                <w:sz w:val="24"/>
                <w:szCs w:val="22"/>
                <w:lang w:val="en-US" w:eastAsia="zh-CN"/>
              </w:rPr>
              <w:t>200</w:t>
            </w:r>
            <w:r>
              <w:rPr>
                <w:rFonts w:hint="eastAsia" w:ascii="Times New Roman" w:hAnsi="Times New Roman" w:eastAsia="宋体" w:cs="Times New Roman"/>
                <w:b w:val="0"/>
                <w:bCs/>
                <w:color w:val="auto"/>
                <w:sz w:val="24"/>
                <w:szCs w:val="22"/>
                <w:lang w:val="en-US" w:eastAsia="zh-CN"/>
              </w:rPr>
              <w:t>m</w:t>
            </w:r>
            <w:r>
              <w:rPr>
                <w:rFonts w:hint="eastAsia" w:ascii="Times New Roman" w:hAnsi="Times New Roman" w:eastAsia="宋体" w:cs="Times New Roman"/>
                <w:b w:val="0"/>
                <w:bCs/>
                <w:color w:val="auto"/>
                <w:sz w:val="24"/>
                <w:szCs w:val="22"/>
              </w:rPr>
              <w:t>的浓度值小于</w:t>
            </w:r>
            <w:r>
              <w:rPr>
                <w:rFonts w:hint="eastAsia" w:cs="Times New Roman"/>
                <w:b w:val="0"/>
                <w:bCs/>
                <w:color w:val="auto"/>
                <w:sz w:val="24"/>
                <w:szCs w:val="22"/>
                <w:lang w:val="en-US" w:eastAsia="zh-CN"/>
              </w:rPr>
              <w:t>1.8</w:t>
            </w:r>
            <w:r>
              <w:rPr>
                <w:rFonts w:hint="default" w:ascii="Times New Roman" w:hAnsi="Times New Roman" w:eastAsia="宋体" w:cs="Times New Roman"/>
                <w:b w:val="0"/>
                <w:bCs/>
                <w:color w:val="auto"/>
                <w:sz w:val="24"/>
                <w:szCs w:val="22"/>
              </w:rPr>
              <w:t>μg/m</w:t>
            </w:r>
            <w:r>
              <w:rPr>
                <w:rFonts w:hint="default" w:ascii="Times New Roman" w:hAnsi="Times New Roman" w:eastAsia="宋体" w:cs="Times New Roman"/>
                <w:b w:val="0"/>
                <w:bCs/>
                <w:color w:val="auto"/>
                <w:sz w:val="24"/>
                <w:szCs w:val="22"/>
                <w:vertAlign w:val="superscript"/>
              </w:rPr>
              <w:t>3</w:t>
            </w:r>
            <w:r>
              <w:rPr>
                <w:rFonts w:hint="eastAsia" w:eastAsia="宋体" w:cs="Times New Roman"/>
                <w:b w:val="0"/>
                <w:bCs/>
                <w:color w:val="auto"/>
                <w:sz w:val="24"/>
                <w:szCs w:val="22"/>
                <w:lang w:eastAsia="zh-CN"/>
              </w:rPr>
              <w:t>，</w:t>
            </w:r>
            <w:r>
              <w:rPr>
                <w:rFonts w:hint="eastAsia" w:ascii="Times New Roman" w:hAnsi="Times New Roman" w:eastAsia="宋体" w:cs="Times New Roman"/>
                <w:b w:val="0"/>
                <w:bCs/>
                <w:color w:val="auto"/>
                <w:sz w:val="24"/>
                <w:szCs w:val="22"/>
              </w:rPr>
              <w:t>无组织</w:t>
            </w:r>
            <w:r>
              <w:rPr>
                <w:rFonts w:hint="eastAsia" w:cs="Times New Roman"/>
                <w:b w:val="0"/>
                <w:bCs/>
                <w:color w:val="auto"/>
                <w:sz w:val="24"/>
                <w:szCs w:val="22"/>
                <w:lang w:eastAsia="zh-CN"/>
              </w:rPr>
              <w:t>颗粒物（粉尘）</w:t>
            </w:r>
            <w:r>
              <w:rPr>
                <w:rFonts w:hint="eastAsia" w:ascii="Times New Roman" w:hAnsi="Times New Roman" w:eastAsia="宋体" w:cs="Times New Roman"/>
                <w:b w:val="0"/>
                <w:bCs/>
                <w:color w:val="auto"/>
                <w:sz w:val="24"/>
                <w:szCs w:val="22"/>
              </w:rPr>
              <w:t>小于</w:t>
            </w:r>
            <w:r>
              <w:rPr>
                <w:rFonts w:hint="eastAsia" w:cs="Times New Roman"/>
                <w:b w:val="0"/>
                <w:bCs/>
                <w:color w:val="auto"/>
                <w:sz w:val="24"/>
                <w:szCs w:val="22"/>
                <w:lang w:val="en-US" w:eastAsia="zh-CN"/>
              </w:rPr>
              <w:t>8.9</w:t>
            </w:r>
            <w:r>
              <w:rPr>
                <w:rFonts w:hint="default" w:ascii="Times New Roman" w:hAnsi="Times New Roman" w:eastAsia="宋体" w:cs="Times New Roman"/>
                <w:b w:val="0"/>
                <w:bCs/>
                <w:color w:val="auto"/>
                <w:sz w:val="24"/>
                <w:szCs w:val="22"/>
              </w:rPr>
              <w:t>μg/m</w:t>
            </w:r>
            <w:r>
              <w:rPr>
                <w:rFonts w:hint="default" w:ascii="Times New Roman" w:hAnsi="Times New Roman" w:eastAsia="宋体" w:cs="Times New Roman"/>
                <w:b w:val="0"/>
                <w:bCs/>
                <w:color w:val="auto"/>
                <w:sz w:val="24"/>
                <w:szCs w:val="22"/>
                <w:vertAlign w:val="superscript"/>
              </w:rPr>
              <w:t>3</w:t>
            </w:r>
            <w:r>
              <w:rPr>
                <w:rFonts w:hint="eastAsia"/>
                <w:b w:val="0"/>
                <w:bCs/>
                <w:color w:val="auto"/>
                <w:sz w:val="24"/>
                <w:lang w:eastAsia="zh-CN"/>
              </w:rPr>
              <w:t>；</w:t>
            </w:r>
            <w:r>
              <w:rPr>
                <w:rFonts w:hint="eastAsia" w:ascii="Times New Roman" w:hAnsi="Times New Roman" w:eastAsia="宋体" w:cs="Times New Roman"/>
                <w:b w:val="0"/>
                <w:bCs/>
                <w:color w:val="auto"/>
                <w:sz w:val="24"/>
                <w:szCs w:val="22"/>
              </w:rPr>
              <w:t>有组织废气</w:t>
            </w:r>
            <w:r>
              <w:rPr>
                <w:rFonts w:hint="eastAsia" w:cs="Times New Roman"/>
                <w:b w:val="0"/>
                <w:bCs/>
                <w:color w:val="auto"/>
                <w:sz w:val="24"/>
                <w:szCs w:val="22"/>
                <w:lang w:eastAsia="zh-CN"/>
              </w:rPr>
              <w:t>非甲烷总烃</w:t>
            </w:r>
            <w:r>
              <w:rPr>
                <w:rFonts w:hint="eastAsia" w:ascii="Times New Roman" w:hAnsi="Times New Roman" w:eastAsia="宋体" w:cs="Times New Roman"/>
                <w:b w:val="0"/>
                <w:bCs/>
                <w:color w:val="auto"/>
                <w:sz w:val="24"/>
                <w:szCs w:val="22"/>
              </w:rPr>
              <w:t>在</w:t>
            </w:r>
            <w:r>
              <w:rPr>
                <w:rFonts w:hint="eastAsia" w:cs="Times New Roman"/>
                <w:b w:val="0"/>
                <w:bCs/>
                <w:color w:val="auto"/>
                <w:sz w:val="24"/>
                <w:szCs w:val="22"/>
                <w:lang w:val="en-US" w:eastAsia="zh-CN"/>
              </w:rPr>
              <w:t>200</w:t>
            </w:r>
            <w:r>
              <w:rPr>
                <w:rFonts w:hint="eastAsia" w:ascii="Times New Roman" w:hAnsi="Times New Roman" w:eastAsia="宋体" w:cs="Times New Roman"/>
                <w:b w:val="0"/>
                <w:bCs/>
                <w:color w:val="auto"/>
                <w:sz w:val="24"/>
                <w:szCs w:val="22"/>
                <w:lang w:val="en-US" w:eastAsia="zh-CN"/>
              </w:rPr>
              <w:t>m</w:t>
            </w:r>
            <w:r>
              <w:rPr>
                <w:rFonts w:hint="eastAsia" w:ascii="Times New Roman" w:hAnsi="Times New Roman" w:eastAsia="宋体" w:cs="Times New Roman"/>
                <w:b w:val="0"/>
                <w:bCs/>
                <w:color w:val="auto"/>
                <w:sz w:val="24"/>
                <w:szCs w:val="22"/>
              </w:rPr>
              <w:t>的浓度值小于</w:t>
            </w:r>
            <w:r>
              <w:rPr>
                <w:rFonts w:hint="eastAsia" w:cs="Times New Roman"/>
                <w:b w:val="0"/>
                <w:bCs/>
                <w:color w:val="auto"/>
                <w:sz w:val="24"/>
                <w:szCs w:val="22"/>
                <w:lang w:val="en-US" w:eastAsia="zh-CN"/>
              </w:rPr>
              <w:t>0.2</w:t>
            </w:r>
            <w:r>
              <w:rPr>
                <w:rFonts w:hint="default" w:ascii="Times New Roman" w:hAnsi="Times New Roman" w:eastAsia="宋体" w:cs="Times New Roman"/>
                <w:b w:val="0"/>
                <w:bCs/>
                <w:color w:val="auto"/>
                <w:sz w:val="24"/>
                <w:szCs w:val="22"/>
              </w:rPr>
              <w:t>μg/m</w:t>
            </w:r>
            <w:r>
              <w:rPr>
                <w:rFonts w:hint="default" w:ascii="Times New Roman" w:hAnsi="Times New Roman" w:eastAsia="宋体" w:cs="Times New Roman"/>
                <w:b w:val="0"/>
                <w:bCs/>
                <w:color w:val="auto"/>
                <w:sz w:val="24"/>
                <w:szCs w:val="22"/>
                <w:vertAlign w:val="superscript"/>
              </w:rPr>
              <w:t>3</w:t>
            </w:r>
            <w:r>
              <w:rPr>
                <w:rFonts w:hint="eastAsia" w:eastAsia="宋体" w:cs="Times New Roman"/>
                <w:b w:val="0"/>
                <w:bCs/>
                <w:color w:val="auto"/>
                <w:sz w:val="24"/>
                <w:szCs w:val="22"/>
                <w:lang w:eastAsia="zh-CN"/>
              </w:rPr>
              <w:t>，</w:t>
            </w:r>
            <w:r>
              <w:rPr>
                <w:rFonts w:hint="eastAsia" w:ascii="Times New Roman" w:hAnsi="Times New Roman" w:eastAsia="宋体" w:cs="Times New Roman"/>
                <w:b w:val="0"/>
                <w:bCs/>
                <w:color w:val="auto"/>
                <w:sz w:val="24"/>
                <w:szCs w:val="22"/>
              </w:rPr>
              <w:t>无组织</w:t>
            </w:r>
            <w:r>
              <w:rPr>
                <w:rFonts w:hint="eastAsia" w:cs="Times New Roman"/>
                <w:b w:val="0"/>
                <w:bCs/>
                <w:color w:val="auto"/>
                <w:sz w:val="24"/>
                <w:szCs w:val="22"/>
                <w:lang w:eastAsia="zh-CN"/>
              </w:rPr>
              <w:t>非甲烷总烃</w:t>
            </w:r>
            <w:r>
              <w:rPr>
                <w:rFonts w:hint="eastAsia" w:ascii="Times New Roman" w:hAnsi="Times New Roman" w:eastAsia="宋体" w:cs="Times New Roman"/>
                <w:b w:val="0"/>
                <w:bCs/>
                <w:color w:val="auto"/>
                <w:sz w:val="24"/>
                <w:szCs w:val="22"/>
              </w:rPr>
              <w:t>小于</w:t>
            </w:r>
            <w:r>
              <w:rPr>
                <w:rFonts w:hint="eastAsia" w:cs="Times New Roman"/>
                <w:b w:val="0"/>
                <w:bCs/>
                <w:color w:val="auto"/>
                <w:sz w:val="24"/>
                <w:szCs w:val="22"/>
                <w:lang w:val="en-US" w:eastAsia="zh-CN"/>
              </w:rPr>
              <w:t>2.1</w:t>
            </w:r>
            <w:r>
              <w:rPr>
                <w:rFonts w:hint="default" w:ascii="Times New Roman" w:hAnsi="Times New Roman" w:eastAsia="宋体" w:cs="Times New Roman"/>
                <w:b w:val="0"/>
                <w:bCs/>
                <w:color w:val="auto"/>
                <w:sz w:val="24"/>
                <w:szCs w:val="22"/>
              </w:rPr>
              <w:t>μg/m</w:t>
            </w:r>
            <w:r>
              <w:rPr>
                <w:rFonts w:hint="default" w:ascii="Times New Roman" w:hAnsi="Times New Roman" w:eastAsia="宋体" w:cs="Times New Roman"/>
                <w:b w:val="0"/>
                <w:bCs/>
                <w:color w:val="auto"/>
                <w:sz w:val="24"/>
                <w:szCs w:val="22"/>
                <w:vertAlign w:val="superscript"/>
              </w:rPr>
              <w:t>3</w:t>
            </w:r>
            <w:r>
              <w:rPr>
                <w:rFonts w:hint="eastAsia"/>
                <w:b w:val="0"/>
                <w:bCs/>
                <w:color w:val="auto"/>
                <w:sz w:val="24"/>
                <w:lang w:eastAsia="zh-CN"/>
              </w:rPr>
              <w:t>，</w:t>
            </w:r>
            <w:r>
              <w:rPr>
                <w:rFonts w:hint="eastAsia"/>
                <w:b w:val="0"/>
                <w:bCs/>
                <w:color w:val="auto"/>
                <w:sz w:val="24"/>
              </w:rPr>
              <w:t>浓度值远远小于环境空气质量标准，即</w:t>
            </w:r>
            <w:r>
              <w:rPr>
                <w:rFonts w:hint="eastAsia" w:cs="Times New Roman"/>
                <w:b w:val="0"/>
                <w:bCs/>
                <w:color w:val="auto"/>
                <w:sz w:val="24"/>
                <w:szCs w:val="22"/>
                <w:lang w:eastAsia="zh-CN"/>
              </w:rPr>
              <w:t>颗粒物（粉尘）</w:t>
            </w:r>
            <w:r>
              <w:rPr>
                <w:rFonts w:hint="eastAsia"/>
                <w:b w:val="0"/>
                <w:bCs/>
                <w:color w:val="auto"/>
                <w:sz w:val="24"/>
              </w:rPr>
              <w:t>：</w:t>
            </w:r>
            <w:r>
              <w:rPr>
                <w:rFonts w:hint="eastAsia"/>
                <w:b w:val="0"/>
                <w:bCs/>
                <w:color w:val="auto"/>
                <w:sz w:val="24"/>
                <w:lang w:val="en-US" w:eastAsia="zh-CN"/>
              </w:rPr>
              <w:t>450</w:t>
            </w:r>
            <w:r>
              <w:rPr>
                <w:rFonts w:hint="default" w:ascii="Times New Roman" w:hAnsi="Times New Roman" w:eastAsia="宋体" w:cs="Times New Roman"/>
                <w:b w:val="0"/>
                <w:bCs/>
                <w:color w:val="auto"/>
                <w:sz w:val="24"/>
                <w:szCs w:val="22"/>
              </w:rPr>
              <w:t>μg/m</w:t>
            </w:r>
            <w:r>
              <w:rPr>
                <w:rFonts w:hint="default" w:ascii="Times New Roman" w:hAnsi="Times New Roman" w:eastAsia="宋体" w:cs="Times New Roman"/>
                <w:b w:val="0"/>
                <w:bCs/>
                <w:color w:val="auto"/>
                <w:sz w:val="24"/>
                <w:szCs w:val="22"/>
                <w:vertAlign w:val="superscript"/>
              </w:rPr>
              <w:t>3</w:t>
            </w:r>
            <w:r>
              <w:rPr>
                <w:rFonts w:hint="eastAsia"/>
                <w:b w:val="0"/>
                <w:bCs/>
                <w:color w:val="auto"/>
                <w:sz w:val="24"/>
                <w:lang w:eastAsia="zh-CN"/>
              </w:rPr>
              <w:t>，</w:t>
            </w:r>
            <w:r>
              <w:rPr>
                <w:rFonts w:hint="eastAsia" w:cs="Times New Roman"/>
                <w:b w:val="0"/>
                <w:bCs/>
                <w:color w:val="auto"/>
                <w:sz w:val="24"/>
                <w:szCs w:val="22"/>
                <w:lang w:eastAsia="zh-CN"/>
              </w:rPr>
              <w:t>非甲烷总烃</w:t>
            </w:r>
            <w:r>
              <w:rPr>
                <w:rFonts w:hint="eastAsia"/>
                <w:b w:val="0"/>
                <w:bCs/>
                <w:color w:val="auto"/>
                <w:sz w:val="24"/>
              </w:rPr>
              <w:t>：</w:t>
            </w:r>
            <w:r>
              <w:rPr>
                <w:rFonts w:hint="eastAsia"/>
                <w:b w:val="0"/>
                <w:bCs/>
                <w:color w:val="auto"/>
                <w:sz w:val="24"/>
                <w:lang w:val="en-US" w:eastAsia="zh-CN"/>
              </w:rPr>
              <w:t>2000</w:t>
            </w:r>
            <w:r>
              <w:rPr>
                <w:rFonts w:hint="default" w:ascii="Times New Roman" w:hAnsi="Times New Roman" w:eastAsia="宋体" w:cs="Times New Roman"/>
                <w:b w:val="0"/>
                <w:bCs/>
                <w:color w:val="auto"/>
                <w:sz w:val="24"/>
                <w:szCs w:val="22"/>
              </w:rPr>
              <w:t>μg/m</w:t>
            </w:r>
            <w:r>
              <w:rPr>
                <w:rFonts w:hint="default" w:ascii="Times New Roman" w:hAnsi="Times New Roman" w:eastAsia="宋体" w:cs="Times New Roman"/>
                <w:b w:val="0"/>
                <w:bCs/>
                <w:color w:val="auto"/>
                <w:sz w:val="24"/>
                <w:szCs w:val="22"/>
                <w:vertAlign w:val="superscript"/>
              </w:rPr>
              <w:t>3</w:t>
            </w:r>
            <w:r>
              <w:rPr>
                <w:rFonts w:hint="eastAsia"/>
                <w:b w:val="0"/>
                <w:bCs/>
                <w:color w:val="auto"/>
                <w:sz w:val="24"/>
                <w:lang w:eastAsia="zh-CN"/>
              </w:rPr>
              <w:t>。</w:t>
            </w:r>
            <w:r>
              <w:rPr>
                <w:rFonts w:hint="eastAsia"/>
                <w:b w:val="0"/>
                <w:bCs/>
                <w:color w:val="auto"/>
                <w:sz w:val="24"/>
              </w:rPr>
              <w:t>因此本项目实施后对最近环境保护目标基本无影响，对其他环境保护目标亦无影响。</w:t>
            </w:r>
          </w:p>
          <w:p>
            <w:pPr>
              <w:spacing w:line="360" w:lineRule="auto"/>
              <w:ind w:firstLine="480" w:firstLineChars="200"/>
              <w:rPr>
                <w:b/>
                <w:color w:val="auto"/>
                <w:sz w:val="24"/>
              </w:rPr>
            </w:pPr>
            <w:r>
              <w:rPr>
                <w:rFonts w:hint="eastAsia"/>
                <w:b/>
                <w:color w:val="auto"/>
                <w:sz w:val="24"/>
              </w:rPr>
              <w:t>（</w:t>
            </w:r>
            <w:r>
              <w:rPr>
                <w:rFonts w:hint="eastAsia"/>
                <w:b/>
                <w:color w:val="auto"/>
                <w:sz w:val="24"/>
                <w:lang w:val="en-US" w:eastAsia="zh-CN"/>
              </w:rPr>
              <w:t>7</w:t>
            </w:r>
            <w:r>
              <w:rPr>
                <w:rFonts w:hint="eastAsia"/>
                <w:b/>
                <w:color w:val="auto"/>
                <w:sz w:val="24"/>
              </w:rPr>
              <w:t>）大气环境影响评价自查表</w:t>
            </w:r>
          </w:p>
          <w:p>
            <w:pPr>
              <w:tabs>
                <w:tab w:val="left" w:pos="3585"/>
              </w:tabs>
              <w:spacing w:line="360" w:lineRule="auto"/>
              <w:ind w:firstLine="480" w:firstLineChars="200"/>
              <w:rPr>
                <w:bCs/>
                <w:snapToGrid w:val="0"/>
                <w:color w:val="auto"/>
                <w:kern w:val="0"/>
                <w:sz w:val="24"/>
              </w:rPr>
            </w:pPr>
            <w:r>
              <w:rPr>
                <w:rFonts w:hint="eastAsia"/>
                <w:bCs/>
                <w:snapToGrid w:val="0"/>
                <w:color w:val="auto"/>
                <w:kern w:val="0"/>
                <w:sz w:val="24"/>
              </w:rPr>
              <w:t>本项目大气环境影响评价自查表见下表。</w:t>
            </w:r>
          </w:p>
          <w:p>
            <w:pPr>
              <w:tabs>
                <w:tab w:val="left" w:pos="3585"/>
              </w:tabs>
              <w:jc w:val="center"/>
              <w:rPr>
                <w:b/>
                <w:snapToGrid w:val="0"/>
                <w:color w:val="auto"/>
                <w:kern w:val="0"/>
                <w:szCs w:val="21"/>
              </w:rPr>
            </w:pPr>
            <w:r>
              <w:rPr>
                <w:rFonts w:hint="eastAsia"/>
                <w:b/>
                <w:snapToGrid w:val="0"/>
                <w:color w:val="auto"/>
                <w:kern w:val="0"/>
                <w:szCs w:val="21"/>
              </w:rPr>
              <w:t>表7-1</w:t>
            </w:r>
            <w:r>
              <w:rPr>
                <w:rFonts w:hint="eastAsia"/>
                <w:b/>
                <w:snapToGrid w:val="0"/>
                <w:color w:val="auto"/>
                <w:kern w:val="0"/>
                <w:szCs w:val="21"/>
                <w:lang w:val="en-US" w:eastAsia="zh-CN"/>
              </w:rPr>
              <w:t>4</w:t>
            </w:r>
            <w:r>
              <w:rPr>
                <w:rFonts w:hint="eastAsia"/>
                <w:b/>
                <w:snapToGrid w:val="0"/>
                <w:color w:val="auto"/>
                <w:kern w:val="0"/>
                <w:szCs w:val="21"/>
              </w:rPr>
              <w:t xml:space="preserve">   建设项目大气环境影响评价自查表</w:t>
            </w:r>
          </w:p>
          <w:tbl>
            <w:tblPr>
              <w:tblStyle w:val="56"/>
              <w:tblW w:w="8789" w:type="dxa"/>
              <w:jc w:val="center"/>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Layout w:type="autofit"/>
              <w:tblCellMar>
                <w:top w:w="0" w:type="dxa"/>
                <w:left w:w="0" w:type="dxa"/>
                <w:bottom w:w="0" w:type="dxa"/>
                <w:right w:w="0" w:type="dxa"/>
              </w:tblCellMar>
            </w:tblPr>
            <w:tblGrid>
              <w:gridCol w:w="856"/>
              <w:gridCol w:w="1487"/>
              <w:gridCol w:w="928"/>
              <w:gridCol w:w="344"/>
              <w:gridCol w:w="107"/>
              <w:gridCol w:w="242"/>
              <w:gridCol w:w="118"/>
              <w:gridCol w:w="114"/>
              <w:gridCol w:w="574"/>
              <w:gridCol w:w="337"/>
              <w:gridCol w:w="150"/>
              <w:gridCol w:w="120"/>
              <w:gridCol w:w="79"/>
              <w:gridCol w:w="950"/>
              <w:gridCol w:w="200"/>
              <w:gridCol w:w="365"/>
              <w:gridCol w:w="267"/>
              <w:gridCol w:w="78"/>
              <w:gridCol w:w="360"/>
              <w:gridCol w:w="436"/>
              <w:gridCol w:w="677"/>
            </w:tblGrid>
            <w:tr>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0" w:type="dxa"/>
                  <w:left w:w="0" w:type="dxa"/>
                  <w:bottom w:w="0" w:type="dxa"/>
                  <w:right w:w="0" w:type="dxa"/>
                </w:tblCellMar>
              </w:tblPrEx>
              <w:trPr>
                <w:trHeight w:val="454" w:hRule="atLeast"/>
                <w:jc w:val="center"/>
              </w:trPr>
              <w:tc>
                <w:tcPr>
                  <w:tcW w:w="2343" w:type="dxa"/>
                  <w:gridSpan w:val="2"/>
                  <w:vAlign w:val="center"/>
                </w:tcPr>
                <w:p>
                  <w:pPr>
                    <w:adjustRightInd w:val="0"/>
                    <w:snapToGrid w:val="0"/>
                    <w:jc w:val="center"/>
                    <w:rPr>
                      <w:color w:val="auto"/>
                      <w:sz w:val="18"/>
                      <w:szCs w:val="18"/>
                    </w:rPr>
                  </w:pPr>
                  <w:r>
                    <w:rPr>
                      <w:color w:val="auto"/>
                      <w:sz w:val="18"/>
                      <w:szCs w:val="18"/>
                    </w:rPr>
                    <w:t>工作内容</w:t>
                  </w:r>
                </w:p>
              </w:tc>
              <w:tc>
                <w:tcPr>
                  <w:tcW w:w="6446" w:type="dxa"/>
                  <w:gridSpan w:val="19"/>
                  <w:vAlign w:val="center"/>
                </w:tcPr>
                <w:p>
                  <w:pPr>
                    <w:adjustRightInd w:val="0"/>
                    <w:snapToGrid w:val="0"/>
                    <w:jc w:val="center"/>
                    <w:rPr>
                      <w:color w:val="auto"/>
                      <w:sz w:val="18"/>
                      <w:szCs w:val="18"/>
                    </w:rPr>
                  </w:pPr>
                  <w:r>
                    <w:rPr>
                      <w:color w:val="auto"/>
                      <w:sz w:val="18"/>
                      <w:szCs w:val="18"/>
                    </w:rPr>
                    <w:t>自查项目</w:t>
                  </w:r>
                </w:p>
              </w:tc>
            </w:tr>
            <w:tr>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0" w:type="dxa"/>
                  <w:left w:w="0" w:type="dxa"/>
                  <w:bottom w:w="0" w:type="dxa"/>
                  <w:right w:w="0" w:type="dxa"/>
                </w:tblCellMar>
              </w:tblPrEx>
              <w:trPr>
                <w:trHeight w:val="454" w:hRule="atLeast"/>
                <w:jc w:val="center"/>
              </w:trPr>
              <w:tc>
                <w:tcPr>
                  <w:tcW w:w="856" w:type="dxa"/>
                  <w:vMerge w:val="restart"/>
                  <w:vAlign w:val="center"/>
                </w:tcPr>
                <w:p>
                  <w:pPr>
                    <w:adjustRightInd w:val="0"/>
                    <w:snapToGrid w:val="0"/>
                    <w:jc w:val="center"/>
                    <w:rPr>
                      <w:color w:val="auto"/>
                      <w:sz w:val="18"/>
                      <w:szCs w:val="18"/>
                    </w:rPr>
                  </w:pPr>
                  <w:r>
                    <w:rPr>
                      <w:color w:val="auto"/>
                      <w:sz w:val="18"/>
                      <w:szCs w:val="18"/>
                    </w:rPr>
                    <w:t>评价等级与 范围</w:t>
                  </w:r>
                </w:p>
              </w:tc>
              <w:tc>
                <w:tcPr>
                  <w:tcW w:w="1487" w:type="dxa"/>
                  <w:vAlign w:val="center"/>
                </w:tcPr>
                <w:p>
                  <w:pPr>
                    <w:adjustRightInd w:val="0"/>
                    <w:snapToGrid w:val="0"/>
                    <w:jc w:val="center"/>
                    <w:rPr>
                      <w:color w:val="auto"/>
                      <w:sz w:val="18"/>
                      <w:szCs w:val="18"/>
                    </w:rPr>
                  </w:pPr>
                  <w:r>
                    <w:rPr>
                      <w:color w:val="auto"/>
                      <w:sz w:val="18"/>
                      <w:szCs w:val="18"/>
                    </w:rPr>
                    <w:t>评价等级</w:t>
                  </w:r>
                </w:p>
              </w:tc>
              <w:tc>
                <w:tcPr>
                  <w:tcW w:w="2427" w:type="dxa"/>
                  <w:gridSpan w:val="7"/>
                  <w:vAlign w:val="center"/>
                </w:tcPr>
                <w:p>
                  <w:pPr>
                    <w:adjustRightInd w:val="0"/>
                    <w:snapToGrid w:val="0"/>
                    <w:jc w:val="center"/>
                    <w:rPr>
                      <w:color w:val="auto"/>
                      <w:sz w:val="18"/>
                      <w:szCs w:val="18"/>
                    </w:rPr>
                  </w:pPr>
                  <w:r>
                    <w:rPr>
                      <w:color w:val="auto"/>
                      <w:sz w:val="18"/>
                      <w:szCs w:val="18"/>
                    </w:rPr>
                    <w:t>一级□</w:t>
                  </w:r>
                </w:p>
              </w:tc>
              <w:tc>
                <w:tcPr>
                  <w:tcW w:w="2546" w:type="dxa"/>
                  <w:gridSpan w:val="9"/>
                  <w:vAlign w:val="center"/>
                </w:tcPr>
                <w:p>
                  <w:pPr>
                    <w:adjustRightInd w:val="0"/>
                    <w:snapToGrid w:val="0"/>
                    <w:jc w:val="center"/>
                    <w:rPr>
                      <w:color w:val="auto"/>
                      <w:sz w:val="18"/>
                      <w:szCs w:val="18"/>
                    </w:rPr>
                  </w:pPr>
                  <w:r>
                    <w:rPr>
                      <w:color w:val="auto"/>
                      <w:sz w:val="18"/>
                      <w:szCs w:val="18"/>
                    </w:rPr>
                    <w:t>二级√</w:t>
                  </w:r>
                </w:p>
              </w:tc>
              <w:tc>
                <w:tcPr>
                  <w:tcW w:w="1473" w:type="dxa"/>
                  <w:gridSpan w:val="3"/>
                  <w:vAlign w:val="center"/>
                </w:tcPr>
                <w:p>
                  <w:pPr>
                    <w:adjustRightInd w:val="0"/>
                    <w:snapToGrid w:val="0"/>
                    <w:jc w:val="center"/>
                    <w:rPr>
                      <w:color w:val="auto"/>
                      <w:sz w:val="18"/>
                      <w:szCs w:val="18"/>
                    </w:rPr>
                  </w:pPr>
                  <w:r>
                    <w:rPr>
                      <w:color w:val="auto"/>
                      <w:sz w:val="18"/>
                      <w:szCs w:val="18"/>
                    </w:rPr>
                    <w:t>三级□</w:t>
                  </w:r>
                </w:p>
              </w:tc>
            </w:tr>
            <w:tr>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0" w:type="dxa"/>
                  <w:left w:w="0" w:type="dxa"/>
                  <w:bottom w:w="0" w:type="dxa"/>
                  <w:right w:w="0" w:type="dxa"/>
                </w:tblCellMar>
              </w:tblPrEx>
              <w:trPr>
                <w:trHeight w:val="454" w:hRule="atLeast"/>
                <w:jc w:val="center"/>
              </w:trPr>
              <w:tc>
                <w:tcPr>
                  <w:tcW w:w="856" w:type="dxa"/>
                  <w:vMerge w:val="continue"/>
                  <w:vAlign w:val="center"/>
                </w:tcPr>
                <w:p>
                  <w:pPr>
                    <w:adjustRightInd w:val="0"/>
                    <w:snapToGrid w:val="0"/>
                    <w:jc w:val="center"/>
                    <w:rPr>
                      <w:color w:val="auto"/>
                      <w:sz w:val="18"/>
                      <w:szCs w:val="18"/>
                    </w:rPr>
                  </w:pPr>
                </w:p>
              </w:tc>
              <w:tc>
                <w:tcPr>
                  <w:tcW w:w="1487" w:type="dxa"/>
                  <w:vAlign w:val="center"/>
                </w:tcPr>
                <w:p>
                  <w:pPr>
                    <w:adjustRightInd w:val="0"/>
                    <w:snapToGrid w:val="0"/>
                    <w:jc w:val="center"/>
                    <w:rPr>
                      <w:color w:val="auto"/>
                      <w:sz w:val="18"/>
                      <w:szCs w:val="18"/>
                    </w:rPr>
                  </w:pPr>
                  <w:r>
                    <w:rPr>
                      <w:color w:val="auto"/>
                      <w:sz w:val="18"/>
                      <w:szCs w:val="18"/>
                    </w:rPr>
                    <w:t>评价范围</w:t>
                  </w:r>
                </w:p>
              </w:tc>
              <w:tc>
                <w:tcPr>
                  <w:tcW w:w="2427" w:type="dxa"/>
                  <w:gridSpan w:val="7"/>
                  <w:vAlign w:val="center"/>
                </w:tcPr>
                <w:p>
                  <w:pPr>
                    <w:adjustRightInd w:val="0"/>
                    <w:snapToGrid w:val="0"/>
                    <w:jc w:val="center"/>
                    <w:rPr>
                      <w:color w:val="auto"/>
                      <w:sz w:val="18"/>
                      <w:szCs w:val="18"/>
                    </w:rPr>
                  </w:pPr>
                  <w:r>
                    <w:rPr>
                      <w:color w:val="auto"/>
                      <w:sz w:val="18"/>
                      <w:szCs w:val="18"/>
                    </w:rPr>
                    <w:t>边长=50km□</w:t>
                  </w:r>
                </w:p>
              </w:tc>
              <w:tc>
                <w:tcPr>
                  <w:tcW w:w="2546" w:type="dxa"/>
                  <w:gridSpan w:val="9"/>
                  <w:vAlign w:val="center"/>
                </w:tcPr>
                <w:p>
                  <w:pPr>
                    <w:adjustRightInd w:val="0"/>
                    <w:snapToGrid w:val="0"/>
                    <w:jc w:val="center"/>
                    <w:rPr>
                      <w:color w:val="auto"/>
                      <w:sz w:val="18"/>
                      <w:szCs w:val="18"/>
                    </w:rPr>
                  </w:pPr>
                  <w:r>
                    <w:rPr>
                      <w:color w:val="auto"/>
                      <w:sz w:val="18"/>
                      <w:szCs w:val="18"/>
                    </w:rPr>
                    <w:t>边长5～50km□</w:t>
                  </w:r>
                </w:p>
              </w:tc>
              <w:tc>
                <w:tcPr>
                  <w:tcW w:w="1473" w:type="dxa"/>
                  <w:gridSpan w:val="3"/>
                  <w:vAlign w:val="center"/>
                </w:tcPr>
                <w:p>
                  <w:pPr>
                    <w:adjustRightInd w:val="0"/>
                    <w:snapToGrid w:val="0"/>
                    <w:jc w:val="center"/>
                    <w:rPr>
                      <w:color w:val="auto"/>
                      <w:sz w:val="18"/>
                      <w:szCs w:val="18"/>
                    </w:rPr>
                  </w:pPr>
                  <w:r>
                    <w:rPr>
                      <w:color w:val="auto"/>
                      <w:sz w:val="18"/>
                      <w:szCs w:val="18"/>
                    </w:rPr>
                    <w:t>边长=5km√</w:t>
                  </w:r>
                </w:p>
              </w:tc>
            </w:tr>
            <w:tr>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0" w:type="dxa"/>
                  <w:left w:w="0" w:type="dxa"/>
                  <w:bottom w:w="0" w:type="dxa"/>
                  <w:right w:w="0" w:type="dxa"/>
                </w:tblCellMar>
              </w:tblPrEx>
              <w:trPr>
                <w:trHeight w:val="454" w:hRule="atLeast"/>
                <w:jc w:val="center"/>
              </w:trPr>
              <w:tc>
                <w:tcPr>
                  <w:tcW w:w="856" w:type="dxa"/>
                  <w:vMerge w:val="restart"/>
                  <w:vAlign w:val="center"/>
                </w:tcPr>
                <w:p>
                  <w:pPr>
                    <w:adjustRightInd w:val="0"/>
                    <w:snapToGrid w:val="0"/>
                    <w:jc w:val="center"/>
                    <w:rPr>
                      <w:color w:val="auto"/>
                      <w:sz w:val="18"/>
                      <w:szCs w:val="18"/>
                    </w:rPr>
                  </w:pPr>
                  <w:r>
                    <w:rPr>
                      <w:color w:val="auto"/>
                      <w:sz w:val="18"/>
                      <w:szCs w:val="18"/>
                    </w:rPr>
                    <w:t>评价因子</w:t>
                  </w:r>
                </w:p>
              </w:tc>
              <w:tc>
                <w:tcPr>
                  <w:tcW w:w="1487" w:type="dxa"/>
                  <w:vAlign w:val="center"/>
                </w:tcPr>
                <w:p>
                  <w:pPr>
                    <w:adjustRightInd w:val="0"/>
                    <w:snapToGrid w:val="0"/>
                    <w:jc w:val="center"/>
                    <w:rPr>
                      <w:color w:val="auto"/>
                      <w:sz w:val="18"/>
                      <w:szCs w:val="18"/>
                    </w:rPr>
                  </w:pPr>
                  <w:r>
                    <w:rPr>
                      <w:color w:val="auto"/>
                      <w:sz w:val="18"/>
                      <w:szCs w:val="18"/>
                    </w:rPr>
                    <w:t>SO</w:t>
                  </w:r>
                  <w:r>
                    <w:rPr>
                      <w:color w:val="auto"/>
                      <w:sz w:val="18"/>
                      <w:szCs w:val="18"/>
                      <w:vertAlign w:val="subscript"/>
                    </w:rPr>
                    <w:t xml:space="preserve">2 </w:t>
                  </w:r>
                  <w:r>
                    <w:rPr>
                      <w:color w:val="auto"/>
                      <w:sz w:val="18"/>
                      <w:szCs w:val="18"/>
                    </w:rPr>
                    <w:t>+NOx 排放量</w:t>
                  </w:r>
                </w:p>
              </w:tc>
              <w:tc>
                <w:tcPr>
                  <w:tcW w:w="1272" w:type="dxa"/>
                  <w:gridSpan w:val="2"/>
                  <w:vAlign w:val="center"/>
                </w:tcPr>
                <w:p>
                  <w:pPr>
                    <w:adjustRightInd w:val="0"/>
                    <w:snapToGrid w:val="0"/>
                    <w:jc w:val="center"/>
                    <w:rPr>
                      <w:color w:val="auto"/>
                      <w:sz w:val="18"/>
                      <w:szCs w:val="18"/>
                    </w:rPr>
                  </w:pPr>
                  <w:r>
                    <w:rPr>
                      <w:color w:val="auto"/>
                      <w:sz w:val="18"/>
                      <w:szCs w:val="18"/>
                    </w:rPr>
                    <w:t>≥ 2000t/a□</w:t>
                  </w:r>
                </w:p>
              </w:tc>
              <w:tc>
                <w:tcPr>
                  <w:tcW w:w="3701" w:type="dxa"/>
                  <w:gridSpan w:val="14"/>
                  <w:vAlign w:val="center"/>
                </w:tcPr>
                <w:p>
                  <w:pPr>
                    <w:adjustRightInd w:val="0"/>
                    <w:snapToGrid w:val="0"/>
                    <w:jc w:val="center"/>
                    <w:rPr>
                      <w:color w:val="auto"/>
                      <w:sz w:val="18"/>
                      <w:szCs w:val="18"/>
                    </w:rPr>
                  </w:pPr>
                  <w:r>
                    <w:rPr>
                      <w:color w:val="auto"/>
                      <w:sz w:val="18"/>
                      <w:szCs w:val="18"/>
                    </w:rPr>
                    <w:t>500 ~ 2000t/a□</w:t>
                  </w:r>
                </w:p>
              </w:tc>
              <w:tc>
                <w:tcPr>
                  <w:tcW w:w="1473" w:type="dxa"/>
                  <w:gridSpan w:val="3"/>
                  <w:vAlign w:val="center"/>
                </w:tcPr>
                <w:p>
                  <w:pPr>
                    <w:adjustRightInd w:val="0"/>
                    <w:snapToGrid w:val="0"/>
                    <w:jc w:val="center"/>
                    <w:rPr>
                      <w:color w:val="auto"/>
                      <w:sz w:val="18"/>
                      <w:szCs w:val="18"/>
                    </w:rPr>
                  </w:pPr>
                  <w:r>
                    <w:rPr>
                      <w:color w:val="auto"/>
                      <w:sz w:val="18"/>
                      <w:szCs w:val="18"/>
                    </w:rPr>
                    <w:t>＜500 t/a√</w:t>
                  </w:r>
                </w:p>
              </w:tc>
            </w:tr>
            <w:tr>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0" w:type="dxa"/>
                  <w:left w:w="0" w:type="dxa"/>
                  <w:bottom w:w="0" w:type="dxa"/>
                  <w:right w:w="0" w:type="dxa"/>
                </w:tblCellMar>
              </w:tblPrEx>
              <w:trPr>
                <w:trHeight w:val="454" w:hRule="atLeast"/>
                <w:jc w:val="center"/>
              </w:trPr>
              <w:tc>
                <w:tcPr>
                  <w:tcW w:w="856" w:type="dxa"/>
                  <w:vMerge w:val="continue"/>
                  <w:vAlign w:val="center"/>
                </w:tcPr>
                <w:p>
                  <w:pPr>
                    <w:adjustRightInd w:val="0"/>
                    <w:snapToGrid w:val="0"/>
                    <w:jc w:val="center"/>
                    <w:rPr>
                      <w:color w:val="auto"/>
                      <w:sz w:val="18"/>
                      <w:szCs w:val="18"/>
                    </w:rPr>
                  </w:pPr>
                </w:p>
              </w:tc>
              <w:tc>
                <w:tcPr>
                  <w:tcW w:w="1487" w:type="dxa"/>
                  <w:vAlign w:val="center"/>
                </w:tcPr>
                <w:p>
                  <w:pPr>
                    <w:adjustRightInd w:val="0"/>
                    <w:snapToGrid w:val="0"/>
                    <w:jc w:val="center"/>
                    <w:rPr>
                      <w:color w:val="auto"/>
                      <w:sz w:val="18"/>
                      <w:szCs w:val="18"/>
                    </w:rPr>
                  </w:pPr>
                  <w:r>
                    <w:rPr>
                      <w:color w:val="auto"/>
                      <w:sz w:val="18"/>
                      <w:szCs w:val="18"/>
                    </w:rPr>
                    <w:t>评价因子</w:t>
                  </w:r>
                </w:p>
              </w:tc>
              <w:tc>
                <w:tcPr>
                  <w:tcW w:w="3113" w:type="dxa"/>
                  <w:gridSpan w:val="11"/>
                  <w:vAlign w:val="center"/>
                </w:tcPr>
                <w:p>
                  <w:pPr>
                    <w:adjustRightInd w:val="0"/>
                    <w:snapToGrid w:val="0"/>
                    <w:jc w:val="center"/>
                    <w:rPr>
                      <w:color w:val="auto"/>
                      <w:sz w:val="18"/>
                      <w:szCs w:val="18"/>
                    </w:rPr>
                  </w:pPr>
                  <w:r>
                    <w:rPr>
                      <w:color w:val="auto"/>
                      <w:sz w:val="18"/>
                      <w:szCs w:val="18"/>
                    </w:rPr>
                    <w:t xml:space="preserve">基本污染物 </w:t>
                  </w:r>
                  <w:r>
                    <w:rPr>
                      <w:rFonts w:hint="eastAsia"/>
                      <w:color w:val="auto"/>
                      <w:sz w:val="18"/>
                      <w:szCs w:val="18"/>
                    </w:rPr>
                    <w:t>（PM</w:t>
                  </w:r>
                  <w:r>
                    <w:rPr>
                      <w:rFonts w:hint="eastAsia"/>
                      <w:color w:val="auto"/>
                      <w:sz w:val="18"/>
                      <w:szCs w:val="18"/>
                      <w:vertAlign w:val="subscript"/>
                    </w:rPr>
                    <w:t>2.5</w:t>
                  </w:r>
                  <w:r>
                    <w:rPr>
                      <w:rFonts w:hint="eastAsia"/>
                      <w:color w:val="auto"/>
                      <w:sz w:val="18"/>
                      <w:szCs w:val="18"/>
                    </w:rPr>
                    <w:t>、PM</w:t>
                  </w:r>
                  <w:r>
                    <w:rPr>
                      <w:rFonts w:hint="eastAsia"/>
                      <w:color w:val="auto"/>
                      <w:sz w:val="18"/>
                      <w:szCs w:val="18"/>
                      <w:vertAlign w:val="subscript"/>
                    </w:rPr>
                    <w:t>10</w:t>
                  </w:r>
                  <w:r>
                    <w:rPr>
                      <w:rFonts w:hint="eastAsia"/>
                      <w:color w:val="auto"/>
                      <w:sz w:val="18"/>
                      <w:szCs w:val="18"/>
                    </w:rPr>
                    <w:t>、SO</w:t>
                  </w:r>
                  <w:r>
                    <w:rPr>
                      <w:rFonts w:hint="eastAsia"/>
                      <w:color w:val="auto"/>
                      <w:sz w:val="18"/>
                      <w:szCs w:val="18"/>
                      <w:vertAlign w:val="subscript"/>
                    </w:rPr>
                    <w:t>2</w:t>
                  </w:r>
                  <w:r>
                    <w:rPr>
                      <w:rFonts w:hint="eastAsia"/>
                      <w:color w:val="auto"/>
                      <w:sz w:val="18"/>
                      <w:szCs w:val="18"/>
                    </w:rPr>
                    <w:t>、NO</w:t>
                  </w:r>
                  <w:r>
                    <w:rPr>
                      <w:rFonts w:hint="eastAsia"/>
                      <w:color w:val="auto"/>
                      <w:sz w:val="18"/>
                      <w:szCs w:val="18"/>
                      <w:vertAlign w:val="subscript"/>
                    </w:rPr>
                    <w:t>2</w:t>
                  </w:r>
                  <w:r>
                    <w:rPr>
                      <w:rFonts w:hint="eastAsia"/>
                      <w:color w:val="auto"/>
                      <w:sz w:val="18"/>
                      <w:szCs w:val="18"/>
                    </w:rPr>
                    <w:t>、CO、O</w:t>
                  </w:r>
                  <w:r>
                    <w:rPr>
                      <w:rFonts w:hint="eastAsia"/>
                      <w:color w:val="auto"/>
                      <w:sz w:val="18"/>
                      <w:szCs w:val="18"/>
                      <w:vertAlign w:val="subscript"/>
                    </w:rPr>
                    <w:t>3</w:t>
                  </w:r>
                  <w:r>
                    <w:rPr>
                      <w:rFonts w:hint="eastAsia"/>
                      <w:color w:val="auto"/>
                      <w:sz w:val="18"/>
                      <w:szCs w:val="18"/>
                    </w:rPr>
                    <w:t>）</w:t>
                  </w:r>
                </w:p>
                <w:p>
                  <w:pPr>
                    <w:adjustRightInd w:val="0"/>
                    <w:snapToGrid w:val="0"/>
                    <w:jc w:val="center"/>
                    <w:rPr>
                      <w:color w:val="auto"/>
                      <w:sz w:val="18"/>
                      <w:szCs w:val="18"/>
                    </w:rPr>
                  </w:pPr>
                  <w:r>
                    <w:rPr>
                      <w:color w:val="auto"/>
                      <w:sz w:val="18"/>
                      <w:szCs w:val="18"/>
                    </w:rPr>
                    <w:t>其他污染物 (</w:t>
                  </w:r>
                  <w:r>
                    <w:rPr>
                      <w:rFonts w:hint="eastAsia"/>
                      <w:color w:val="auto"/>
                      <w:sz w:val="18"/>
                      <w:szCs w:val="18"/>
                      <w:lang w:eastAsia="zh-CN"/>
                    </w:rPr>
                    <w:t>非甲烷总烃</w:t>
                  </w:r>
                  <w:r>
                    <w:rPr>
                      <w:color w:val="auto"/>
                      <w:sz w:val="18"/>
                      <w:szCs w:val="18"/>
                    </w:rPr>
                    <w:t>)</w:t>
                  </w:r>
                </w:p>
              </w:tc>
              <w:tc>
                <w:tcPr>
                  <w:tcW w:w="3333" w:type="dxa"/>
                  <w:gridSpan w:val="8"/>
                  <w:vAlign w:val="center"/>
                </w:tcPr>
                <w:p>
                  <w:pPr>
                    <w:adjustRightInd w:val="0"/>
                    <w:snapToGrid w:val="0"/>
                    <w:jc w:val="center"/>
                    <w:rPr>
                      <w:color w:val="auto"/>
                      <w:sz w:val="18"/>
                      <w:szCs w:val="18"/>
                    </w:rPr>
                  </w:pPr>
                  <w:r>
                    <w:rPr>
                      <w:color w:val="auto"/>
                      <w:sz w:val="18"/>
                      <w:szCs w:val="18"/>
                    </w:rPr>
                    <w:t>包括二次 PM</w:t>
                  </w:r>
                  <w:r>
                    <w:rPr>
                      <w:color w:val="auto"/>
                      <w:sz w:val="18"/>
                      <w:szCs w:val="18"/>
                      <w:vertAlign w:val="subscript"/>
                    </w:rPr>
                    <w:t>2.5</w:t>
                  </w:r>
                  <w:r>
                    <w:rPr>
                      <w:color w:val="auto"/>
                      <w:sz w:val="18"/>
                      <w:szCs w:val="18"/>
                    </w:rPr>
                    <w:t>□</w:t>
                  </w:r>
                </w:p>
                <w:p>
                  <w:pPr>
                    <w:adjustRightInd w:val="0"/>
                    <w:snapToGrid w:val="0"/>
                    <w:jc w:val="center"/>
                    <w:rPr>
                      <w:color w:val="auto"/>
                      <w:sz w:val="18"/>
                      <w:szCs w:val="18"/>
                    </w:rPr>
                  </w:pPr>
                  <w:r>
                    <w:rPr>
                      <w:color w:val="auto"/>
                      <w:sz w:val="18"/>
                      <w:szCs w:val="18"/>
                    </w:rPr>
                    <w:t>不包括二次 PM</w:t>
                  </w:r>
                  <w:r>
                    <w:rPr>
                      <w:color w:val="auto"/>
                      <w:sz w:val="18"/>
                      <w:szCs w:val="18"/>
                      <w:vertAlign w:val="subscript"/>
                    </w:rPr>
                    <w:t>2.5</w:t>
                  </w:r>
                  <w:r>
                    <w:rPr>
                      <w:color w:val="auto"/>
                      <w:sz w:val="18"/>
                      <w:szCs w:val="18"/>
                    </w:rPr>
                    <w:t>√</w:t>
                  </w:r>
                </w:p>
              </w:tc>
            </w:tr>
            <w:tr>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0" w:type="dxa"/>
                  <w:left w:w="0" w:type="dxa"/>
                  <w:bottom w:w="0" w:type="dxa"/>
                  <w:right w:w="0" w:type="dxa"/>
                </w:tblCellMar>
              </w:tblPrEx>
              <w:trPr>
                <w:trHeight w:val="454" w:hRule="atLeast"/>
                <w:jc w:val="center"/>
              </w:trPr>
              <w:tc>
                <w:tcPr>
                  <w:tcW w:w="856" w:type="dxa"/>
                  <w:vAlign w:val="center"/>
                </w:tcPr>
                <w:p>
                  <w:pPr>
                    <w:adjustRightInd w:val="0"/>
                    <w:snapToGrid w:val="0"/>
                    <w:jc w:val="center"/>
                    <w:rPr>
                      <w:color w:val="auto"/>
                      <w:sz w:val="18"/>
                      <w:szCs w:val="18"/>
                    </w:rPr>
                  </w:pPr>
                  <w:r>
                    <w:rPr>
                      <w:color w:val="auto"/>
                      <w:sz w:val="18"/>
                      <w:szCs w:val="18"/>
                    </w:rPr>
                    <w:t>评价标准</w:t>
                  </w:r>
                </w:p>
              </w:tc>
              <w:tc>
                <w:tcPr>
                  <w:tcW w:w="1487" w:type="dxa"/>
                  <w:vAlign w:val="center"/>
                </w:tcPr>
                <w:p>
                  <w:pPr>
                    <w:adjustRightInd w:val="0"/>
                    <w:snapToGrid w:val="0"/>
                    <w:jc w:val="center"/>
                    <w:rPr>
                      <w:color w:val="auto"/>
                      <w:sz w:val="18"/>
                      <w:szCs w:val="18"/>
                    </w:rPr>
                  </w:pPr>
                  <w:r>
                    <w:rPr>
                      <w:color w:val="auto"/>
                      <w:sz w:val="18"/>
                      <w:szCs w:val="18"/>
                    </w:rPr>
                    <w:t>评价标准</w:t>
                  </w:r>
                </w:p>
              </w:tc>
              <w:tc>
                <w:tcPr>
                  <w:tcW w:w="1853" w:type="dxa"/>
                  <w:gridSpan w:val="6"/>
                  <w:vAlign w:val="center"/>
                </w:tcPr>
                <w:p>
                  <w:pPr>
                    <w:adjustRightInd w:val="0"/>
                    <w:snapToGrid w:val="0"/>
                    <w:jc w:val="center"/>
                    <w:rPr>
                      <w:color w:val="auto"/>
                      <w:sz w:val="18"/>
                      <w:szCs w:val="18"/>
                    </w:rPr>
                  </w:pPr>
                  <w:r>
                    <w:rPr>
                      <w:color w:val="auto"/>
                      <w:sz w:val="18"/>
                      <w:szCs w:val="18"/>
                    </w:rPr>
                    <w:t>国家标准</w:t>
                  </w:r>
                  <w:r>
                    <w:rPr>
                      <w:color w:val="auto"/>
                      <w:sz w:val="18"/>
                      <w:szCs w:val="18"/>
                    </w:rPr>
                    <w:sym w:font="Wingdings 2" w:char="0052"/>
                  </w:r>
                </w:p>
              </w:tc>
              <w:tc>
                <w:tcPr>
                  <w:tcW w:w="1260" w:type="dxa"/>
                  <w:gridSpan w:val="5"/>
                  <w:vAlign w:val="center"/>
                </w:tcPr>
                <w:p>
                  <w:pPr>
                    <w:adjustRightInd w:val="0"/>
                    <w:snapToGrid w:val="0"/>
                    <w:jc w:val="center"/>
                    <w:rPr>
                      <w:color w:val="auto"/>
                      <w:sz w:val="18"/>
                      <w:szCs w:val="18"/>
                    </w:rPr>
                  </w:pPr>
                  <w:r>
                    <w:rPr>
                      <w:color w:val="auto"/>
                      <w:sz w:val="18"/>
                      <w:szCs w:val="18"/>
                    </w:rPr>
                    <w:t xml:space="preserve">地方标准 </w:t>
                  </w:r>
                  <w:r>
                    <w:rPr>
                      <w:color w:val="auto"/>
                      <w:sz w:val="18"/>
                      <w:szCs w:val="18"/>
                    </w:rPr>
                    <w:sym w:font="Wingdings 2" w:char="0052"/>
                  </w:r>
                </w:p>
              </w:tc>
              <w:tc>
                <w:tcPr>
                  <w:tcW w:w="2220" w:type="dxa"/>
                  <w:gridSpan w:val="6"/>
                  <w:vAlign w:val="center"/>
                </w:tcPr>
                <w:p>
                  <w:pPr>
                    <w:adjustRightInd w:val="0"/>
                    <w:snapToGrid w:val="0"/>
                    <w:jc w:val="center"/>
                    <w:rPr>
                      <w:color w:val="auto"/>
                      <w:sz w:val="18"/>
                      <w:szCs w:val="18"/>
                    </w:rPr>
                  </w:pPr>
                  <w:r>
                    <w:rPr>
                      <w:color w:val="auto"/>
                      <w:sz w:val="18"/>
                      <w:szCs w:val="18"/>
                    </w:rPr>
                    <w:t>附录 D</w:t>
                  </w:r>
                  <w:r>
                    <w:rPr>
                      <w:color w:val="auto"/>
                      <w:sz w:val="18"/>
                      <w:szCs w:val="18"/>
                    </w:rPr>
                    <w:sym w:font="Wingdings 2" w:char="0052"/>
                  </w:r>
                </w:p>
              </w:tc>
              <w:tc>
                <w:tcPr>
                  <w:tcW w:w="1113" w:type="dxa"/>
                  <w:gridSpan w:val="2"/>
                  <w:vAlign w:val="center"/>
                </w:tcPr>
                <w:p>
                  <w:pPr>
                    <w:adjustRightInd w:val="0"/>
                    <w:snapToGrid w:val="0"/>
                    <w:jc w:val="center"/>
                    <w:rPr>
                      <w:color w:val="auto"/>
                      <w:sz w:val="18"/>
                      <w:szCs w:val="18"/>
                    </w:rPr>
                  </w:pPr>
                  <w:r>
                    <w:rPr>
                      <w:color w:val="auto"/>
                      <w:sz w:val="18"/>
                      <w:szCs w:val="18"/>
                    </w:rPr>
                    <w:t>其他标准</w:t>
                  </w:r>
                  <w:r>
                    <w:rPr>
                      <w:color w:val="auto"/>
                      <w:sz w:val="18"/>
                      <w:szCs w:val="18"/>
                    </w:rPr>
                    <w:sym w:font="Wingdings 2" w:char="00A3"/>
                  </w:r>
                  <w:r>
                    <w:rPr>
                      <w:color w:val="auto"/>
                      <w:sz w:val="18"/>
                      <w:szCs w:val="18"/>
                    </w:rPr>
                    <w:t xml:space="preserve"> </w:t>
                  </w:r>
                </w:p>
              </w:tc>
            </w:tr>
            <w:tr>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0" w:type="dxa"/>
                  <w:left w:w="0" w:type="dxa"/>
                  <w:bottom w:w="0" w:type="dxa"/>
                  <w:right w:w="0" w:type="dxa"/>
                </w:tblCellMar>
              </w:tblPrEx>
              <w:trPr>
                <w:trHeight w:val="454" w:hRule="atLeast"/>
                <w:jc w:val="center"/>
              </w:trPr>
              <w:tc>
                <w:tcPr>
                  <w:tcW w:w="856" w:type="dxa"/>
                  <w:vMerge w:val="restart"/>
                  <w:vAlign w:val="center"/>
                </w:tcPr>
                <w:p>
                  <w:pPr>
                    <w:adjustRightInd w:val="0"/>
                    <w:snapToGrid w:val="0"/>
                    <w:jc w:val="center"/>
                    <w:rPr>
                      <w:color w:val="auto"/>
                      <w:sz w:val="18"/>
                      <w:szCs w:val="18"/>
                    </w:rPr>
                  </w:pPr>
                  <w:r>
                    <w:rPr>
                      <w:color w:val="auto"/>
                      <w:sz w:val="18"/>
                      <w:szCs w:val="18"/>
                    </w:rPr>
                    <w:t>现状评价</w:t>
                  </w:r>
                </w:p>
              </w:tc>
              <w:tc>
                <w:tcPr>
                  <w:tcW w:w="1487" w:type="dxa"/>
                  <w:vAlign w:val="center"/>
                </w:tcPr>
                <w:p>
                  <w:pPr>
                    <w:adjustRightInd w:val="0"/>
                    <w:snapToGrid w:val="0"/>
                    <w:jc w:val="center"/>
                    <w:rPr>
                      <w:color w:val="auto"/>
                      <w:sz w:val="18"/>
                      <w:szCs w:val="18"/>
                    </w:rPr>
                  </w:pPr>
                  <w:r>
                    <w:rPr>
                      <w:color w:val="auto"/>
                      <w:sz w:val="18"/>
                      <w:szCs w:val="18"/>
                    </w:rPr>
                    <w:t>环境功能区</w:t>
                  </w:r>
                </w:p>
              </w:tc>
              <w:tc>
                <w:tcPr>
                  <w:tcW w:w="2427" w:type="dxa"/>
                  <w:gridSpan w:val="7"/>
                  <w:vAlign w:val="center"/>
                </w:tcPr>
                <w:p>
                  <w:pPr>
                    <w:adjustRightInd w:val="0"/>
                    <w:snapToGrid w:val="0"/>
                    <w:jc w:val="center"/>
                    <w:rPr>
                      <w:color w:val="auto"/>
                      <w:sz w:val="18"/>
                      <w:szCs w:val="18"/>
                    </w:rPr>
                  </w:pPr>
                  <w:r>
                    <w:rPr>
                      <w:color w:val="auto"/>
                      <w:sz w:val="18"/>
                      <w:szCs w:val="18"/>
                    </w:rPr>
                    <w:t>一类区</w:t>
                  </w:r>
                  <w:r>
                    <w:rPr>
                      <w:color w:val="auto"/>
                      <w:sz w:val="18"/>
                      <w:szCs w:val="18"/>
                    </w:rPr>
                    <w:sym w:font="Wingdings 2" w:char="00A3"/>
                  </w:r>
                </w:p>
              </w:tc>
              <w:tc>
                <w:tcPr>
                  <w:tcW w:w="2468" w:type="dxa"/>
                  <w:gridSpan w:val="8"/>
                  <w:vAlign w:val="center"/>
                </w:tcPr>
                <w:p>
                  <w:pPr>
                    <w:adjustRightInd w:val="0"/>
                    <w:snapToGrid w:val="0"/>
                    <w:jc w:val="center"/>
                    <w:rPr>
                      <w:color w:val="auto"/>
                      <w:sz w:val="18"/>
                      <w:szCs w:val="18"/>
                    </w:rPr>
                  </w:pPr>
                  <w:r>
                    <w:rPr>
                      <w:color w:val="auto"/>
                      <w:sz w:val="18"/>
                      <w:szCs w:val="18"/>
                    </w:rPr>
                    <w:t>二类区</w:t>
                  </w:r>
                  <w:r>
                    <w:rPr>
                      <w:color w:val="auto"/>
                      <w:sz w:val="18"/>
                      <w:szCs w:val="18"/>
                    </w:rPr>
                    <w:sym w:font="Wingdings 2" w:char="0052"/>
                  </w:r>
                </w:p>
              </w:tc>
              <w:tc>
                <w:tcPr>
                  <w:tcW w:w="1551" w:type="dxa"/>
                  <w:gridSpan w:val="4"/>
                  <w:vAlign w:val="center"/>
                </w:tcPr>
                <w:p>
                  <w:pPr>
                    <w:adjustRightInd w:val="0"/>
                    <w:snapToGrid w:val="0"/>
                    <w:jc w:val="center"/>
                    <w:rPr>
                      <w:color w:val="auto"/>
                      <w:sz w:val="18"/>
                      <w:szCs w:val="18"/>
                    </w:rPr>
                  </w:pPr>
                  <w:r>
                    <w:rPr>
                      <w:color w:val="auto"/>
                      <w:sz w:val="18"/>
                      <w:szCs w:val="18"/>
                    </w:rPr>
                    <w:t>一类区和二类区</w:t>
                  </w:r>
                  <w:r>
                    <w:rPr>
                      <w:color w:val="auto"/>
                      <w:sz w:val="18"/>
                      <w:szCs w:val="18"/>
                    </w:rPr>
                    <w:sym w:font="Wingdings 2" w:char="00A3"/>
                  </w:r>
                </w:p>
              </w:tc>
            </w:tr>
            <w:tr>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0" w:type="dxa"/>
                  <w:left w:w="0" w:type="dxa"/>
                  <w:bottom w:w="0" w:type="dxa"/>
                  <w:right w:w="0" w:type="dxa"/>
                </w:tblCellMar>
              </w:tblPrEx>
              <w:trPr>
                <w:trHeight w:val="454" w:hRule="atLeast"/>
                <w:jc w:val="center"/>
              </w:trPr>
              <w:tc>
                <w:tcPr>
                  <w:tcW w:w="856" w:type="dxa"/>
                  <w:vMerge w:val="continue"/>
                  <w:vAlign w:val="center"/>
                </w:tcPr>
                <w:p>
                  <w:pPr>
                    <w:adjustRightInd w:val="0"/>
                    <w:snapToGrid w:val="0"/>
                    <w:jc w:val="center"/>
                    <w:rPr>
                      <w:color w:val="auto"/>
                      <w:sz w:val="18"/>
                      <w:szCs w:val="18"/>
                    </w:rPr>
                  </w:pPr>
                </w:p>
              </w:tc>
              <w:tc>
                <w:tcPr>
                  <w:tcW w:w="1487" w:type="dxa"/>
                  <w:vAlign w:val="center"/>
                </w:tcPr>
                <w:p>
                  <w:pPr>
                    <w:adjustRightInd w:val="0"/>
                    <w:snapToGrid w:val="0"/>
                    <w:jc w:val="center"/>
                    <w:rPr>
                      <w:color w:val="auto"/>
                      <w:sz w:val="18"/>
                      <w:szCs w:val="18"/>
                    </w:rPr>
                  </w:pPr>
                  <w:r>
                    <w:rPr>
                      <w:color w:val="auto"/>
                      <w:sz w:val="18"/>
                      <w:szCs w:val="18"/>
                    </w:rPr>
                    <w:t>评价基准年</w:t>
                  </w:r>
                </w:p>
              </w:tc>
              <w:tc>
                <w:tcPr>
                  <w:tcW w:w="6446" w:type="dxa"/>
                  <w:gridSpan w:val="19"/>
                  <w:vAlign w:val="center"/>
                </w:tcPr>
                <w:p>
                  <w:pPr>
                    <w:adjustRightInd w:val="0"/>
                    <w:snapToGrid w:val="0"/>
                    <w:jc w:val="center"/>
                    <w:rPr>
                      <w:color w:val="auto"/>
                      <w:sz w:val="18"/>
                      <w:szCs w:val="18"/>
                    </w:rPr>
                  </w:pPr>
                  <w:r>
                    <w:rPr>
                      <w:color w:val="auto"/>
                      <w:sz w:val="18"/>
                      <w:szCs w:val="18"/>
                    </w:rPr>
                    <w:t>（</w:t>
                  </w:r>
                  <w:r>
                    <w:rPr>
                      <w:rFonts w:hint="eastAsia"/>
                      <w:color w:val="auto"/>
                      <w:sz w:val="18"/>
                      <w:szCs w:val="18"/>
                    </w:rPr>
                    <w:t>2019</w:t>
                  </w:r>
                  <w:r>
                    <w:rPr>
                      <w:color w:val="auto"/>
                      <w:sz w:val="18"/>
                      <w:szCs w:val="18"/>
                    </w:rPr>
                    <w:t>）年</w:t>
                  </w:r>
                </w:p>
              </w:tc>
            </w:tr>
            <w:tr>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0" w:type="dxa"/>
                  <w:left w:w="0" w:type="dxa"/>
                  <w:bottom w:w="0" w:type="dxa"/>
                  <w:right w:w="0" w:type="dxa"/>
                </w:tblCellMar>
              </w:tblPrEx>
              <w:trPr>
                <w:trHeight w:val="454" w:hRule="atLeast"/>
                <w:jc w:val="center"/>
              </w:trPr>
              <w:tc>
                <w:tcPr>
                  <w:tcW w:w="856" w:type="dxa"/>
                  <w:vMerge w:val="continue"/>
                  <w:vAlign w:val="center"/>
                </w:tcPr>
                <w:p>
                  <w:pPr>
                    <w:adjustRightInd w:val="0"/>
                    <w:snapToGrid w:val="0"/>
                    <w:jc w:val="center"/>
                    <w:rPr>
                      <w:color w:val="auto"/>
                      <w:sz w:val="18"/>
                      <w:szCs w:val="18"/>
                    </w:rPr>
                  </w:pPr>
                </w:p>
              </w:tc>
              <w:tc>
                <w:tcPr>
                  <w:tcW w:w="1487" w:type="dxa"/>
                  <w:vAlign w:val="center"/>
                </w:tcPr>
                <w:p>
                  <w:pPr>
                    <w:adjustRightInd w:val="0"/>
                    <w:snapToGrid w:val="0"/>
                    <w:jc w:val="center"/>
                    <w:rPr>
                      <w:color w:val="auto"/>
                      <w:sz w:val="18"/>
                      <w:szCs w:val="18"/>
                    </w:rPr>
                  </w:pPr>
                  <w:r>
                    <w:rPr>
                      <w:color w:val="auto"/>
                      <w:sz w:val="18"/>
                      <w:szCs w:val="18"/>
                    </w:rPr>
                    <w:t>环境空气质量</w:t>
                  </w:r>
                </w:p>
                <w:p>
                  <w:pPr>
                    <w:adjustRightInd w:val="0"/>
                    <w:snapToGrid w:val="0"/>
                    <w:jc w:val="center"/>
                    <w:rPr>
                      <w:color w:val="auto"/>
                      <w:sz w:val="18"/>
                      <w:szCs w:val="18"/>
                    </w:rPr>
                  </w:pPr>
                  <w:r>
                    <w:rPr>
                      <w:color w:val="auto"/>
                      <w:sz w:val="18"/>
                      <w:szCs w:val="18"/>
                    </w:rPr>
                    <w:t>现状调查数据来源</w:t>
                  </w:r>
                </w:p>
              </w:tc>
              <w:tc>
                <w:tcPr>
                  <w:tcW w:w="2427" w:type="dxa"/>
                  <w:gridSpan w:val="7"/>
                  <w:vAlign w:val="center"/>
                </w:tcPr>
                <w:p>
                  <w:pPr>
                    <w:adjustRightInd w:val="0"/>
                    <w:snapToGrid w:val="0"/>
                    <w:jc w:val="center"/>
                    <w:rPr>
                      <w:color w:val="auto"/>
                      <w:sz w:val="18"/>
                      <w:szCs w:val="18"/>
                    </w:rPr>
                  </w:pPr>
                  <w:r>
                    <w:rPr>
                      <w:color w:val="auto"/>
                      <w:sz w:val="18"/>
                      <w:szCs w:val="18"/>
                    </w:rPr>
                    <w:t>长期例行监测数据□</w:t>
                  </w:r>
                </w:p>
              </w:tc>
              <w:tc>
                <w:tcPr>
                  <w:tcW w:w="2546" w:type="dxa"/>
                  <w:gridSpan w:val="9"/>
                  <w:vAlign w:val="center"/>
                </w:tcPr>
                <w:p>
                  <w:pPr>
                    <w:adjustRightInd w:val="0"/>
                    <w:snapToGrid w:val="0"/>
                    <w:jc w:val="center"/>
                    <w:rPr>
                      <w:color w:val="auto"/>
                      <w:sz w:val="18"/>
                      <w:szCs w:val="18"/>
                    </w:rPr>
                  </w:pPr>
                  <w:r>
                    <w:rPr>
                      <w:color w:val="auto"/>
                      <w:sz w:val="18"/>
                      <w:szCs w:val="18"/>
                    </w:rPr>
                    <w:t>主管部门发布的数据√</w:t>
                  </w:r>
                </w:p>
              </w:tc>
              <w:tc>
                <w:tcPr>
                  <w:tcW w:w="1473" w:type="dxa"/>
                  <w:gridSpan w:val="3"/>
                  <w:vAlign w:val="center"/>
                </w:tcPr>
                <w:p>
                  <w:pPr>
                    <w:adjustRightInd w:val="0"/>
                    <w:snapToGrid w:val="0"/>
                    <w:jc w:val="center"/>
                    <w:rPr>
                      <w:color w:val="auto"/>
                      <w:sz w:val="18"/>
                      <w:szCs w:val="18"/>
                    </w:rPr>
                  </w:pPr>
                  <w:r>
                    <w:rPr>
                      <w:color w:val="auto"/>
                      <w:sz w:val="18"/>
                      <w:szCs w:val="18"/>
                    </w:rPr>
                    <w:t>现状补充监测</w:t>
                  </w:r>
                  <w:r>
                    <w:rPr>
                      <w:color w:val="auto"/>
                      <w:sz w:val="18"/>
                      <w:szCs w:val="18"/>
                    </w:rPr>
                    <w:sym w:font="Wingdings 2" w:char="0052"/>
                  </w:r>
                </w:p>
              </w:tc>
            </w:tr>
            <w:tr>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0" w:type="dxa"/>
                  <w:left w:w="0" w:type="dxa"/>
                  <w:bottom w:w="0" w:type="dxa"/>
                  <w:right w:w="0" w:type="dxa"/>
                </w:tblCellMar>
              </w:tblPrEx>
              <w:trPr>
                <w:trHeight w:val="454" w:hRule="atLeast"/>
                <w:jc w:val="center"/>
              </w:trPr>
              <w:tc>
                <w:tcPr>
                  <w:tcW w:w="856" w:type="dxa"/>
                  <w:vMerge w:val="continue"/>
                  <w:vAlign w:val="center"/>
                </w:tcPr>
                <w:p>
                  <w:pPr>
                    <w:adjustRightInd w:val="0"/>
                    <w:snapToGrid w:val="0"/>
                    <w:jc w:val="center"/>
                    <w:rPr>
                      <w:color w:val="auto"/>
                      <w:sz w:val="18"/>
                      <w:szCs w:val="18"/>
                    </w:rPr>
                  </w:pPr>
                </w:p>
              </w:tc>
              <w:tc>
                <w:tcPr>
                  <w:tcW w:w="1487" w:type="dxa"/>
                  <w:vAlign w:val="center"/>
                </w:tcPr>
                <w:p>
                  <w:pPr>
                    <w:adjustRightInd w:val="0"/>
                    <w:snapToGrid w:val="0"/>
                    <w:jc w:val="center"/>
                    <w:rPr>
                      <w:color w:val="auto"/>
                      <w:sz w:val="18"/>
                      <w:szCs w:val="18"/>
                    </w:rPr>
                  </w:pPr>
                  <w:r>
                    <w:rPr>
                      <w:color w:val="auto"/>
                      <w:sz w:val="18"/>
                      <w:szCs w:val="18"/>
                    </w:rPr>
                    <w:t>现状评价</w:t>
                  </w:r>
                </w:p>
              </w:tc>
              <w:tc>
                <w:tcPr>
                  <w:tcW w:w="3113" w:type="dxa"/>
                  <w:gridSpan w:val="11"/>
                  <w:vAlign w:val="center"/>
                </w:tcPr>
                <w:p>
                  <w:pPr>
                    <w:adjustRightInd w:val="0"/>
                    <w:snapToGrid w:val="0"/>
                    <w:jc w:val="center"/>
                    <w:rPr>
                      <w:color w:val="auto"/>
                      <w:sz w:val="18"/>
                      <w:szCs w:val="18"/>
                    </w:rPr>
                  </w:pPr>
                  <w:r>
                    <w:rPr>
                      <w:color w:val="auto"/>
                      <w:sz w:val="18"/>
                      <w:szCs w:val="18"/>
                    </w:rPr>
                    <w:t>达标区□</w:t>
                  </w:r>
                </w:p>
              </w:tc>
              <w:tc>
                <w:tcPr>
                  <w:tcW w:w="3333" w:type="dxa"/>
                  <w:gridSpan w:val="8"/>
                  <w:vAlign w:val="center"/>
                </w:tcPr>
                <w:p>
                  <w:pPr>
                    <w:adjustRightInd w:val="0"/>
                    <w:snapToGrid w:val="0"/>
                    <w:jc w:val="center"/>
                    <w:rPr>
                      <w:color w:val="auto"/>
                      <w:sz w:val="18"/>
                      <w:szCs w:val="18"/>
                    </w:rPr>
                  </w:pPr>
                  <w:r>
                    <w:rPr>
                      <w:color w:val="auto"/>
                      <w:sz w:val="18"/>
                      <w:szCs w:val="18"/>
                    </w:rPr>
                    <w:t>不达标区√</w:t>
                  </w:r>
                </w:p>
              </w:tc>
            </w:tr>
            <w:tr>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0" w:type="dxa"/>
                  <w:left w:w="0" w:type="dxa"/>
                  <w:bottom w:w="0" w:type="dxa"/>
                  <w:right w:w="0" w:type="dxa"/>
                </w:tblCellMar>
              </w:tblPrEx>
              <w:trPr>
                <w:trHeight w:val="454" w:hRule="atLeast"/>
                <w:jc w:val="center"/>
              </w:trPr>
              <w:tc>
                <w:tcPr>
                  <w:tcW w:w="856" w:type="dxa"/>
                  <w:vAlign w:val="center"/>
                </w:tcPr>
                <w:p>
                  <w:pPr>
                    <w:adjustRightInd w:val="0"/>
                    <w:snapToGrid w:val="0"/>
                    <w:jc w:val="center"/>
                    <w:rPr>
                      <w:color w:val="auto"/>
                      <w:sz w:val="18"/>
                      <w:szCs w:val="18"/>
                    </w:rPr>
                  </w:pPr>
                  <w:r>
                    <w:rPr>
                      <w:color w:val="auto"/>
                      <w:sz w:val="18"/>
                      <w:szCs w:val="18"/>
                    </w:rPr>
                    <w:t>污染源调查</w:t>
                  </w:r>
                </w:p>
              </w:tc>
              <w:tc>
                <w:tcPr>
                  <w:tcW w:w="1487" w:type="dxa"/>
                  <w:vAlign w:val="center"/>
                </w:tcPr>
                <w:p>
                  <w:pPr>
                    <w:adjustRightInd w:val="0"/>
                    <w:snapToGrid w:val="0"/>
                    <w:jc w:val="center"/>
                    <w:rPr>
                      <w:color w:val="auto"/>
                      <w:sz w:val="18"/>
                      <w:szCs w:val="18"/>
                    </w:rPr>
                  </w:pPr>
                  <w:r>
                    <w:rPr>
                      <w:color w:val="auto"/>
                      <w:sz w:val="18"/>
                      <w:szCs w:val="18"/>
                    </w:rPr>
                    <w:t>调查内容</w:t>
                  </w:r>
                </w:p>
              </w:tc>
              <w:tc>
                <w:tcPr>
                  <w:tcW w:w="1853" w:type="dxa"/>
                  <w:gridSpan w:val="6"/>
                  <w:vAlign w:val="center"/>
                </w:tcPr>
                <w:p>
                  <w:pPr>
                    <w:adjustRightInd w:val="0"/>
                    <w:snapToGrid w:val="0"/>
                    <w:rPr>
                      <w:color w:val="auto"/>
                      <w:sz w:val="18"/>
                      <w:szCs w:val="18"/>
                    </w:rPr>
                  </w:pPr>
                  <w:r>
                    <w:rPr>
                      <w:color w:val="auto"/>
                      <w:sz w:val="18"/>
                      <w:szCs w:val="18"/>
                    </w:rPr>
                    <w:t>本项目正常排放源 √</w:t>
                  </w:r>
                </w:p>
                <w:p>
                  <w:pPr>
                    <w:adjustRightInd w:val="0"/>
                    <w:snapToGrid w:val="0"/>
                    <w:rPr>
                      <w:color w:val="auto"/>
                      <w:sz w:val="18"/>
                      <w:szCs w:val="18"/>
                    </w:rPr>
                  </w:pPr>
                  <w:r>
                    <w:rPr>
                      <w:color w:val="auto"/>
                      <w:sz w:val="18"/>
                      <w:szCs w:val="18"/>
                    </w:rPr>
                    <w:t>本项目非正常排放源□</w:t>
                  </w:r>
                </w:p>
                <w:p>
                  <w:pPr>
                    <w:adjustRightInd w:val="0"/>
                    <w:snapToGrid w:val="0"/>
                    <w:rPr>
                      <w:color w:val="auto"/>
                      <w:sz w:val="18"/>
                      <w:szCs w:val="18"/>
                    </w:rPr>
                  </w:pPr>
                  <w:r>
                    <w:rPr>
                      <w:color w:val="auto"/>
                      <w:sz w:val="18"/>
                      <w:szCs w:val="18"/>
                    </w:rPr>
                    <w:t xml:space="preserve">现有污染源□ </w:t>
                  </w:r>
                </w:p>
              </w:tc>
              <w:tc>
                <w:tcPr>
                  <w:tcW w:w="1260" w:type="dxa"/>
                  <w:gridSpan w:val="5"/>
                  <w:vAlign w:val="center"/>
                </w:tcPr>
                <w:p>
                  <w:pPr>
                    <w:adjustRightInd w:val="0"/>
                    <w:snapToGrid w:val="0"/>
                    <w:jc w:val="center"/>
                    <w:rPr>
                      <w:color w:val="auto"/>
                      <w:sz w:val="18"/>
                      <w:szCs w:val="18"/>
                    </w:rPr>
                  </w:pPr>
                  <w:r>
                    <w:rPr>
                      <w:color w:val="auto"/>
                      <w:sz w:val="18"/>
                      <w:szCs w:val="18"/>
                    </w:rPr>
                    <w:t>拟替代的污染源□</w:t>
                  </w:r>
                </w:p>
              </w:tc>
              <w:tc>
                <w:tcPr>
                  <w:tcW w:w="2220" w:type="dxa"/>
                  <w:gridSpan w:val="6"/>
                  <w:vAlign w:val="center"/>
                </w:tcPr>
                <w:p>
                  <w:pPr>
                    <w:adjustRightInd w:val="0"/>
                    <w:snapToGrid w:val="0"/>
                    <w:jc w:val="center"/>
                    <w:rPr>
                      <w:color w:val="auto"/>
                      <w:sz w:val="18"/>
                      <w:szCs w:val="18"/>
                    </w:rPr>
                  </w:pPr>
                  <w:r>
                    <w:rPr>
                      <w:color w:val="auto"/>
                      <w:sz w:val="18"/>
                      <w:szCs w:val="18"/>
                    </w:rPr>
                    <w:t>其他在建、拟建项目 污染源□</w:t>
                  </w:r>
                </w:p>
              </w:tc>
              <w:tc>
                <w:tcPr>
                  <w:tcW w:w="1113" w:type="dxa"/>
                  <w:gridSpan w:val="2"/>
                  <w:vAlign w:val="center"/>
                </w:tcPr>
                <w:p>
                  <w:pPr>
                    <w:adjustRightInd w:val="0"/>
                    <w:snapToGrid w:val="0"/>
                    <w:jc w:val="center"/>
                    <w:rPr>
                      <w:color w:val="auto"/>
                      <w:sz w:val="18"/>
                      <w:szCs w:val="18"/>
                    </w:rPr>
                  </w:pPr>
                  <w:r>
                    <w:rPr>
                      <w:color w:val="auto"/>
                      <w:sz w:val="18"/>
                      <w:szCs w:val="18"/>
                    </w:rPr>
                    <w:t>区域污染源□</w:t>
                  </w:r>
                </w:p>
              </w:tc>
            </w:tr>
            <w:tr>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0" w:type="dxa"/>
                  <w:left w:w="0" w:type="dxa"/>
                  <w:bottom w:w="0" w:type="dxa"/>
                  <w:right w:w="0" w:type="dxa"/>
                </w:tblCellMar>
              </w:tblPrEx>
              <w:trPr>
                <w:trHeight w:val="454" w:hRule="atLeast"/>
                <w:jc w:val="center"/>
              </w:trPr>
              <w:tc>
                <w:tcPr>
                  <w:tcW w:w="856" w:type="dxa"/>
                  <w:vMerge w:val="restart"/>
                  <w:vAlign w:val="center"/>
                </w:tcPr>
                <w:p>
                  <w:pPr>
                    <w:adjustRightInd w:val="0"/>
                    <w:snapToGrid w:val="0"/>
                    <w:jc w:val="center"/>
                    <w:rPr>
                      <w:color w:val="auto"/>
                      <w:sz w:val="18"/>
                      <w:szCs w:val="18"/>
                    </w:rPr>
                  </w:pPr>
                  <w:r>
                    <w:rPr>
                      <w:color w:val="auto"/>
                      <w:sz w:val="18"/>
                      <w:szCs w:val="18"/>
                    </w:rPr>
                    <w:t>大气环境影响预测与评价</w:t>
                  </w:r>
                </w:p>
              </w:tc>
              <w:tc>
                <w:tcPr>
                  <w:tcW w:w="1487" w:type="dxa"/>
                  <w:vAlign w:val="center"/>
                </w:tcPr>
                <w:p>
                  <w:pPr>
                    <w:adjustRightInd w:val="0"/>
                    <w:snapToGrid w:val="0"/>
                    <w:jc w:val="center"/>
                    <w:rPr>
                      <w:color w:val="auto"/>
                      <w:sz w:val="18"/>
                      <w:szCs w:val="18"/>
                    </w:rPr>
                  </w:pPr>
                  <w:r>
                    <w:rPr>
                      <w:color w:val="auto"/>
                      <w:sz w:val="18"/>
                      <w:szCs w:val="18"/>
                    </w:rPr>
                    <w:t>预测模型</w:t>
                  </w:r>
                </w:p>
              </w:tc>
              <w:tc>
                <w:tcPr>
                  <w:tcW w:w="928" w:type="dxa"/>
                  <w:vAlign w:val="center"/>
                </w:tcPr>
                <w:p>
                  <w:pPr>
                    <w:adjustRightInd w:val="0"/>
                    <w:snapToGrid w:val="0"/>
                    <w:jc w:val="center"/>
                    <w:rPr>
                      <w:color w:val="auto"/>
                      <w:sz w:val="18"/>
                      <w:szCs w:val="18"/>
                    </w:rPr>
                  </w:pPr>
                  <w:r>
                    <w:rPr>
                      <w:color w:val="auto"/>
                      <w:sz w:val="18"/>
                      <w:szCs w:val="18"/>
                    </w:rPr>
                    <w:t>AERMOD</w:t>
                  </w:r>
                </w:p>
                <w:p>
                  <w:pPr>
                    <w:adjustRightInd w:val="0"/>
                    <w:snapToGrid w:val="0"/>
                    <w:jc w:val="center"/>
                    <w:rPr>
                      <w:color w:val="auto"/>
                      <w:sz w:val="18"/>
                      <w:szCs w:val="18"/>
                    </w:rPr>
                  </w:pPr>
                  <w:r>
                    <w:rPr>
                      <w:color w:val="auto"/>
                      <w:sz w:val="18"/>
                      <w:szCs w:val="18"/>
                    </w:rPr>
                    <w:t>□</w:t>
                  </w:r>
                </w:p>
              </w:tc>
              <w:tc>
                <w:tcPr>
                  <w:tcW w:w="811" w:type="dxa"/>
                  <w:gridSpan w:val="4"/>
                  <w:vAlign w:val="center"/>
                </w:tcPr>
                <w:p>
                  <w:pPr>
                    <w:adjustRightInd w:val="0"/>
                    <w:snapToGrid w:val="0"/>
                    <w:jc w:val="center"/>
                    <w:rPr>
                      <w:color w:val="auto"/>
                      <w:sz w:val="18"/>
                      <w:szCs w:val="18"/>
                    </w:rPr>
                  </w:pPr>
                  <w:r>
                    <w:rPr>
                      <w:color w:val="auto"/>
                      <w:sz w:val="18"/>
                      <w:szCs w:val="18"/>
                    </w:rPr>
                    <w:t>ADMS</w:t>
                  </w:r>
                </w:p>
                <w:p>
                  <w:pPr>
                    <w:adjustRightInd w:val="0"/>
                    <w:snapToGrid w:val="0"/>
                    <w:jc w:val="center"/>
                    <w:rPr>
                      <w:color w:val="auto"/>
                      <w:sz w:val="18"/>
                      <w:szCs w:val="18"/>
                    </w:rPr>
                  </w:pPr>
                  <w:r>
                    <w:rPr>
                      <w:color w:val="auto"/>
                      <w:sz w:val="18"/>
                      <w:szCs w:val="18"/>
                    </w:rPr>
                    <w:t>□</w:t>
                  </w:r>
                </w:p>
              </w:tc>
              <w:tc>
                <w:tcPr>
                  <w:tcW w:w="1175" w:type="dxa"/>
                  <w:gridSpan w:val="4"/>
                  <w:vAlign w:val="center"/>
                </w:tcPr>
                <w:p>
                  <w:pPr>
                    <w:adjustRightInd w:val="0"/>
                    <w:snapToGrid w:val="0"/>
                    <w:jc w:val="center"/>
                    <w:rPr>
                      <w:color w:val="auto"/>
                      <w:sz w:val="18"/>
                      <w:szCs w:val="18"/>
                    </w:rPr>
                  </w:pPr>
                  <w:r>
                    <w:rPr>
                      <w:color w:val="auto"/>
                      <w:sz w:val="18"/>
                      <w:szCs w:val="18"/>
                    </w:rPr>
                    <w:t>AUSTAL2000□</w:t>
                  </w:r>
                </w:p>
              </w:tc>
              <w:tc>
                <w:tcPr>
                  <w:tcW w:w="1149" w:type="dxa"/>
                  <w:gridSpan w:val="3"/>
                  <w:vAlign w:val="center"/>
                </w:tcPr>
                <w:p>
                  <w:pPr>
                    <w:adjustRightInd w:val="0"/>
                    <w:snapToGrid w:val="0"/>
                    <w:jc w:val="center"/>
                    <w:rPr>
                      <w:color w:val="auto"/>
                      <w:sz w:val="18"/>
                      <w:szCs w:val="18"/>
                    </w:rPr>
                  </w:pPr>
                  <w:r>
                    <w:rPr>
                      <w:color w:val="auto"/>
                      <w:sz w:val="18"/>
                      <w:szCs w:val="18"/>
                    </w:rPr>
                    <w:t>EDMS/AEDT□</w:t>
                  </w:r>
                </w:p>
              </w:tc>
              <w:tc>
                <w:tcPr>
                  <w:tcW w:w="910" w:type="dxa"/>
                  <w:gridSpan w:val="4"/>
                  <w:vAlign w:val="center"/>
                </w:tcPr>
                <w:p>
                  <w:pPr>
                    <w:adjustRightInd w:val="0"/>
                    <w:snapToGrid w:val="0"/>
                    <w:jc w:val="center"/>
                    <w:rPr>
                      <w:color w:val="auto"/>
                      <w:sz w:val="18"/>
                      <w:szCs w:val="18"/>
                    </w:rPr>
                  </w:pPr>
                  <w:r>
                    <w:rPr>
                      <w:color w:val="auto"/>
                      <w:sz w:val="18"/>
                      <w:szCs w:val="18"/>
                    </w:rPr>
                    <w:t>CALPUFF□</w:t>
                  </w:r>
                </w:p>
              </w:tc>
              <w:tc>
                <w:tcPr>
                  <w:tcW w:w="796" w:type="dxa"/>
                  <w:gridSpan w:val="2"/>
                  <w:vAlign w:val="center"/>
                </w:tcPr>
                <w:p>
                  <w:pPr>
                    <w:adjustRightInd w:val="0"/>
                    <w:snapToGrid w:val="0"/>
                    <w:jc w:val="center"/>
                    <w:rPr>
                      <w:color w:val="auto"/>
                      <w:sz w:val="18"/>
                      <w:szCs w:val="18"/>
                    </w:rPr>
                  </w:pPr>
                  <w:r>
                    <w:rPr>
                      <w:color w:val="auto"/>
                      <w:sz w:val="18"/>
                      <w:szCs w:val="18"/>
                    </w:rPr>
                    <w:t>网格模型</w:t>
                  </w:r>
                </w:p>
                <w:p>
                  <w:pPr>
                    <w:adjustRightInd w:val="0"/>
                    <w:snapToGrid w:val="0"/>
                    <w:jc w:val="center"/>
                    <w:rPr>
                      <w:color w:val="auto"/>
                      <w:sz w:val="18"/>
                      <w:szCs w:val="18"/>
                    </w:rPr>
                  </w:pPr>
                  <w:r>
                    <w:rPr>
                      <w:color w:val="auto"/>
                      <w:sz w:val="18"/>
                      <w:szCs w:val="18"/>
                    </w:rPr>
                    <w:t>□</w:t>
                  </w:r>
                </w:p>
              </w:tc>
              <w:tc>
                <w:tcPr>
                  <w:tcW w:w="677" w:type="dxa"/>
                  <w:vAlign w:val="center"/>
                </w:tcPr>
                <w:p>
                  <w:pPr>
                    <w:adjustRightInd w:val="0"/>
                    <w:snapToGrid w:val="0"/>
                    <w:jc w:val="center"/>
                    <w:rPr>
                      <w:color w:val="auto"/>
                      <w:sz w:val="18"/>
                      <w:szCs w:val="18"/>
                    </w:rPr>
                  </w:pPr>
                  <w:r>
                    <w:rPr>
                      <w:color w:val="auto"/>
                      <w:sz w:val="18"/>
                      <w:szCs w:val="18"/>
                    </w:rPr>
                    <w:t>其他</w:t>
                  </w:r>
                </w:p>
                <w:p>
                  <w:pPr>
                    <w:adjustRightInd w:val="0"/>
                    <w:snapToGrid w:val="0"/>
                    <w:jc w:val="center"/>
                    <w:rPr>
                      <w:color w:val="auto"/>
                      <w:sz w:val="18"/>
                      <w:szCs w:val="18"/>
                    </w:rPr>
                  </w:pPr>
                  <w:r>
                    <w:rPr>
                      <w:color w:val="auto"/>
                      <w:sz w:val="18"/>
                      <w:szCs w:val="18"/>
                    </w:rPr>
                    <w:sym w:font="Wingdings 2" w:char="0052"/>
                  </w:r>
                </w:p>
              </w:tc>
            </w:tr>
            <w:tr>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0" w:type="dxa"/>
                  <w:left w:w="0" w:type="dxa"/>
                  <w:bottom w:w="0" w:type="dxa"/>
                  <w:right w:w="0" w:type="dxa"/>
                </w:tblCellMar>
              </w:tblPrEx>
              <w:trPr>
                <w:trHeight w:val="454" w:hRule="atLeast"/>
                <w:jc w:val="center"/>
              </w:trPr>
              <w:tc>
                <w:tcPr>
                  <w:tcW w:w="856" w:type="dxa"/>
                  <w:vMerge w:val="continue"/>
                  <w:vAlign w:val="center"/>
                </w:tcPr>
                <w:p>
                  <w:pPr>
                    <w:adjustRightInd w:val="0"/>
                    <w:snapToGrid w:val="0"/>
                    <w:jc w:val="center"/>
                    <w:rPr>
                      <w:color w:val="auto"/>
                      <w:sz w:val="18"/>
                      <w:szCs w:val="18"/>
                    </w:rPr>
                  </w:pPr>
                </w:p>
              </w:tc>
              <w:tc>
                <w:tcPr>
                  <w:tcW w:w="1487" w:type="dxa"/>
                  <w:vAlign w:val="center"/>
                </w:tcPr>
                <w:p>
                  <w:pPr>
                    <w:adjustRightInd w:val="0"/>
                    <w:snapToGrid w:val="0"/>
                    <w:jc w:val="center"/>
                    <w:rPr>
                      <w:color w:val="auto"/>
                      <w:sz w:val="18"/>
                      <w:szCs w:val="18"/>
                    </w:rPr>
                  </w:pPr>
                  <w:r>
                    <w:rPr>
                      <w:color w:val="auto"/>
                      <w:sz w:val="18"/>
                      <w:szCs w:val="18"/>
                    </w:rPr>
                    <w:t>预测范围</w:t>
                  </w:r>
                </w:p>
              </w:tc>
              <w:tc>
                <w:tcPr>
                  <w:tcW w:w="1739" w:type="dxa"/>
                  <w:gridSpan w:val="5"/>
                  <w:vAlign w:val="center"/>
                </w:tcPr>
                <w:p>
                  <w:pPr>
                    <w:adjustRightInd w:val="0"/>
                    <w:snapToGrid w:val="0"/>
                    <w:jc w:val="center"/>
                    <w:rPr>
                      <w:color w:val="auto"/>
                      <w:sz w:val="18"/>
                      <w:szCs w:val="18"/>
                    </w:rPr>
                  </w:pPr>
                  <w:r>
                    <w:rPr>
                      <w:color w:val="auto"/>
                      <w:sz w:val="18"/>
                      <w:szCs w:val="18"/>
                    </w:rPr>
                    <w:t>边长≥ 50km□</w:t>
                  </w:r>
                </w:p>
              </w:tc>
              <w:tc>
                <w:tcPr>
                  <w:tcW w:w="3234" w:type="dxa"/>
                  <w:gridSpan w:val="11"/>
                  <w:vAlign w:val="center"/>
                </w:tcPr>
                <w:p>
                  <w:pPr>
                    <w:adjustRightInd w:val="0"/>
                    <w:snapToGrid w:val="0"/>
                    <w:jc w:val="center"/>
                    <w:rPr>
                      <w:color w:val="auto"/>
                      <w:sz w:val="18"/>
                      <w:szCs w:val="18"/>
                    </w:rPr>
                  </w:pPr>
                  <w:r>
                    <w:rPr>
                      <w:color w:val="auto"/>
                      <w:sz w:val="18"/>
                      <w:szCs w:val="18"/>
                    </w:rPr>
                    <w:t>边长 5～50km □</w:t>
                  </w:r>
                </w:p>
              </w:tc>
              <w:tc>
                <w:tcPr>
                  <w:tcW w:w="1473" w:type="dxa"/>
                  <w:gridSpan w:val="3"/>
                  <w:vAlign w:val="center"/>
                </w:tcPr>
                <w:p>
                  <w:pPr>
                    <w:adjustRightInd w:val="0"/>
                    <w:snapToGrid w:val="0"/>
                    <w:jc w:val="center"/>
                    <w:rPr>
                      <w:color w:val="auto"/>
                      <w:sz w:val="18"/>
                      <w:szCs w:val="18"/>
                    </w:rPr>
                  </w:pPr>
                  <w:r>
                    <w:rPr>
                      <w:color w:val="auto"/>
                      <w:sz w:val="18"/>
                      <w:szCs w:val="18"/>
                    </w:rPr>
                    <w:t>边长 = 5 km √</w:t>
                  </w:r>
                </w:p>
              </w:tc>
            </w:tr>
            <w:tr>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0" w:type="dxa"/>
                  <w:left w:w="0" w:type="dxa"/>
                  <w:bottom w:w="0" w:type="dxa"/>
                  <w:right w:w="0" w:type="dxa"/>
                </w:tblCellMar>
              </w:tblPrEx>
              <w:trPr>
                <w:trHeight w:val="454" w:hRule="atLeast"/>
                <w:jc w:val="center"/>
              </w:trPr>
              <w:tc>
                <w:tcPr>
                  <w:tcW w:w="856" w:type="dxa"/>
                  <w:vMerge w:val="continue"/>
                  <w:vAlign w:val="center"/>
                </w:tcPr>
                <w:p>
                  <w:pPr>
                    <w:adjustRightInd w:val="0"/>
                    <w:snapToGrid w:val="0"/>
                    <w:jc w:val="center"/>
                    <w:rPr>
                      <w:color w:val="auto"/>
                      <w:sz w:val="18"/>
                      <w:szCs w:val="18"/>
                    </w:rPr>
                  </w:pPr>
                </w:p>
              </w:tc>
              <w:tc>
                <w:tcPr>
                  <w:tcW w:w="1487" w:type="dxa"/>
                  <w:vAlign w:val="center"/>
                </w:tcPr>
                <w:p>
                  <w:pPr>
                    <w:adjustRightInd w:val="0"/>
                    <w:snapToGrid w:val="0"/>
                    <w:jc w:val="center"/>
                    <w:rPr>
                      <w:color w:val="auto"/>
                      <w:sz w:val="18"/>
                      <w:szCs w:val="18"/>
                    </w:rPr>
                  </w:pPr>
                  <w:r>
                    <w:rPr>
                      <w:color w:val="auto"/>
                      <w:sz w:val="18"/>
                      <w:szCs w:val="18"/>
                    </w:rPr>
                    <w:t>预测因子</w:t>
                  </w:r>
                </w:p>
              </w:tc>
              <w:tc>
                <w:tcPr>
                  <w:tcW w:w="3113" w:type="dxa"/>
                  <w:gridSpan w:val="11"/>
                  <w:vAlign w:val="center"/>
                </w:tcPr>
                <w:p>
                  <w:pPr>
                    <w:tabs>
                      <w:tab w:val="left" w:pos="2960"/>
                    </w:tabs>
                    <w:adjustRightInd w:val="0"/>
                    <w:snapToGrid w:val="0"/>
                    <w:jc w:val="center"/>
                    <w:rPr>
                      <w:color w:val="auto"/>
                      <w:sz w:val="18"/>
                      <w:szCs w:val="18"/>
                    </w:rPr>
                  </w:pPr>
                  <w:r>
                    <w:rPr>
                      <w:color w:val="auto"/>
                      <w:sz w:val="18"/>
                      <w:szCs w:val="18"/>
                    </w:rPr>
                    <w:t>预测因子(</w:t>
                  </w:r>
                  <w:r>
                    <w:rPr>
                      <w:rFonts w:hint="eastAsia"/>
                      <w:color w:val="auto"/>
                      <w:sz w:val="18"/>
                      <w:szCs w:val="18"/>
                    </w:rPr>
                    <w:t xml:space="preserve"> </w:t>
                  </w:r>
                  <w:r>
                    <w:rPr>
                      <w:rFonts w:hint="eastAsia"/>
                      <w:color w:val="auto"/>
                      <w:sz w:val="18"/>
                      <w:szCs w:val="18"/>
                      <w:lang w:val="en-US" w:eastAsia="zh-CN"/>
                    </w:rPr>
                    <w:t>PM</w:t>
                  </w:r>
                  <w:r>
                    <w:rPr>
                      <w:rFonts w:hint="eastAsia"/>
                      <w:color w:val="auto"/>
                      <w:sz w:val="18"/>
                      <w:szCs w:val="18"/>
                      <w:vertAlign w:val="subscript"/>
                      <w:lang w:val="en-US" w:eastAsia="zh-CN"/>
                    </w:rPr>
                    <w:t>10</w:t>
                  </w:r>
                  <w:r>
                    <w:rPr>
                      <w:rFonts w:hint="eastAsia"/>
                      <w:color w:val="auto"/>
                      <w:sz w:val="18"/>
                      <w:szCs w:val="18"/>
                      <w:vertAlign w:val="baseline"/>
                      <w:lang w:val="en-US" w:eastAsia="zh-CN"/>
                    </w:rPr>
                    <w:t>、</w:t>
                  </w:r>
                  <w:r>
                    <w:rPr>
                      <w:rFonts w:hint="eastAsia"/>
                      <w:color w:val="auto"/>
                      <w:sz w:val="18"/>
                      <w:szCs w:val="18"/>
                      <w:lang w:eastAsia="zh-CN"/>
                    </w:rPr>
                    <w:t>非甲烷总烃</w:t>
                  </w:r>
                  <w:r>
                    <w:rPr>
                      <w:color w:val="auto"/>
                      <w:sz w:val="18"/>
                      <w:szCs w:val="18"/>
                    </w:rPr>
                    <w:t>)</w:t>
                  </w:r>
                </w:p>
              </w:tc>
              <w:tc>
                <w:tcPr>
                  <w:tcW w:w="3333" w:type="dxa"/>
                  <w:gridSpan w:val="8"/>
                  <w:vAlign w:val="center"/>
                </w:tcPr>
                <w:p>
                  <w:pPr>
                    <w:adjustRightInd w:val="0"/>
                    <w:snapToGrid w:val="0"/>
                    <w:jc w:val="center"/>
                    <w:rPr>
                      <w:color w:val="auto"/>
                      <w:sz w:val="18"/>
                      <w:szCs w:val="18"/>
                    </w:rPr>
                  </w:pPr>
                  <w:r>
                    <w:rPr>
                      <w:color w:val="auto"/>
                      <w:sz w:val="18"/>
                      <w:szCs w:val="18"/>
                    </w:rPr>
                    <w:t>包括二次 PM2.5  □</w:t>
                  </w:r>
                </w:p>
                <w:p>
                  <w:pPr>
                    <w:adjustRightInd w:val="0"/>
                    <w:snapToGrid w:val="0"/>
                    <w:jc w:val="center"/>
                    <w:rPr>
                      <w:color w:val="auto"/>
                      <w:sz w:val="18"/>
                      <w:szCs w:val="18"/>
                    </w:rPr>
                  </w:pPr>
                  <w:r>
                    <w:rPr>
                      <w:color w:val="auto"/>
                      <w:sz w:val="18"/>
                      <w:szCs w:val="18"/>
                    </w:rPr>
                    <w:t xml:space="preserve">不包括二次 PM2.5  </w:t>
                  </w:r>
                  <w:r>
                    <w:rPr>
                      <w:color w:val="auto"/>
                      <w:sz w:val="18"/>
                      <w:szCs w:val="18"/>
                    </w:rPr>
                    <w:sym w:font="Wingdings 2" w:char="0052"/>
                  </w:r>
                </w:p>
              </w:tc>
            </w:tr>
            <w:tr>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0" w:type="dxa"/>
                  <w:left w:w="0" w:type="dxa"/>
                  <w:bottom w:w="0" w:type="dxa"/>
                  <w:right w:w="0" w:type="dxa"/>
                </w:tblCellMar>
              </w:tblPrEx>
              <w:trPr>
                <w:trHeight w:val="454" w:hRule="atLeast"/>
                <w:jc w:val="center"/>
              </w:trPr>
              <w:tc>
                <w:tcPr>
                  <w:tcW w:w="856" w:type="dxa"/>
                  <w:vMerge w:val="continue"/>
                  <w:vAlign w:val="center"/>
                </w:tcPr>
                <w:p>
                  <w:pPr>
                    <w:adjustRightInd w:val="0"/>
                    <w:snapToGrid w:val="0"/>
                    <w:jc w:val="center"/>
                    <w:rPr>
                      <w:color w:val="auto"/>
                      <w:sz w:val="18"/>
                      <w:szCs w:val="18"/>
                    </w:rPr>
                  </w:pPr>
                </w:p>
              </w:tc>
              <w:tc>
                <w:tcPr>
                  <w:tcW w:w="1487" w:type="dxa"/>
                  <w:vAlign w:val="center"/>
                </w:tcPr>
                <w:p>
                  <w:pPr>
                    <w:adjustRightInd w:val="0"/>
                    <w:snapToGrid w:val="0"/>
                    <w:jc w:val="center"/>
                    <w:rPr>
                      <w:color w:val="auto"/>
                      <w:sz w:val="18"/>
                      <w:szCs w:val="18"/>
                    </w:rPr>
                  </w:pPr>
                  <w:r>
                    <w:rPr>
                      <w:color w:val="auto"/>
                      <w:sz w:val="18"/>
                      <w:szCs w:val="18"/>
                    </w:rPr>
                    <w:t>正常排放短期浓度 贡献值</w:t>
                  </w:r>
                </w:p>
              </w:tc>
              <w:tc>
                <w:tcPr>
                  <w:tcW w:w="3113" w:type="dxa"/>
                  <w:gridSpan w:val="11"/>
                  <w:vAlign w:val="center"/>
                </w:tcPr>
                <w:p>
                  <w:pPr>
                    <w:tabs>
                      <w:tab w:val="left" w:pos="1240"/>
                    </w:tabs>
                    <w:adjustRightInd w:val="0"/>
                    <w:snapToGrid w:val="0"/>
                    <w:jc w:val="center"/>
                    <w:rPr>
                      <w:color w:val="auto"/>
                      <w:sz w:val="18"/>
                      <w:szCs w:val="18"/>
                    </w:rPr>
                  </w:pPr>
                  <w:r>
                    <w:rPr>
                      <w:color w:val="auto"/>
                      <w:sz w:val="18"/>
                      <w:szCs w:val="18"/>
                    </w:rPr>
                    <w:t>C</w:t>
                  </w:r>
                  <w:r>
                    <w:rPr>
                      <w:color w:val="auto"/>
                      <w:sz w:val="18"/>
                      <w:szCs w:val="18"/>
                      <w:vertAlign w:val="subscript"/>
                    </w:rPr>
                    <w:t>本项目</w:t>
                  </w:r>
                  <w:r>
                    <w:rPr>
                      <w:color w:val="auto"/>
                      <w:sz w:val="18"/>
                      <w:szCs w:val="18"/>
                    </w:rPr>
                    <w:t>最大占标率≤100%□</w:t>
                  </w:r>
                </w:p>
              </w:tc>
              <w:tc>
                <w:tcPr>
                  <w:tcW w:w="3333" w:type="dxa"/>
                  <w:gridSpan w:val="8"/>
                  <w:vAlign w:val="center"/>
                </w:tcPr>
                <w:p>
                  <w:pPr>
                    <w:tabs>
                      <w:tab w:val="left" w:pos="840"/>
                    </w:tabs>
                    <w:adjustRightInd w:val="0"/>
                    <w:snapToGrid w:val="0"/>
                    <w:jc w:val="center"/>
                    <w:rPr>
                      <w:color w:val="auto"/>
                      <w:sz w:val="18"/>
                      <w:szCs w:val="18"/>
                    </w:rPr>
                  </w:pPr>
                  <w:r>
                    <w:rPr>
                      <w:color w:val="auto"/>
                      <w:sz w:val="18"/>
                      <w:szCs w:val="18"/>
                    </w:rPr>
                    <w:t>C</w:t>
                  </w:r>
                  <w:r>
                    <w:rPr>
                      <w:color w:val="auto"/>
                      <w:sz w:val="18"/>
                      <w:szCs w:val="18"/>
                      <w:vertAlign w:val="subscript"/>
                    </w:rPr>
                    <w:t>本项目</w:t>
                  </w:r>
                  <w:r>
                    <w:rPr>
                      <w:color w:val="auto"/>
                      <w:sz w:val="18"/>
                      <w:szCs w:val="18"/>
                    </w:rPr>
                    <w:t>最大占标率＞100% □</w:t>
                  </w:r>
                </w:p>
              </w:tc>
            </w:tr>
            <w:tr>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0" w:type="dxa"/>
                  <w:left w:w="0" w:type="dxa"/>
                  <w:bottom w:w="0" w:type="dxa"/>
                  <w:right w:w="0" w:type="dxa"/>
                </w:tblCellMar>
              </w:tblPrEx>
              <w:trPr>
                <w:trHeight w:val="454" w:hRule="atLeast"/>
                <w:jc w:val="center"/>
              </w:trPr>
              <w:tc>
                <w:tcPr>
                  <w:tcW w:w="856" w:type="dxa"/>
                  <w:vMerge w:val="continue"/>
                  <w:vAlign w:val="center"/>
                </w:tcPr>
                <w:p>
                  <w:pPr>
                    <w:adjustRightInd w:val="0"/>
                    <w:snapToGrid w:val="0"/>
                    <w:jc w:val="center"/>
                    <w:rPr>
                      <w:color w:val="auto"/>
                      <w:sz w:val="18"/>
                      <w:szCs w:val="18"/>
                    </w:rPr>
                  </w:pPr>
                </w:p>
              </w:tc>
              <w:tc>
                <w:tcPr>
                  <w:tcW w:w="1487" w:type="dxa"/>
                  <w:vMerge w:val="restart"/>
                  <w:vAlign w:val="center"/>
                </w:tcPr>
                <w:p>
                  <w:pPr>
                    <w:adjustRightInd w:val="0"/>
                    <w:snapToGrid w:val="0"/>
                    <w:jc w:val="center"/>
                    <w:rPr>
                      <w:color w:val="auto"/>
                      <w:sz w:val="18"/>
                      <w:szCs w:val="18"/>
                    </w:rPr>
                  </w:pPr>
                  <w:r>
                    <w:rPr>
                      <w:color w:val="auto"/>
                      <w:sz w:val="18"/>
                      <w:szCs w:val="18"/>
                    </w:rPr>
                    <w:t>正常排放年均浓度 贡献值</w:t>
                  </w:r>
                </w:p>
              </w:tc>
              <w:tc>
                <w:tcPr>
                  <w:tcW w:w="928" w:type="dxa"/>
                  <w:vAlign w:val="center"/>
                </w:tcPr>
                <w:p>
                  <w:pPr>
                    <w:adjustRightInd w:val="0"/>
                    <w:snapToGrid w:val="0"/>
                    <w:jc w:val="center"/>
                    <w:rPr>
                      <w:color w:val="auto"/>
                      <w:sz w:val="18"/>
                      <w:szCs w:val="18"/>
                    </w:rPr>
                  </w:pPr>
                  <w:r>
                    <w:rPr>
                      <w:color w:val="auto"/>
                      <w:sz w:val="18"/>
                      <w:szCs w:val="18"/>
                    </w:rPr>
                    <w:t>一类区</w:t>
                  </w:r>
                </w:p>
              </w:tc>
              <w:tc>
                <w:tcPr>
                  <w:tcW w:w="2185" w:type="dxa"/>
                  <w:gridSpan w:val="10"/>
                  <w:vAlign w:val="center"/>
                </w:tcPr>
                <w:p>
                  <w:pPr>
                    <w:adjustRightInd w:val="0"/>
                    <w:snapToGrid w:val="0"/>
                    <w:jc w:val="center"/>
                    <w:rPr>
                      <w:color w:val="auto"/>
                      <w:sz w:val="18"/>
                      <w:szCs w:val="18"/>
                    </w:rPr>
                  </w:pPr>
                  <w:r>
                    <w:rPr>
                      <w:color w:val="auto"/>
                      <w:sz w:val="18"/>
                      <w:szCs w:val="18"/>
                    </w:rPr>
                    <w:t>C</w:t>
                  </w:r>
                  <w:r>
                    <w:rPr>
                      <w:color w:val="auto"/>
                      <w:sz w:val="18"/>
                      <w:szCs w:val="18"/>
                      <w:vertAlign w:val="subscript"/>
                    </w:rPr>
                    <w:t>本项目</w:t>
                  </w:r>
                  <w:r>
                    <w:rPr>
                      <w:color w:val="auto"/>
                      <w:sz w:val="18"/>
                      <w:szCs w:val="18"/>
                    </w:rPr>
                    <w:t>最大占标率≤10%□</w:t>
                  </w:r>
                </w:p>
              </w:tc>
              <w:tc>
                <w:tcPr>
                  <w:tcW w:w="3333" w:type="dxa"/>
                  <w:gridSpan w:val="8"/>
                  <w:vAlign w:val="center"/>
                </w:tcPr>
                <w:p>
                  <w:pPr>
                    <w:adjustRightInd w:val="0"/>
                    <w:snapToGrid w:val="0"/>
                    <w:jc w:val="center"/>
                    <w:rPr>
                      <w:color w:val="auto"/>
                      <w:sz w:val="18"/>
                      <w:szCs w:val="18"/>
                    </w:rPr>
                  </w:pPr>
                  <w:r>
                    <w:rPr>
                      <w:color w:val="auto"/>
                      <w:sz w:val="18"/>
                      <w:szCs w:val="18"/>
                    </w:rPr>
                    <w:t>C</w:t>
                  </w:r>
                  <w:r>
                    <w:rPr>
                      <w:color w:val="auto"/>
                      <w:sz w:val="18"/>
                      <w:szCs w:val="18"/>
                      <w:vertAlign w:val="subscript"/>
                    </w:rPr>
                    <w:t>本项目</w:t>
                  </w:r>
                  <w:r>
                    <w:rPr>
                      <w:color w:val="auto"/>
                      <w:sz w:val="18"/>
                      <w:szCs w:val="18"/>
                    </w:rPr>
                    <w:t>最大标率＞10% □</w:t>
                  </w:r>
                </w:p>
              </w:tc>
            </w:tr>
            <w:tr>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0" w:type="dxa"/>
                  <w:left w:w="0" w:type="dxa"/>
                  <w:bottom w:w="0" w:type="dxa"/>
                  <w:right w:w="0" w:type="dxa"/>
                </w:tblCellMar>
              </w:tblPrEx>
              <w:trPr>
                <w:trHeight w:val="454" w:hRule="atLeast"/>
                <w:jc w:val="center"/>
              </w:trPr>
              <w:tc>
                <w:tcPr>
                  <w:tcW w:w="856" w:type="dxa"/>
                  <w:vMerge w:val="continue"/>
                  <w:vAlign w:val="center"/>
                </w:tcPr>
                <w:p>
                  <w:pPr>
                    <w:adjustRightInd w:val="0"/>
                    <w:snapToGrid w:val="0"/>
                    <w:jc w:val="center"/>
                    <w:rPr>
                      <w:color w:val="auto"/>
                      <w:sz w:val="18"/>
                      <w:szCs w:val="18"/>
                    </w:rPr>
                  </w:pPr>
                </w:p>
              </w:tc>
              <w:tc>
                <w:tcPr>
                  <w:tcW w:w="1487" w:type="dxa"/>
                  <w:vMerge w:val="continue"/>
                  <w:vAlign w:val="center"/>
                </w:tcPr>
                <w:p>
                  <w:pPr>
                    <w:adjustRightInd w:val="0"/>
                    <w:snapToGrid w:val="0"/>
                    <w:jc w:val="center"/>
                    <w:rPr>
                      <w:color w:val="auto"/>
                      <w:sz w:val="18"/>
                      <w:szCs w:val="18"/>
                    </w:rPr>
                  </w:pPr>
                </w:p>
              </w:tc>
              <w:tc>
                <w:tcPr>
                  <w:tcW w:w="928" w:type="dxa"/>
                  <w:vAlign w:val="center"/>
                </w:tcPr>
                <w:p>
                  <w:pPr>
                    <w:adjustRightInd w:val="0"/>
                    <w:snapToGrid w:val="0"/>
                    <w:jc w:val="center"/>
                    <w:rPr>
                      <w:color w:val="auto"/>
                      <w:sz w:val="18"/>
                      <w:szCs w:val="18"/>
                    </w:rPr>
                  </w:pPr>
                  <w:r>
                    <w:rPr>
                      <w:color w:val="auto"/>
                      <w:sz w:val="18"/>
                      <w:szCs w:val="18"/>
                    </w:rPr>
                    <w:t>二类区</w:t>
                  </w:r>
                </w:p>
              </w:tc>
              <w:tc>
                <w:tcPr>
                  <w:tcW w:w="2185" w:type="dxa"/>
                  <w:gridSpan w:val="10"/>
                  <w:vAlign w:val="center"/>
                </w:tcPr>
                <w:p>
                  <w:pPr>
                    <w:tabs>
                      <w:tab w:val="left" w:pos="780"/>
                    </w:tabs>
                    <w:adjustRightInd w:val="0"/>
                    <w:snapToGrid w:val="0"/>
                    <w:jc w:val="center"/>
                    <w:rPr>
                      <w:color w:val="auto"/>
                      <w:sz w:val="18"/>
                      <w:szCs w:val="18"/>
                    </w:rPr>
                  </w:pPr>
                  <w:r>
                    <w:rPr>
                      <w:color w:val="auto"/>
                      <w:sz w:val="18"/>
                      <w:szCs w:val="18"/>
                    </w:rPr>
                    <w:t>C</w:t>
                  </w:r>
                  <w:r>
                    <w:rPr>
                      <w:color w:val="auto"/>
                      <w:sz w:val="18"/>
                      <w:szCs w:val="18"/>
                      <w:vertAlign w:val="subscript"/>
                    </w:rPr>
                    <w:t>本项目</w:t>
                  </w:r>
                  <w:r>
                    <w:rPr>
                      <w:color w:val="auto"/>
                      <w:sz w:val="18"/>
                      <w:szCs w:val="18"/>
                    </w:rPr>
                    <w:t>最大占标率≤30%</w:t>
                  </w:r>
                  <w:r>
                    <w:rPr>
                      <w:color w:val="auto"/>
                      <w:sz w:val="18"/>
                      <w:szCs w:val="18"/>
                    </w:rPr>
                    <w:sym w:font="Wingdings 2" w:char="0052"/>
                  </w:r>
                </w:p>
              </w:tc>
              <w:tc>
                <w:tcPr>
                  <w:tcW w:w="3333" w:type="dxa"/>
                  <w:gridSpan w:val="8"/>
                  <w:vAlign w:val="center"/>
                </w:tcPr>
                <w:p>
                  <w:pPr>
                    <w:tabs>
                      <w:tab w:val="left" w:pos="980"/>
                    </w:tabs>
                    <w:adjustRightInd w:val="0"/>
                    <w:snapToGrid w:val="0"/>
                    <w:jc w:val="center"/>
                    <w:rPr>
                      <w:color w:val="auto"/>
                      <w:sz w:val="18"/>
                      <w:szCs w:val="18"/>
                    </w:rPr>
                  </w:pPr>
                  <w:r>
                    <w:rPr>
                      <w:color w:val="auto"/>
                      <w:sz w:val="18"/>
                      <w:szCs w:val="18"/>
                    </w:rPr>
                    <w:t>C</w:t>
                  </w:r>
                  <w:r>
                    <w:rPr>
                      <w:color w:val="auto"/>
                      <w:sz w:val="18"/>
                      <w:szCs w:val="18"/>
                      <w:vertAlign w:val="subscript"/>
                    </w:rPr>
                    <w:t>本项目</w:t>
                  </w:r>
                  <w:r>
                    <w:rPr>
                      <w:color w:val="auto"/>
                      <w:sz w:val="18"/>
                      <w:szCs w:val="18"/>
                    </w:rPr>
                    <w:t>最大标率＞30% □</w:t>
                  </w:r>
                </w:p>
              </w:tc>
            </w:tr>
            <w:tr>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0" w:type="dxa"/>
                  <w:left w:w="0" w:type="dxa"/>
                  <w:bottom w:w="0" w:type="dxa"/>
                  <w:right w:w="0" w:type="dxa"/>
                </w:tblCellMar>
              </w:tblPrEx>
              <w:trPr>
                <w:trHeight w:val="454" w:hRule="atLeast"/>
                <w:jc w:val="center"/>
              </w:trPr>
              <w:tc>
                <w:tcPr>
                  <w:tcW w:w="856" w:type="dxa"/>
                  <w:vMerge w:val="continue"/>
                  <w:vAlign w:val="center"/>
                </w:tcPr>
                <w:p>
                  <w:pPr>
                    <w:adjustRightInd w:val="0"/>
                    <w:snapToGrid w:val="0"/>
                    <w:jc w:val="center"/>
                    <w:rPr>
                      <w:color w:val="auto"/>
                      <w:sz w:val="18"/>
                      <w:szCs w:val="18"/>
                    </w:rPr>
                  </w:pPr>
                </w:p>
              </w:tc>
              <w:tc>
                <w:tcPr>
                  <w:tcW w:w="1487" w:type="dxa"/>
                  <w:vAlign w:val="center"/>
                </w:tcPr>
                <w:p>
                  <w:pPr>
                    <w:adjustRightInd w:val="0"/>
                    <w:snapToGrid w:val="0"/>
                    <w:jc w:val="center"/>
                    <w:rPr>
                      <w:color w:val="auto"/>
                      <w:sz w:val="18"/>
                      <w:szCs w:val="18"/>
                    </w:rPr>
                  </w:pPr>
                  <w:r>
                    <w:rPr>
                      <w:color w:val="auto"/>
                      <w:sz w:val="18"/>
                      <w:szCs w:val="18"/>
                    </w:rPr>
                    <w:t>非正常排放1h浓度贡献值</w:t>
                  </w:r>
                </w:p>
              </w:tc>
              <w:tc>
                <w:tcPr>
                  <w:tcW w:w="1379" w:type="dxa"/>
                  <w:gridSpan w:val="3"/>
                  <w:vAlign w:val="center"/>
                </w:tcPr>
                <w:p>
                  <w:pPr>
                    <w:adjustRightInd w:val="0"/>
                    <w:snapToGrid w:val="0"/>
                    <w:jc w:val="center"/>
                    <w:rPr>
                      <w:color w:val="auto"/>
                      <w:sz w:val="18"/>
                      <w:szCs w:val="18"/>
                    </w:rPr>
                  </w:pPr>
                  <w:r>
                    <w:rPr>
                      <w:color w:val="auto"/>
                      <w:sz w:val="18"/>
                      <w:szCs w:val="18"/>
                    </w:rPr>
                    <w:t>非正常持续时长</w:t>
                  </w:r>
                </w:p>
                <w:p>
                  <w:pPr>
                    <w:adjustRightInd w:val="0"/>
                    <w:snapToGrid w:val="0"/>
                    <w:jc w:val="center"/>
                    <w:rPr>
                      <w:color w:val="auto"/>
                      <w:sz w:val="18"/>
                      <w:szCs w:val="18"/>
                    </w:rPr>
                  </w:pPr>
                  <w:r>
                    <w:rPr>
                      <w:color w:val="auto"/>
                      <w:sz w:val="18"/>
                      <w:szCs w:val="18"/>
                    </w:rPr>
                    <w:t>（）h</w:t>
                  </w:r>
                </w:p>
              </w:tc>
              <w:tc>
                <w:tcPr>
                  <w:tcW w:w="2884" w:type="dxa"/>
                  <w:gridSpan w:val="10"/>
                  <w:vAlign w:val="center"/>
                </w:tcPr>
                <w:p>
                  <w:pPr>
                    <w:tabs>
                      <w:tab w:val="left" w:pos="920"/>
                    </w:tabs>
                    <w:adjustRightInd w:val="0"/>
                    <w:snapToGrid w:val="0"/>
                    <w:jc w:val="center"/>
                    <w:rPr>
                      <w:color w:val="auto"/>
                      <w:sz w:val="18"/>
                      <w:szCs w:val="18"/>
                    </w:rPr>
                  </w:pPr>
                  <w:r>
                    <w:rPr>
                      <w:color w:val="auto"/>
                      <w:sz w:val="18"/>
                      <w:szCs w:val="18"/>
                    </w:rPr>
                    <w:t>C</w:t>
                  </w:r>
                  <w:r>
                    <w:rPr>
                      <w:rFonts w:hint="eastAsia"/>
                      <w:color w:val="auto"/>
                      <w:sz w:val="18"/>
                      <w:szCs w:val="18"/>
                      <w:vertAlign w:val="subscript"/>
                    </w:rPr>
                    <w:t>非正</w:t>
                  </w:r>
                  <w:r>
                    <w:rPr>
                      <w:color w:val="auto"/>
                      <w:sz w:val="18"/>
                      <w:szCs w:val="18"/>
                    </w:rPr>
                    <w:t>占标率≤100% □</w:t>
                  </w:r>
                </w:p>
              </w:tc>
              <w:tc>
                <w:tcPr>
                  <w:tcW w:w="2183" w:type="dxa"/>
                  <w:gridSpan w:val="6"/>
                  <w:vAlign w:val="center"/>
                </w:tcPr>
                <w:p>
                  <w:pPr>
                    <w:tabs>
                      <w:tab w:val="left" w:pos="760"/>
                    </w:tabs>
                    <w:adjustRightInd w:val="0"/>
                    <w:snapToGrid w:val="0"/>
                    <w:jc w:val="center"/>
                    <w:rPr>
                      <w:color w:val="auto"/>
                      <w:sz w:val="18"/>
                      <w:szCs w:val="18"/>
                    </w:rPr>
                  </w:pPr>
                  <w:r>
                    <w:rPr>
                      <w:color w:val="auto"/>
                      <w:sz w:val="18"/>
                      <w:szCs w:val="18"/>
                    </w:rPr>
                    <w:t>C</w:t>
                  </w:r>
                  <w:r>
                    <w:rPr>
                      <w:rFonts w:hint="eastAsia"/>
                      <w:color w:val="auto"/>
                      <w:sz w:val="18"/>
                      <w:szCs w:val="18"/>
                      <w:vertAlign w:val="subscript"/>
                    </w:rPr>
                    <w:t>非正常</w:t>
                  </w:r>
                  <w:r>
                    <w:rPr>
                      <w:color w:val="auto"/>
                      <w:sz w:val="18"/>
                      <w:szCs w:val="18"/>
                    </w:rPr>
                    <w:t>占标率＞100%□</w:t>
                  </w:r>
                </w:p>
              </w:tc>
            </w:tr>
            <w:tr>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0" w:type="dxa"/>
                  <w:left w:w="0" w:type="dxa"/>
                  <w:bottom w:w="0" w:type="dxa"/>
                  <w:right w:w="0" w:type="dxa"/>
                </w:tblCellMar>
              </w:tblPrEx>
              <w:trPr>
                <w:trHeight w:val="454" w:hRule="atLeast"/>
                <w:jc w:val="center"/>
              </w:trPr>
              <w:tc>
                <w:tcPr>
                  <w:tcW w:w="856" w:type="dxa"/>
                  <w:vMerge w:val="continue"/>
                  <w:vAlign w:val="center"/>
                </w:tcPr>
                <w:p>
                  <w:pPr>
                    <w:adjustRightInd w:val="0"/>
                    <w:snapToGrid w:val="0"/>
                    <w:jc w:val="center"/>
                    <w:rPr>
                      <w:color w:val="auto"/>
                      <w:sz w:val="18"/>
                      <w:szCs w:val="18"/>
                    </w:rPr>
                  </w:pPr>
                </w:p>
              </w:tc>
              <w:tc>
                <w:tcPr>
                  <w:tcW w:w="1487" w:type="dxa"/>
                  <w:vAlign w:val="center"/>
                </w:tcPr>
                <w:p>
                  <w:pPr>
                    <w:adjustRightInd w:val="0"/>
                    <w:snapToGrid w:val="0"/>
                    <w:jc w:val="center"/>
                    <w:rPr>
                      <w:color w:val="auto"/>
                      <w:sz w:val="18"/>
                      <w:szCs w:val="18"/>
                    </w:rPr>
                  </w:pPr>
                  <w:r>
                    <w:rPr>
                      <w:color w:val="auto"/>
                      <w:sz w:val="18"/>
                      <w:szCs w:val="18"/>
                    </w:rPr>
                    <w:t>保证率日平均浓度和年平均浓度叠加值</w:t>
                  </w:r>
                </w:p>
              </w:tc>
              <w:tc>
                <w:tcPr>
                  <w:tcW w:w="3034" w:type="dxa"/>
                  <w:gridSpan w:val="10"/>
                  <w:vAlign w:val="center"/>
                </w:tcPr>
                <w:p>
                  <w:pPr>
                    <w:pStyle w:val="79"/>
                    <w:jc w:val="center"/>
                    <w:rPr>
                      <w:rFonts w:ascii="Times New Roman" w:cs="Times New Roman"/>
                      <w:color w:val="auto"/>
                      <w:sz w:val="18"/>
                      <w:szCs w:val="18"/>
                    </w:rPr>
                  </w:pPr>
                  <w:r>
                    <w:rPr>
                      <w:rFonts w:ascii="Times New Roman" w:cs="Times New Roman"/>
                      <w:color w:val="auto"/>
                      <w:sz w:val="18"/>
                      <w:szCs w:val="18"/>
                    </w:rPr>
                    <w:t>C</w:t>
                  </w:r>
                  <w:r>
                    <w:rPr>
                      <w:rFonts w:hint="eastAsia" w:ascii="Times New Roman" w:cs="Times New Roman"/>
                      <w:color w:val="auto"/>
                      <w:sz w:val="18"/>
                      <w:szCs w:val="18"/>
                      <w:vertAlign w:val="subscript"/>
                    </w:rPr>
                    <w:t>叠加</w:t>
                  </w:r>
                  <w:r>
                    <w:rPr>
                      <w:rFonts w:ascii="Times New Roman" w:cs="Times New Roman"/>
                      <w:color w:val="auto"/>
                      <w:sz w:val="18"/>
                      <w:szCs w:val="18"/>
                    </w:rPr>
                    <w:t>达标 □</w:t>
                  </w:r>
                </w:p>
              </w:tc>
              <w:tc>
                <w:tcPr>
                  <w:tcW w:w="3412" w:type="dxa"/>
                  <w:gridSpan w:val="9"/>
                  <w:vAlign w:val="center"/>
                </w:tcPr>
                <w:p>
                  <w:pPr>
                    <w:tabs>
                      <w:tab w:val="left" w:pos="1520"/>
                    </w:tabs>
                    <w:adjustRightInd w:val="0"/>
                    <w:snapToGrid w:val="0"/>
                    <w:jc w:val="center"/>
                    <w:rPr>
                      <w:color w:val="auto"/>
                      <w:sz w:val="18"/>
                      <w:szCs w:val="18"/>
                    </w:rPr>
                  </w:pPr>
                  <w:r>
                    <w:rPr>
                      <w:color w:val="auto"/>
                      <w:sz w:val="18"/>
                      <w:szCs w:val="18"/>
                    </w:rPr>
                    <w:t>C</w:t>
                  </w:r>
                  <w:r>
                    <w:rPr>
                      <w:rFonts w:hint="eastAsia"/>
                      <w:color w:val="auto"/>
                      <w:sz w:val="18"/>
                      <w:szCs w:val="18"/>
                      <w:vertAlign w:val="subscript"/>
                    </w:rPr>
                    <w:t>叠加</w:t>
                  </w:r>
                  <w:r>
                    <w:rPr>
                      <w:color w:val="auto"/>
                      <w:sz w:val="18"/>
                      <w:szCs w:val="18"/>
                    </w:rPr>
                    <w:t>不达标 □</w:t>
                  </w:r>
                </w:p>
              </w:tc>
            </w:tr>
            <w:tr>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0" w:type="dxa"/>
                  <w:left w:w="0" w:type="dxa"/>
                  <w:bottom w:w="0" w:type="dxa"/>
                  <w:right w:w="0" w:type="dxa"/>
                </w:tblCellMar>
              </w:tblPrEx>
              <w:trPr>
                <w:trHeight w:val="454" w:hRule="atLeast"/>
                <w:jc w:val="center"/>
              </w:trPr>
              <w:tc>
                <w:tcPr>
                  <w:tcW w:w="856" w:type="dxa"/>
                  <w:vMerge w:val="continue"/>
                  <w:vAlign w:val="center"/>
                </w:tcPr>
                <w:p>
                  <w:pPr>
                    <w:adjustRightInd w:val="0"/>
                    <w:snapToGrid w:val="0"/>
                    <w:jc w:val="center"/>
                    <w:rPr>
                      <w:color w:val="auto"/>
                      <w:sz w:val="18"/>
                      <w:szCs w:val="18"/>
                    </w:rPr>
                  </w:pPr>
                </w:p>
              </w:tc>
              <w:tc>
                <w:tcPr>
                  <w:tcW w:w="1487" w:type="dxa"/>
                  <w:vAlign w:val="center"/>
                </w:tcPr>
                <w:p>
                  <w:pPr>
                    <w:adjustRightInd w:val="0"/>
                    <w:snapToGrid w:val="0"/>
                    <w:jc w:val="center"/>
                    <w:rPr>
                      <w:color w:val="auto"/>
                      <w:sz w:val="18"/>
                      <w:szCs w:val="18"/>
                    </w:rPr>
                  </w:pPr>
                  <w:r>
                    <w:rPr>
                      <w:color w:val="auto"/>
                      <w:sz w:val="18"/>
                      <w:szCs w:val="18"/>
                    </w:rPr>
                    <w:t>区域环境质量的整体变化情况</w:t>
                  </w:r>
                </w:p>
              </w:tc>
              <w:tc>
                <w:tcPr>
                  <w:tcW w:w="3034" w:type="dxa"/>
                  <w:gridSpan w:val="10"/>
                  <w:vAlign w:val="center"/>
                </w:tcPr>
                <w:p>
                  <w:pPr>
                    <w:adjustRightInd w:val="0"/>
                    <w:snapToGrid w:val="0"/>
                    <w:jc w:val="center"/>
                    <w:rPr>
                      <w:color w:val="auto"/>
                      <w:sz w:val="18"/>
                      <w:szCs w:val="18"/>
                    </w:rPr>
                  </w:pPr>
                  <w:r>
                    <w:rPr>
                      <w:color w:val="auto"/>
                      <w:sz w:val="18"/>
                      <w:szCs w:val="18"/>
                    </w:rPr>
                    <w:t>k ≤-20% □</w:t>
                  </w:r>
                </w:p>
              </w:tc>
              <w:tc>
                <w:tcPr>
                  <w:tcW w:w="3412" w:type="dxa"/>
                  <w:gridSpan w:val="9"/>
                  <w:vAlign w:val="center"/>
                </w:tcPr>
                <w:p>
                  <w:pPr>
                    <w:adjustRightInd w:val="0"/>
                    <w:snapToGrid w:val="0"/>
                    <w:jc w:val="center"/>
                    <w:rPr>
                      <w:color w:val="auto"/>
                      <w:sz w:val="18"/>
                      <w:szCs w:val="18"/>
                    </w:rPr>
                  </w:pPr>
                  <w:r>
                    <w:rPr>
                      <w:color w:val="auto"/>
                      <w:sz w:val="18"/>
                      <w:szCs w:val="18"/>
                    </w:rPr>
                    <w:t>k＞-20% □</w:t>
                  </w:r>
                </w:p>
              </w:tc>
            </w:tr>
            <w:tr>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0" w:type="dxa"/>
                  <w:left w:w="0" w:type="dxa"/>
                  <w:bottom w:w="0" w:type="dxa"/>
                  <w:right w:w="0" w:type="dxa"/>
                </w:tblCellMar>
              </w:tblPrEx>
              <w:trPr>
                <w:trHeight w:val="454" w:hRule="atLeast"/>
                <w:jc w:val="center"/>
              </w:trPr>
              <w:tc>
                <w:tcPr>
                  <w:tcW w:w="856" w:type="dxa"/>
                  <w:vMerge w:val="restart"/>
                  <w:vAlign w:val="center"/>
                </w:tcPr>
                <w:p>
                  <w:pPr>
                    <w:adjustRightInd w:val="0"/>
                    <w:snapToGrid w:val="0"/>
                    <w:jc w:val="center"/>
                    <w:rPr>
                      <w:color w:val="auto"/>
                      <w:sz w:val="18"/>
                      <w:szCs w:val="18"/>
                    </w:rPr>
                  </w:pPr>
                  <w:r>
                    <w:rPr>
                      <w:color w:val="auto"/>
                      <w:sz w:val="18"/>
                      <w:szCs w:val="18"/>
                    </w:rPr>
                    <w:t>环境监测 计划</w:t>
                  </w:r>
                </w:p>
              </w:tc>
              <w:tc>
                <w:tcPr>
                  <w:tcW w:w="1487" w:type="dxa"/>
                  <w:vAlign w:val="center"/>
                </w:tcPr>
                <w:p>
                  <w:pPr>
                    <w:adjustRightInd w:val="0"/>
                    <w:snapToGrid w:val="0"/>
                    <w:jc w:val="center"/>
                    <w:rPr>
                      <w:color w:val="auto"/>
                      <w:sz w:val="18"/>
                      <w:szCs w:val="18"/>
                    </w:rPr>
                  </w:pPr>
                  <w:r>
                    <w:rPr>
                      <w:color w:val="auto"/>
                      <w:sz w:val="18"/>
                      <w:szCs w:val="18"/>
                    </w:rPr>
                    <w:t>污染源监测</w:t>
                  </w:r>
                </w:p>
              </w:tc>
              <w:tc>
                <w:tcPr>
                  <w:tcW w:w="2764" w:type="dxa"/>
                  <w:gridSpan w:val="8"/>
                  <w:vAlign w:val="center"/>
                </w:tcPr>
                <w:p>
                  <w:pPr>
                    <w:tabs>
                      <w:tab w:val="left" w:pos="2440"/>
                    </w:tabs>
                    <w:adjustRightInd w:val="0"/>
                    <w:snapToGrid w:val="0"/>
                    <w:jc w:val="center"/>
                    <w:rPr>
                      <w:color w:val="auto"/>
                      <w:sz w:val="18"/>
                      <w:szCs w:val="18"/>
                    </w:rPr>
                  </w:pPr>
                  <w:r>
                    <w:rPr>
                      <w:color w:val="auto"/>
                      <w:sz w:val="18"/>
                      <w:szCs w:val="18"/>
                    </w:rPr>
                    <w:t>监测因子：（</w:t>
                  </w:r>
                  <w:r>
                    <w:rPr>
                      <w:rFonts w:hint="eastAsia"/>
                      <w:color w:val="auto"/>
                      <w:sz w:val="18"/>
                      <w:szCs w:val="18"/>
                      <w:lang w:val="en-US" w:eastAsia="zh-CN"/>
                    </w:rPr>
                    <w:t>PM</w:t>
                  </w:r>
                  <w:r>
                    <w:rPr>
                      <w:rFonts w:hint="eastAsia"/>
                      <w:color w:val="auto"/>
                      <w:sz w:val="18"/>
                      <w:szCs w:val="18"/>
                      <w:vertAlign w:val="subscript"/>
                      <w:lang w:val="en-US" w:eastAsia="zh-CN"/>
                    </w:rPr>
                    <w:t>10</w:t>
                  </w:r>
                  <w:r>
                    <w:rPr>
                      <w:rFonts w:hint="eastAsia"/>
                      <w:color w:val="auto"/>
                      <w:sz w:val="18"/>
                      <w:szCs w:val="18"/>
                      <w:vertAlign w:val="baseline"/>
                      <w:lang w:val="en-US" w:eastAsia="zh-CN"/>
                    </w:rPr>
                    <w:t>、</w:t>
                  </w:r>
                  <w:r>
                    <w:rPr>
                      <w:rFonts w:hint="eastAsia"/>
                      <w:color w:val="auto"/>
                      <w:sz w:val="18"/>
                      <w:szCs w:val="18"/>
                      <w:lang w:eastAsia="zh-CN"/>
                    </w:rPr>
                    <w:t>非甲烷总烃</w:t>
                  </w:r>
                  <w:r>
                    <w:rPr>
                      <w:color w:val="auto"/>
                      <w:sz w:val="18"/>
                      <w:szCs w:val="18"/>
                    </w:rPr>
                    <w:t>）</w:t>
                  </w:r>
                </w:p>
              </w:tc>
              <w:tc>
                <w:tcPr>
                  <w:tcW w:w="2569" w:type="dxa"/>
                  <w:gridSpan w:val="9"/>
                  <w:vAlign w:val="center"/>
                </w:tcPr>
                <w:p>
                  <w:pPr>
                    <w:adjustRightInd w:val="0"/>
                    <w:snapToGrid w:val="0"/>
                    <w:jc w:val="center"/>
                    <w:rPr>
                      <w:color w:val="auto"/>
                      <w:sz w:val="18"/>
                      <w:szCs w:val="18"/>
                    </w:rPr>
                  </w:pPr>
                  <w:r>
                    <w:rPr>
                      <w:color w:val="auto"/>
                      <w:sz w:val="18"/>
                      <w:szCs w:val="18"/>
                    </w:rPr>
                    <w:t xml:space="preserve">有组织废气监测 </w:t>
                  </w:r>
                  <w:r>
                    <w:rPr>
                      <w:color w:val="auto"/>
                      <w:sz w:val="18"/>
                      <w:szCs w:val="18"/>
                    </w:rPr>
                    <w:sym w:font="Wingdings 2" w:char="0052"/>
                  </w:r>
                </w:p>
                <w:p>
                  <w:pPr>
                    <w:adjustRightInd w:val="0"/>
                    <w:snapToGrid w:val="0"/>
                    <w:jc w:val="center"/>
                    <w:rPr>
                      <w:color w:val="auto"/>
                      <w:sz w:val="18"/>
                      <w:szCs w:val="18"/>
                    </w:rPr>
                  </w:pPr>
                  <w:r>
                    <w:rPr>
                      <w:color w:val="auto"/>
                      <w:sz w:val="18"/>
                      <w:szCs w:val="18"/>
                    </w:rPr>
                    <w:t>无组织废气监测 √</w:t>
                  </w:r>
                </w:p>
              </w:tc>
              <w:tc>
                <w:tcPr>
                  <w:tcW w:w="1113" w:type="dxa"/>
                  <w:gridSpan w:val="2"/>
                  <w:vAlign w:val="center"/>
                </w:tcPr>
                <w:p>
                  <w:pPr>
                    <w:adjustRightInd w:val="0"/>
                    <w:snapToGrid w:val="0"/>
                    <w:jc w:val="center"/>
                    <w:rPr>
                      <w:color w:val="auto"/>
                      <w:sz w:val="18"/>
                      <w:szCs w:val="18"/>
                    </w:rPr>
                  </w:pPr>
                  <w:r>
                    <w:rPr>
                      <w:color w:val="auto"/>
                      <w:sz w:val="18"/>
                      <w:szCs w:val="18"/>
                    </w:rPr>
                    <w:t>无监测□</w:t>
                  </w:r>
                </w:p>
              </w:tc>
            </w:tr>
            <w:tr>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0" w:type="dxa"/>
                  <w:left w:w="0" w:type="dxa"/>
                  <w:bottom w:w="0" w:type="dxa"/>
                  <w:right w:w="0" w:type="dxa"/>
                </w:tblCellMar>
              </w:tblPrEx>
              <w:trPr>
                <w:trHeight w:val="454" w:hRule="atLeast"/>
                <w:jc w:val="center"/>
              </w:trPr>
              <w:tc>
                <w:tcPr>
                  <w:tcW w:w="856" w:type="dxa"/>
                  <w:vMerge w:val="continue"/>
                  <w:vAlign w:val="center"/>
                </w:tcPr>
                <w:p>
                  <w:pPr>
                    <w:adjustRightInd w:val="0"/>
                    <w:snapToGrid w:val="0"/>
                    <w:jc w:val="center"/>
                    <w:rPr>
                      <w:color w:val="auto"/>
                      <w:sz w:val="18"/>
                      <w:szCs w:val="18"/>
                    </w:rPr>
                  </w:pPr>
                </w:p>
              </w:tc>
              <w:tc>
                <w:tcPr>
                  <w:tcW w:w="1487" w:type="dxa"/>
                  <w:vAlign w:val="center"/>
                </w:tcPr>
                <w:p>
                  <w:pPr>
                    <w:adjustRightInd w:val="0"/>
                    <w:snapToGrid w:val="0"/>
                    <w:jc w:val="center"/>
                    <w:rPr>
                      <w:color w:val="auto"/>
                      <w:sz w:val="18"/>
                      <w:szCs w:val="18"/>
                    </w:rPr>
                  </w:pPr>
                  <w:r>
                    <w:rPr>
                      <w:color w:val="auto"/>
                      <w:sz w:val="18"/>
                      <w:szCs w:val="18"/>
                    </w:rPr>
                    <w:t>环境质量监测</w:t>
                  </w:r>
                </w:p>
              </w:tc>
              <w:tc>
                <w:tcPr>
                  <w:tcW w:w="2764" w:type="dxa"/>
                  <w:gridSpan w:val="8"/>
                  <w:vAlign w:val="center"/>
                </w:tcPr>
                <w:p>
                  <w:pPr>
                    <w:tabs>
                      <w:tab w:val="left" w:pos="2440"/>
                    </w:tabs>
                    <w:adjustRightInd w:val="0"/>
                    <w:snapToGrid w:val="0"/>
                    <w:jc w:val="center"/>
                    <w:rPr>
                      <w:color w:val="auto"/>
                      <w:sz w:val="18"/>
                      <w:szCs w:val="18"/>
                    </w:rPr>
                  </w:pPr>
                  <w:r>
                    <w:rPr>
                      <w:color w:val="auto"/>
                      <w:sz w:val="18"/>
                      <w:szCs w:val="18"/>
                    </w:rPr>
                    <w:t>监测因子：（</w:t>
                  </w:r>
                  <w:r>
                    <w:rPr>
                      <w:rFonts w:hint="eastAsia"/>
                      <w:color w:val="auto"/>
                      <w:sz w:val="18"/>
                      <w:szCs w:val="18"/>
                    </w:rPr>
                    <w:t>/</w:t>
                  </w:r>
                  <w:r>
                    <w:rPr>
                      <w:color w:val="auto"/>
                      <w:sz w:val="18"/>
                      <w:szCs w:val="18"/>
                    </w:rPr>
                    <w:t>）</w:t>
                  </w:r>
                </w:p>
              </w:tc>
              <w:tc>
                <w:tcPr>
                  <w:tcW w:w="2569" w:type="dxa"/>
                  <w:gridSpan w:val="9"/>
                  <w:vAlign w:val="center"/>
                </w:tcPr>
                <w:p>
                  <w:pPr>
                    <w:tabs>
                      <w:tab w:val="left" w:pos="1900"/>
                    </w:tabs>
                    <w:adjustRightInd w:val="0"/>
                    <w:snapToGrid w:val="0"/>
                    <w:jc w:val="center"/>
                    <w:rPr>
                      <w:color w:val="auto"/>
                      <w:sz w:val="18"/>
                      <w:szCs w:val="18"/>
                    </w:rPr>
                  </w:pPr>
                  <w:r>
                    <w:rPr>
                      <w:color w:val="auto"/>
                      <w:sz w:val="18"/>
                      <w:szCs w:val="18"/>
                    </w:rPr>
                    <w:t>监测点位数（</w:t>
                  </w:r>
                  <w:r>
                    <w:rPr>
                      <w:rFonts w:hint="eastAsia"/>
                      <w:color w:val="auto"/>
                      <w:sz w:val="18"/>
                      <w:szCs w:val="18"/>
                    </w:rPr>
                    <w:t>/</w:t>
                  </w:r>
                  <w:r>
                    <w:rPr>
                      <w:color w:val="auto"/>
                      <w:sz w:val="18"/>
                      <w:szCs w:val="18"/>
                    </w:rPr>
                    <w:t>）</w:t>
                  </w:r>
                </w:p>
              </w:tc>
              <w:tc>
                <w:tcPr>
                  <w:tcW w:w="1113" w:type="dxa"/>
                  <w:gridSpan w:val="2"/>
                  <w:vAlign w:val="center"/>
                </w:tcPr>
                <w:p>
                  <w:pPr>
                    <w:adjustRightInd w:val="0"/>
                    <w:snapToGrid w:val="0"/>
                    <w:jc w:val="center"/>
                    <w:rPr>
                      <w:color w:val="auto"/>
                      <w:sz w:val="18"/>
                      <w:szCs w:val="18"/>
                    </w:rPr>
                  </w:pPr>
                  <w:r>
                    <w:rPr>
                      <w:color w:val="auto"/>
                      <w:sz w:val="18"/>
                      <w:szCs w:val="18"/>
                    </w:rPr>
                    <w:t>无监测□</w:t>
                  </w:r>
                </w:p>
              </w:tc>
            </w:tr>
            <w:tr>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0" w:type="dxa"/>
                  <w:left w:w="0" w:type="dxa"/>
                  <w:bottom w:w="0" w:type="dxa"/>
                  <w:right w:w="0" w:type="dxa"/>
                </w:tblCellMar>
              </w:tblPrEx>
              <w:trPr>
                <w:trHeight w:val="454" w:hRule="atLeast"/>
                <w:jc w:val="center"/>
              </w:trPr>
              <w:tc>
                <w:tcPr>
                  <w:tcW w:w="856" w:type="dxa"/>
                  <w:vMerge w:val="restart"/>
                  <w:vAlign w:val="center"/>
                </w:tcPr>
                <w:p>
                  <w:pPr>
                    <w:adjustRightInd w:val="0"/>
                    <w:snapToGrid w:val="0"/>
                    <w:jc w:val="center"/>
                    <w:rPr>
                      <w:color w:val="auto"/>
                      <w:sz w:val="18"/>
                      <w:szCs w:val="18"/>
                    </w:rPr>
                  </w:pPr>
                  <w:r>
                    <w:rPr>
                      <w:color w:val="auto"/>
                      <w:sz w:val="18"/>
                      <w:szCs w:val="18"/>
                    </w:rPr>
                    <w:t>评价结论</w:t>
                  </w:r>
                </w:p>
              </w:tc>
              <w:tc>
                <w:tcPr>
                  <w:tcW w:w="1487" w:type="dxa"/>
                  <w:vAlign w:val="center"/>
                </w:tcPr>
                <w:p>
                  <w:pPr>
                    <w:adjustRightInd w:val="0"/>
                    <w:snapToGrid w:val="0"/>
                    <w:jc w:val="center"/>
                    <w:rPr>
                      <w:color w:val="auto"/>
                      <w:sz w:val="18"/>
                      <w:szCs w:val="18"/>
                    </w:rPr>
                  </w:pPr>
                  <w:r>
                    <w:rPr>
                      <w:color w:val="auto"/>
                      <w:sz w:val="18"/>
                      <w:szCs w:val="18"/>
                    </w:rPr>
                    <w:t>环境影响</w:t>
                  </w:r>
                </w:p>
              </w:tc>
              <w:tc>
                <w:tcPr>
                  <w:tcW w:w="6446" w:type="dxa"/>
                  <w:gridSpan w:val="19"/>
                  <w:vAlign w:val="center"/>
                </w:tcPr>
                <w:p>
                  <w:pPr>
                    <w:tabs>
                      <w:tab w:val="left" w:pos="3560"/>
                    </w:tabs>
                    <w:adjustRightInd w:val="0"/>
                    <w:snapToGrid w:val="0"/>
                    <w:jc w:val="center"/>
                    <w:rPr>
                      <w:color w:val="auto"/>
                      <w:sz w:val="18"/>
                      <w:szCs w:val="18"/>
                    </w:rPr>
                  </w:pPr>
                  <w:r>
                    <w:rPr>
                      <w:color w:val="auto"/>
                      <w:sz w:val="18"/>
                      <w:szCs w:val="18"/>
                    </w:rPr>
                    <w:t>可以接受 √</w:t>
                  </w:r>
                  <w:r>
                    <w:rPr>
                      <w:color w:val="auto"/>
                      <w:sz w:val="18"/>
                      <w:szCs w:val="18"/>
                    </w:rPr>
                    <w:tab/>
                  </w:r>
                  <w:r>
                    <w:rPr>
                      <w:color w:val="auto"/>
                      <w:sz w:val="18"/>
                      <w:szCs w:val="18"/>
                    </w:rPr>
                    <w:t>不可以接受 □</w:t>
                  </w:r>
                </w:p>
              </w:tc>
            </w:tr>
            <w:tr>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0" w:type="dxa"/>
                  <w:left w:w="0" w:type="dxa"/>
                  <w:bottom w:w="0" w:type="dxa"/>
                  <w:right w:w="0" w:type="dxa"/>
                </w:tblCellMar>
              </w:tblPrEx>
              <w:trPr>
                <w:trHeight w:val="454" w:hRule="atLeast"/>
                <w:jc w:val="center"/>
              </w:trPr>
              <w:tc>
                <w:tcPr>
                  <w:tcW w:w="856" w:type="dxa"/>
                  <w:vMerge w:val="continue"/>
                  <w:vAlign w:val="center"/>
                </w:tcPr>
                <w:p>
                  <w:pPr>
                    <w:adjustRightInd w:val="0"/>
                    <w:snapToGrid w:val="0"/>
                    <w:jc w:val="center"/>
                    <w:rPr>
                      <w:color w:val="auto"/>
                      <w:sz w:val="18"/>
                      <w:szCs w:val="18"/>
                    </w:rPr>
                  </w:pPr>
                </w:p>
              </w:tc>
              <w:tc>
                <w:tcPr>
                  <w:tcW w:w="1487" w:type="dxa"/>
                  <w:vAlign w:val="center"/>
                </w:tcPr>
                <w:p>
                  <w:pPr>
                    <w:adjustRightInd w:val="0"/>
                    <w:snapToGrid w:val="0"/>
                    <w:jc w:val="center"/>
                    <w:rPr>
                      <w:color w:val="auto"/>
                      <w:sz w:val="18"/>
                      <w:szCs w:val="18"/>
                    </w:rPr>
                  </w:pPr>
                  <w:r>
                    <w:rPr>
                      <w:color w:val="auto"/>
                      <w:sz w:val="18"/>
                      <w:szCs w:val="18"/>
                    </w:rPr>
                    <w:t>大气环境防护距离</w:t>
                  </w:r>
                </w:p>
              </w:tc>
              <w:tc>
                <w:tcPr>
                  <w:tcW w:w="6446" w:type="dxa"/>
                  <w:gridSpan w:val="19"/>
                  <w:vAlign w:val="center"/>
                </w:tcPr>
                <w:p>
                  <w:pPr>
                    <w:tabs>
                      <w:tab w:val="left" w:pos="2820"/>
                      <w:tab w:val="left" w:pos="4340"/>
                    </w:tabs>
                    <w:adjustRightInd w:val="0"/>
                    <w:snapToGrid w:val="0"/>
                    <w:jc w:val="center"/>
                    <w:rPr>
                      <w:color w:val="auto"/>
                      <w:sz w:val="18"/>
                      <w:szCs w:val="18"/>
                    </w:rPr>
                  </w:pPr>
                  <w:r>
                    <w:rPr>
                      <w:color w:val="auto"/>
                      <w:sz w:val="18"/>
                      <w:szCs w:val="18"/>
                    </w:rPr>
                    <w:t>距（）厂界最远（）m</w:t>
                  </w:r>
                </w:p>
              </w:tc>
            </w:tr>
            <w:tr>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0" w:type="dxa"/>
                  <w:left w:w="0" w:type="dxa"/>
                  <w:bottom w:w="0" w:type="dxa"/>
                  <w:right w:w="0" w:type="dxa"/>
                </w:tblCellMar>
              </w:tblPrEx>
              <w:trPr>
                <w:trHeight w:val="454" w:hRule="atLeast"/>
                <w:jc w:val="center"/>
              </w:trPr>
              <w:tc>
                <w:tcPr>
                  <w:tcW w:w="856" w:type="dxa"/>
                  <w:vMerge w:val="continue"/>
                  <w:vAlign w:val="center"/>
                </w:tcPr>
                <w:p>
                  <w:pPr>
                    <w:adjustRightInd w:val="0"/>
                    <w:snapToGrid w:val="0"/>
                    <w:jc w:val="center"/>
                    <w:rPr>
                      <w:color w:val="auto"/>
                      <w:sz w:val="18"/>
                      <w:szCs w:val="18"/>
                    </w:rPr>
                  </w:pPr>
                </w:p>
              </w:tc>
              <w:tc>
                <w:tcPr>
                  <w:tcW w:w="1487" w:type="dxa"/>
                  <w:vAlign w:val="center"/>
                </w:tcPr>
                <w:p>
                  <w:pPr>
                    <w:adjustRightInd w:val="0"/>
                    <w:snapToGrid w:val="0"/>
                    <w:jc w:val="center"/>
                    <w:rPr>
                      <w:color w:val="auto"/>
                      <w:sz w:val="18"/>
                      <w:szCs w:val="18"/>
                    </w:rPr>
                  </w:pPr>
                  <w:r>
                    <w:rPr>
                      <w:color w:val="auto"/>
                      <w:sz w:val="18"/>
                      <w:szCs w:val="18"/>
                    </w:rPr>
                    <w:t>污染源年排放量</w:t>
                  </w:r>
                </w:p>
              </w:tc>
              <w:tc>
                <w:tcPr>
                  <w:tcW w:w="1621" w:type="dxa"/>
                  <w:gridSpan w:val="4"/>
                  <w:vAlign w:val="center"/>
                </w:tcPr>
                <w:p>
                  <w:pPr>
                    <w:tabs>
                      <w:tab w:val="left" w:pos="1100"/>
                    </w:tabs>
                    <w:adjustRightInd w:val="0"/>
                    <w:snapToGrid w:val="0"/>
                    <w:jc w:val="center"/>
                    <w:rPr>
                      <w:color w:val="auto"/>
                      <w:sz w:val="18"/>
                      <w:szCs w:val="18"/>
                    </w:rPr>
                  </w:pPr>
                  <w:r>
                    <w:rPr>
                      <w:color w:val="auto"/>
                      <w:sz w:val="18"/>
                      <w:szCs w:val="18"/>
                    </w:rPr>
                    <w:t>SO</w:t>
                  </w:r>
                  <w:r>
                    <w:rPr>
                      <w:color w:val="auto"/>
                      <w:sz w:val="18"/>
                      <w:szCs w:val="18"/>
                      <w:vertAlign w:val="subscript"/>
                    </w:rPr>
                    <w:t>2</w:t>
                  </w:r>
                  <w:r>
                    <w:rPr>
                      <w:color w:val="auto"/>
                      <w:sz w:val="18"/>
                      <w:szCs w:val="18"/>
                    </w:rPr>
                    <w:t>:（</w:t>
                  </w:r>
                  <w:r>
                    <w:rPr>
                      <w:rFonts w:hint="eastAsia"/>
                      <w:color w:val="auto"/>
                      <w:sz w:val="18"/>
                      <w:szCs w:val="18"/>
                    </w:rPr>
                    <w:t>0</w:t>
                  </w:r>
                  <w:r>
                    <w:rPr>
                      <w:color w:val="auto"/>
                      <w:sz w:val="18"/>
                      <w:szCs w:val="18"/>
                    </w:rPr>
                    <w:t>）t/a</w:t>
                  </w:r>
                </w:p>
              </w:tc>
              <w:tc>
                <w:tcPr>
                  <w:tcW w:w="1492" w:type="dxa"/>
                  <w:gridSpan w:val="7"/>
                  <w:vAlign w:val="center"/>
                </w:tcPr>
                <w:p>
                  <w:pPr>
                    <w:tabs>
                      <w:tab w:val="left" w:pos="1160"/>
                    </w:tabs>
                    <w:adjustRightInd w:val="0"/>
                    <w:snapToGrid w:val="0"/>
                    <w:jc w:val="center"/>
                    <w:rPr>
                      <w:color w:val="auto"/>
                      <w:sz w:val="18"/>
                      <w:szCs w:val="18"/>
                    </w:rPr>
                  </w:pPr>
                  <w:r>
                    <w:rPr>
                      <w:color w:val="auto"/>
                      <w:sz w:val="18"/>
                      <w:szCs w:val="18"/>
                    </w:rPr>
                    <w:t>NOx:（0）t/a</w:t>
                  </w:r>
                </w:p>
              </w:tc>
              <w:tc>
                <w:tcPr>
                  <w:tcW w:w="1515" w:type="dxa"/>
                  <w:gridSpan w:val="3"/>
                  <w:vAlign w:val="center"/>
                </w:tcPr>
                <w:p>
                  <w:pPr>
                    <w:tabs>
                      <w:tab w:val="left" w:pos="1060"/>
                    </w:tabs>
                    <w:adjustRightInd w:val="0"/>
                    <w:snapToGrid w:val="0"/>
                    <w:jc w:val="center"/>
                    <w:rPr>
                      <w:color w:val="auto"/>
                      <w:sz w:val="18"/>
                      <w:szCs w:val="18"/>
                    </w:rPr>
                  </w:pPr>
                  <w:r>
                    <w:rPr>
                      <w:color w:val="auto"/>
                      <w:sz w:val="18"/>
                      <w:szCs w:val="18"/>
                    </w:rPr>
                    <w:t>颗粒物:（</w:t>
                  </w:r>
                  <w:r>
                    <w:rPr>
                      <w:rFonts w:hint="eastAsia"/>
                      <w:color w:val="auto"/>
                      <w:sz w:val="18"/>
                      <w:szCs w:val="18"/>
                      <w:lang w:val="en-US" w:eastAsia="zh-CN"/>
                    </w:rPr>
                    <w:t>0.0015</w:t>
                  </w:r>
                  <w:r>
                    <w:rPr>
                      <w:color w:val="auto"/>
                      <w:sz w:val="18"/>
                      <w:szCs w:val="18"/>
                    </w:rPr>
                    <w:t>）t/a</w:t>
                  </w:r>
                </w:p>
              </w:tc>
              <w:tc>
                <w:tcPr>
                  <w:tcW w:w="1818" w:type="dxa"/>
                  <w:gridSpan w:val="5"/>
                  <w:vAlign w:val="center"/>
                </w:tcPr>
                <w:p>
                  <w:pPr>
                    <w:tabs>
                      <w:tab w:val="left" w:pos="1020"/>
                    </w:tabs>
                    <w:adjustRightInd w:val="0"/>
                    <w:snapToGrid w:val="0"/>
                    <w:jc w:val="center"/>
                    <w:rPr>
                      <w:rFonts w:hint="default"/>
                      <w:color w:val="auto"/>
                      <w:sz w:val="18"/>
                      <w:szCs w:val="18"/>
                      <w:lang w:val="en-US" w:eastAsia="zh-CN"/>
                    </w:rPr>
                  </w:pPr>
                  <w:r>
                    <w:rPr>
                      <w:rFonts w:hint="eastAsia"/>
                      <w:color w:val="auto"/>
                      <w:sz w:val="18"/>
                      <w:szCs w:val="18"/>
                      <w:lang w:eastAsia="zh-CN"/>
                    </w:rPr>
                    <w:t>非甲烷总烃</w:t>
                  </w:r>
                  <w:r>
                    <w:rPr>
                      <w:color w:val="auto"/>
                      <w:sz w:val="18"/>
                      <w:szCs w:val="18"/>
                    </w:rPr>
                    <w:t>:（</w:t>
                  </w:r>
                  <w:r>
                    <w:rPr>
                      <w:rFonts w:hint="eastAsia"/>
                      <w:color w:val="auto"/>
                      <w:sz w:val="18"/>
                      <w:szCs w:val="18"/>
                    </w:rPr>
                    <w:t>0.1</w:t>
                  </w:r>
                  <w:r>
                    <w:rPr>
                      <w:rFonts w:hint="eastAsia"/>
                      <w:color w:val="auto"/>
                      <w:sz w:val="18"/>
                      <w:szCs w:val="18"/>
                      <w:lang w:val="en-US" w:eastAsia="zh-CN"/>
                    </w:rPr>
                    <w:t>2</w:t>
                  </w:r>
                  <w:r>
                    <w:rPr>
                      <w:color w:val="auto"/>
                      <w:sz w:val="18"/>
                      <w:szCs w:val="18"/>
                    </w:rPr>
                    <w:t>）</w:t>
                  </w:r>
                  <w:r>
                    <w:rPr>
                      <w:rFonts w:hint="eastAsia"/>
                      <w:color w:val="auto"/>
                      <w:sz w:val="18"/>
                      <w:szCs w:val="18"/>
                      <w:lang w:val="en-US" w:eastAsia="zh-CN"/>
                    </w:rPr>
                    <w:t>kg</w:t>
                  </w:r>
                </w:p>
                <w:p>
                  <w:pPr>
                    <w:tabs>
                      <w:tab w:val="left" w:pos="1020"/>
                    </w:tabs>
                    <w:adjustRightInd w:val="0"/>
                    <w:snapToGrid w:val="0"/>
                    <w:jc w:val="center"/>
                    <w:rPr>
                      <w:color w:val="auto"/>
                      <w:sz w:val="18"/>
                      <w:szCs w:val="18"/>
                    </w:rPr>
                  </w:pPr>
                  <w:r>
                    <w:rPr>
                      <w:color w:val="auto"/>
                      <w:sz w:val="18"/>
                      <w:szCs w:val="18"/>
                    </w:rPr>
                    <w:t>/a</w:t>
                  </w:r>
                </w:p>
              </w:tc>
            </w:tr>
            <w:tr>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0" w:type="dxa"/>
                  <w:left w:w="0" w:type="dxa"/>
                  <w:bottom w:w="0" w:type="dxa"/>
                  <w:right w:w="0" w:type="dxa"/>
                </w:tblCellMar>
              </w:tblPrEx>
              <w:trPr>
                <w:trHeight w:val="454" w:hRule="atLeast"/>
                <w:jc w:val="center"/>
              </w:trPr>
              <w:tc>
                <w:tcPr>
                  <w:tcW w:w="8789" w:type="dxa"/>
                  <w:gridSpan w:val="21"/>
                  <w:vAlign w:val="center"/>
                </w:tcPr>
                <w:p>
                  <w:pPr>
                    <w:adjustRightInd w:val="0"/>
                    <w:snapToGrid w:val="0"/>
                    <w:rPr>
                      <w:color w:val="auto"/>
                      <w:sz w:val="18"/>
                      <w:szCs w:val="18"/>
                    </w:rPr>
                  </w:pPr>
                  <w:r>
                    <w:rPr>
                      <w:color w:val="auto"/>
                      <w:sz w:val="18"/>
                      <w:szCs w:val="18"/>
                    </w:rPr>
                    <w:t>注：“□” 为勾选项 ，填“√” ；“（</w:t>
                  </w:r>
                  <w:r>
                    <w:rPr>
                      <w:color w:val="auto"/>
                      <w:sz w:val="18"/>
                      <w:szCs w:val="18"/>
                    </w:rPr>
                    <w:tab/>
                  </w:r>
                  <w:r>
                    <w:rPr>
                      <w:color w:val="auto"/>
                      <w:sz w:val="18"/>
                      <w:szCs w:val="18"/>
                    </w:rPr>
                    <w:t>）”  为内容填写项</w:t>
                  </w:r>
                </w:p>
              </w:tc>
            </w:tr>
          </w:tbl>
          <w:p>
            <w:pPr>
              <w:spacing w:line="360" w:lineRule="auto"/>
              <w:ind w:firstLine="480" w:firstLineChars="200"/>
              <w:rPr>
                <w:b/>
                <w:color w:val="auto"/>
                <w:sz w:val="24"/>
              </w:rPr>
            </w:pPr>
            <w:r>
              <w:rPr>
                <w:b/>
                <w:color w:val="auto"/>
                <w:sz w:val="24"/>
              </w:rPr>
              <w:t>2、水环境影响分析</w:t>
            </w:r>
          </w:p>
          <w:p>
            <w:pPr>
              <w:pStyle w:val="474"/>
              <w:spacing w:line="360" w:lineRule="auto"/>
              <w:ind w:firstLine="482"/>
              <w:jc w:val="both"/>
              <w:rPr>
                <w:b/>
                <w:color w:val="auto"/>
                <w:szCs w:val="24"/>
              </w:rPr>
            </w:pPr>
            <w:r>
              <w:rPr>
                <w:b/>
                <w:color w:val="auto"/>
                <w:szCs w:val="24"/>
              </w:rPr>
              <w:t>（1）评价等级判定</w:t>
            </w:r>
          </w:p>
          <w:p>
            <w:pPr>
              <w:pStyle w:val="474"/>
              <w:spacing w:line="360" w:lineRule="auto"/>
              <w:jc w:val="both"/>
              <w:rPr>
                <w:color w:val="auto"/>
                <w:szCs w:val="24"/>
              </w:rPr>
            </w:pPr>
            <w:r>
              <w:rPr>
                <w:color w:val="auto"/>
                <w:szCs w:val="24"/>
              </w:rPr>
              <w:t>本项目建设未涉及地表水域，项目取水为市政用水，</w:t>
            </w:r>
            <w:r>
              <w:rPr>
                <w:color w:val="auto"/>
              </w:rPr>
              <w:t>运行期生活污水经化粪池预处理后通过</w:t>
            </w:r>
            <w:r>
              <w:rPr>
                <w:rFonts w:hint="eastAsia"/>
                <w:color w:val="auto"/>
              </w:rPr>
              <w:t>市政污水管网</w:t>
            </w:r>
            <w:r>
              <w:rPr>
                <w:color w:val="auto"/>
              </w:rPr>
              <w:t>接管至金坛区第二污水处理厂，</w:t>
            </w:r>
            <w:r>
              <w:rPr>
                <w:color w:val="auto"/>
                <w:szCs w:val="24"/>
              </w:rPr>
              <w:t>达标后排入尧塘河。</w:t>
            </w:r>
          </w:p>
          <w:p>
            <w:pPr>
              <w:pStyle w:val="474"/>
              <w:spacing w:line="360" w:lineRule="auto"/>
              <w:jc w:val="both"/>
              <w:rPr>
                <w:color w:val="auto"/>
                <w:szCs w:val="24"/>
              </w:rPr>
            </w:pPr>
            <w:r>
              <w:rPr>
                <w:color w:val="auto"/>
                <w:szCs w:val="24"/>
              </w:rPr>
              <w:t>因此判定本项目为水污染影响型建设项目，评价等级为三级B。</w:t>
            </w:r>
          </w:p>
          <w:p>
            <w:pPr>
              <w:pStyle w:val="474"/>
              <w:spacing w:line="360" w:lineRule="auto"/>
              <w:jc w:val="both"/>
              <w:rPr>
                <w:color w:val="auto"/>
                <w:szCs w:val="24"/>
              </w:rPr>
            </w:pPr>
            <w:r>
              <w:rPr>
                <w:color w:val="auto"/>
                <w:szCs w:val="24"/>
              </w:rPr>
              <w:t>废水类别、污染物及污染治理设施信息表详见下表：</w:t>
            </w:r>
          </w:p>
          <w:p>
            <w:pPr>
              <w:jc w:val="center"/>
              <w:rPr>
                <w:b/>
                <w:color w:val="auto"/>
                <w:szCs w:val="21"/>
              </w:rPr>
            </w:pPr>
            <w:r>
              <w:rPr>
                <w:b/>
                <w:color w:val="auto"/>
                <w:szCs w:val="21"/>
              </w:rPr>
              <w:t>表7-</w:t>
            </w:r>
            <w:r>
              <w:rPr>
                <w:rFonts w:hint="eastAsia"/>
                <w:b/>
                <w:color w:val="auto"/>
                <w:szCs w:val="21"/>
              </w:rPr>
              <w:t>1</w:t>
            </w:r>
            <w:r>
              <w:rPr>
                <w:rFonts w:hint="eastAsia"/>
                <w:b/>
                <w:color w:val="auto"/>
                <w:szCs w:val="21"/>
                <w:lang w:val="en-US" w:eastAsia="zh-CN"/>
              </w:rPr>
              <w:t>5</w:t>
            </w:r>
            <w:r>
              <w:rPr>
                <w:b/>
                <w:color w:val="auto"/>
                <w:szCs w:val="21"/>
              </w:rPr>
              <w:t xml:space="preserve"> 废水类别、污染物及污染治理设施信息表</w:t>
            </w:r>
          </w:p>
          <w:tbl>
            <w:tblPr>
              <w:tblStyle w:val="56"/>
              <w:tblW w:w="8302" w:type="dxa"/>
              <w:tblInd w:w="0" w:type="dxa"/>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419"/>
              <w:gridCol w:w="724"/>
              <w:gridCol w:w="777"/>
              <w:gridCol w:w="727"/>
              <w:gridCol w:w="734"/>
              <w:gridCol w:w="766"/>
              <w:gridCol w:w="727"/>
              <w:gridCol w:w="728"/>
              <w:gridCol w:w="786"/>
              <w:gridCol w:w="729"/>
              <w:gridCol w:w="1185"/>
            </w:tblGrid>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88" w:hRule="atLeast"/>
              </w:trPr>
              <w:tc>
                <w:tcPr>
                  <w:tcW w:w="419" w:type="dxa"/>
                  <w:vMerge w:val="restart"/>
                  <w:vAlign w:val="center"/>
                </w:tcPr>
                <w:p>
                  <w:pPr>
                    <w:pStyle w:val="123"/>
                    <w:rPr>
                      <w:b/>
                      <w:color w:val="auto"/>
                      <w:sz w:val="18"/>
                      <w:szCs w:val="18"/>
                    </w:rPr>
                  </w:pPr>
                  <w:r>
                    <w:rPr>
                      <w:b/>
                      <w:color w:val="auto"/>
                      <w:sz w:val="18"/>
                      <w:szCs w:val="18"/>
                    </w:rPr>
                    <w:t>序号</w:t>
                  </w:r>
                </w:p>
              </w:tc>
              <w:tc>
                <w:tcPr>
                  <w:tcW w:w="727" w:type="dxa"/>
                  <w:vMerge w:val="restart"/>
                  <w:vAlign w:val="center"/>
                </w:tcPr>
                <w:p>
                  <w:pPr>
                    <w:pStyle w:val="123"/>
                    <w:rPr>
                      <w:b/>
                      <w:color w:val="auto"/>
                      <w:sz w:val="18"/>
                      <w:szCs w:val="18"/>
                    </w:rPr>
                  </w:pPr>
                  <w:r>
                    <w:rPr>
                      <w:b/>
                      <w:color w:val="auto"/>
                      <w:sz w:val="18"/>
                      <w:szCs w:val="18"/>
                    </w:rPr>
                    <w:t>废水类别</w:t>
                  </w:r>
                </w:p>
              </w:tc>
              <w:tc>
                <w:tcPr>
                  <w:tcW w:w="777" w:type="dxa"/>
                  <w:vMerge w:val="restart"/>
                  <w:vAlign w:val="center"/>
                </w:tcPr>
                <w:p>
                  <w:pPr>
                    <w:pStyle w:val="123"/>
                    <w:rPr>
                      <w:b/>
                      <w:color w:val="auto"/>
                      <w:sz w:val="18"/>
                      <w:szCs w:val="18"/>
                    </w:rPr>
                  </w:pPr>
                  <w:r>
                    <w:rPr>
                      <w:b/>
                      <w:color w:val="auto"/>
                      <w:sz w:val="18"/>
                      <w:szCs w:val="18"/>
                    </w:rPr>
                    <w:t>污染物种类</w:t>
                  </w:r>
                </w:p>
              </w:tc>
              <w:tc>
                <w:tcPr>
                  <w:tcW w:w="731" w:type="dxa"/>
                  <w:vMerge w:val="restart"/>
                  <w:vAlign w:val="center"/>
                </w:tcPr>
                <w:p>
                  <w:pPr>
                    <w:pStyle w:val="123"/>
                    <w:rPr>
                      <w:color w:val="auto"/>
                      <w:sz w:val="18"/>
                      <w:szCs w:val="24"/>
                    </w:rPr>
                  </w:pPr>
                  <w:r>
                    <w:rPr>
                      <w:b/>
                      <w:color w:val="auto"/>
                      <w:sz w:val="18"/>
                      <w:szCs w:val="18"/>
                    </w:rPr>
                    <w:t>排放去向</w:t>
                  </w:r>
                </w:p>
              </w:tc>
              <w:tc>
                <w:tcPr>
                  <w:tcW w:w="736" w:type="dxa"/>
                  <w:vMerge w:val="restart"/>
                  <w:vAlign w:val="center"/>
                </w:tcPr>
                <w:p>
                  <w:pPr>
                    <w:pStyle w:val="123"/>
                    <w:rPr>
                      <w:b/>
                      <w:color w:val="auto"/>
                      <w:sz w:val="18"/>
                      <w:szCs w:val="18"/>
                    </w:rPr>
                  </w:pPr>
                  <w:r>
                    <w:rPr>
                      <w:b/>
                      <w:color w:val="auto"/>
                      <w:sz w:val="18"/>
                      <w:szCs w:val="18"/>
                    </w:rPr>
                    <w:t>排放规律</w:t>
                  </w:r>
                </w:p>
              </w:tc>
              <w:tc>
                <w:tcPr>
                  <w:tcW w:w="2204" w:type="dxa"/>
                  <w:gridSpan w:val="3"/>
                  <w:vAlign w:val="center"/>
                </w:tcPr>
                <w:p>
                  <w:pPr>
                    <w:pStyle w:val="123"/>
                    <w:rPr>
                      <w:b/>
                      <w:color w:val="auto"/>
                      <w:sz w:val="18"/>
                      <w:szCs w:val="18"/>
                    </w:rPr>
                  </w:pPr>
                  <w:r>
                    <w:rPr>
                      <w:b/>
                      <w:color w:val="auto"/>
                      <w:sz w:val="18"/>
                      <w:szCs w:val="18"/>
                    </w:rPr>
                    <w:t>污染治理设施</w:t>
                  </w:r>
                </w:p>
              </w:tc>
              <w:tc>
                <w:tcPr>
                  <w:tcW w:w="786" w:type="dxa"/>
                  <w:vMerge w:val="restart"/>
                  <w:vAlign w:val="center"/>
                </w:tcPr>
                <w:p>
                  <w:pPr>
                    <w:pStyle w:val="123"/>
                    <w:rPr>
                      <w:b/>
                      <w:color w:val="auto"/>
                      <w:sz w:val="18"/>
                      <w:szCs w:val="18"/>
                    </w:rPr>
                  </w:pPr>
                  <w:r>
                    <w:rPr>
                      <w:b/>
                      <w:color w:val="auto"/>
                      <w:sz w:val="18"/>
                      <w:szCs w:val="18"/>
                    </w:rPr>
                    <w:t>排放口编号</w:t>
                  </w:r>
                </w:p>
              </w:tc>
              <w:tc>
                <w:tcPr>
                  <w:tcW w:w="731" w:type="dxa"/>
                  <w:vMerge w:val="restart"/>
                  <w:vAlign w:val="center"/>
                </w:tcPr>
                <w:p>
                  <w:pPr>
                    <w:pStyle w:val="123"/>
                    <w:rPr>
                      <w:b/>
                      <w:color w:val="auto"/>
                      <w:sz w:val="18"/>
                      <w:szCs w:val="18"/>
                    </w:rPr>
                  </w:pPr>
                  <w:r>
                    <w:rPr>
                      <w:b/>
                      <w:color w:val="auto"/>
                      <w:sz w:val="18"/>
                      <w:szCs w:val="18"/>
                    </w:rPr>
                    <w:t>排放口设置是否符合要求</w:t>
                  </w:r>
                </w:p>
              </w:tc>
              <w:tc>
                <w:tcPr>
                  <w:tcW w:w="1191" w:type="dxa"/>
                  <w:vMerge w:val="restart"/>
                  <w:vAlign w:val="center"/>
                </w:tcPr>
                <w:p>
                  <w:pPr>
                    <w:pStyle w:val="123"/>
                    <w:rPr>
                      <w:color w:val="auto"/>
                      <w:sz w:val="18"/>
                      <w:szCs w:val="24"/>
                    </w:rPr>
                  </w:pPr>
                  <w:r>
                    <w:rPr>
                      <w:b/>
                      <w:color w:val="auto"/>
                      <w:sz w:val="18"/>
                      <w:szCs w:val="18"/>
                    </w:rPr>
                    <w:t>排放口类型</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88" w:hRule="atLeast"/>
              </w:trPr>
              <w:tc>
                <w:tcPr>
                  <w:tcW w:w="419" w:type="dxa"/>
                  <w:vMerge w:val="continue"/>
                </w:tcPr>
                <w:p>
                  <w:pPr>
                    <w:rPr>
                      <w:color w:val="auto"/>
                    </w:rPr>
                  </w:pPr>
                </w:p>
              </w:tc>
              <w:tc>
                <w:tcPr>
                  <w:tcW w:w="727" w:type="dxa"/>
                  <w:vMerge w:val="continue"/>
                </w:tcPr>
                <w:p>
                  <w:pPr>
                    <w:rPr>
                      <w:color w:val="auto"/>
                    </w:rPr>
                  </w:pPr>
                </w:p>
              </w:tc>
              <w:tc>
                <w:tcPr>
                  <w:tcW w:w="777" w:type="dxa"/>
                  <w:vMerge w:val="continue"/>
                </w:tcPr>
                <w:p>
                  <w:pPr>
                    <w:rPr>
                      <w:color w:val="auto"/>
                    </w:rPr>
                  </w:pPr>
                </w:p>
              </w:tc>
              <w:tc>
                <w:tcPr>
                  <w:tcW w:w="731" w:type="dxa"/>
                  <w:vMerge w:val="continue"/>
                </w:tcPr>
                <w:p>
                  <w:pPr>
                    <w:rPr>
                      <w:color w:val="auto"/>
                    </w:rPr>
                  </w:pPr>
                </w:p>
              </w:tc>
              <w:tc>
                <w:tcPr>
                  <w:tcW w:w="736" w:type="dxa"/>
                  <w:vMerge w:val="continue"/>
                </w:tcPr>
                <w:p>
                  <w:pPr>
                    <w:rPr>
                      <w:color w:val="auto"/>
                    </w:rPr>
                  </w:pPr>
                </w:p>
              </w:tc>
              <w:tc>
                <w:tcPr>
                  <w:tcW w:w="741" w:type="dxa"/>
                </w:tcPr>
                <w:p>
                  <w:pPr>
                    <w:pStyle w:val="123"/>
                    <w:rPr>
                      <w:b/>
                      <w:color w:val="auto"/>
                      <w:sz w:val="18"/>
                      <w:szCs w:val="18"/>
                    </w:rPr>
                  </w:pPr>
                  <w:r>
                    <w:rPr>
                      <w:b/>
                      <w:color w:val="auto"/>
                      <w:sz w:val="18"/>
                      <w:szCs w:val="18"/>
                    </w:rPr>
                    <w:t>污染治理设施编号</w:t>
                  </w:r>
                </w:p>
              </w:tc>
              <w:tc>
                <w:tcPr>
                  <w:tcW w:w="731" w:type="dxa"/>
                </w:tcPr>
                <w:p>
                  <w:pPr>
                    <w:pStyle w:val="123"/>
                    <w:rPr>
                      <w:b/>
                      <w:color w:val="auto"/>
                      <w:sz w:val="18"/>
                      <w:szCs w:val="18"/>
                    </w:rPr>
                  </w:pPr>
                  <w:r>
                    <w:rPr>
                      <w:b/>
                      <w:color w:val="auto"/>
                      <w:sz w:val="18"/>
                      <w:szCs w:val="18"/>
                    </w:rPr>
                    <w:t>污染治理设施名称</w:t>
                  </w:r>
                </w:p>
              </w:tc>
              <w:tc>
                <w:tcPr>
                  <w:tcW w:w="732" w:type="dxa"/>
                </w:tcPr>
                <w:p>
                  <w:pPr>
                    <w:pStyle w:val="123"/>
                    <w:rPr>
                      <w:b/>
                      <w:color w:val="auto"/>
                      <w:sz w:val="18"/>
                      <w:szCs w:val="18"/>
                    </w:rPr>
                  </w:pPr>
                  <w:r>
                    <w:rPr>
                      <w:b/>
                      <w:color w:val="auto"/>
                      <w:sz w:val="18"/>
                      <w:szCs w:val="18"/>
                    </w:rPr>
                    <w:t>污染治理设施工艺</w:t>
                  </w:r>
                </w:p>
              </w:tc>
              <w:tc>
                <w:tcPr>
                  <w:tcW w:w="786" w:type="dxa"/>
                  <w:vMerge w:val="continue"/>
                </w:tcPr>
                <w:p>
                  <w:pPr>
                    <w:rPr>
                      <w:color w:val="auto"/>
                    </w:rPr>
                  </w:pPr>
                </w:p>
              </w:tc>
              <w:tc>
                <w:tcPr>
                  <w:tcW w:w="731" w:type="dxa"/>
                  <w:vMerge w:val="continue"/>
                </w:tcPr>
                <w:p>
                  <w:pPr>
                    <w:rPr>
                      <w:color w:val="auto"/>
                    </w:rPr>
                  </w:pPr>
                </w:p>
              </w:tc>
              <w:tc>
                <w:tcPr>
                  <w:tcW w:w="1191" w:type="dxa"/>
                  <w:vMerge w:val="continue"/>
                </w:tcPr>
                <w:p>
                  <w:pPr>
                    <w:rPr>
                      <w:color w:val="auto"/>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419" w:type="dxa"/>
                  <w:vAlign w:val="center"/>
                </w:tcPr>
                <w:p>
                  <w:pPr>
                    <w:pStyle w:val="474"/>
                    <w:spacing w:line="360" w:lineRule="auto"/>
                    <w:ind w:firstLine="0" w:firstLineChars="0"/>
                    <w:jc w:val="center"/>
                    <w:rPr>
                      <w:color w:val="auto"/>
                      <w:sz w:val="18"/>
                      <w:szCs w:val="24"/>
                    </w:rPr>
                  </w:pPr>
                  <w:r>
                    <w:rPr>
                      <w:color w:val="auto"/>
                      <w:sz w:val="18"/>
                      <w:szCs w:val="24"/>
                    </w:rPr>
                    <w:t>1</w:t>
                  </w:r>
                </w:p>
              </w:tc>
              <w:tc>
                <w:tcPr>
                  <w:tcW w:w="727" w:type="dxa"/>
                  <w:vAlign w:val="center"/>
                </w:tcPr>
                <w:p>
                  <w:pPr>
                    <w:pStyle w:val="474"/>
                    <w:spacing w:line="240" w:lineRule="auto"/>
                    <w:ind w:firstLine="0" w:firstLineChars="0"/>
                    <w:jc w:val="center"/>
                    <w:rPr>
                      <w:color w:val="auto"/>
                      <w:sz w:val="18"/>
                      <w:szCs w:val="24"/>
                    </w:rPr>
                  </w:pPr>
                  <w:r>
                    <w:rPr>
                      <w:color w:val="auto"/>
                      <w:sz w:val="18"/>
                      <w:szCs w:val="24"/>
                    </w:rPr>
                    <w:t>生活污水</w:t>
                  </w:r>
                </w:p>
              </w:tc>
              <w:tc>
                <w:tcPr>
                  <w:tcW w:w="777" w:type="dxa"/>
                  <w:vAlign w:val="center"/>
                </w:tcPr>
                <w:p>
                  <w:pPr>
                    <w:pStyle w:val="474"/>
                    <w:spacing w:line="240" w:lineRule="auto"/>
                    <w:ind w:firstLine="0" w:firstLineChars="0"/>
                    <w:jc w:val="center"/>
                    <w:rPr>
                      <w:color w:val="auto"/>
                      <w:sz w:val="18"/>
                      <w:szCs w:val="24"/>
                    </w:rPr>
                  </w:pPr>
                  <w:r>
                    <w:rPr>
                      <w:color w:val="auto"/>
                      <w:sz w:val="18"/>
                      <w:szCs w:val="21"/>
                    </w:rPr>
                    <w:t>COD、SS、氨氮、TP、TN</w:t>
                  </w:r>
                </w:p>
              </w:tc>
              <w:tc>
                <w:tcPr>
                  <w:tcW w:w="731" w:type="dxa"/>
                  <w:vAlign w:val="center"/>
                </w:tcPr>
                <w:p>
                  <w:pPr>
                    <w:pStyle w:val="474"/>
                    <w:spacing w:line="240" w:lineRule="auto"/>
                    <w:ind w:firstLine="0" w:firstLineChars="0"/>
                    <w:jc w:val="center"/>
                    <w:rPr>
                      <w:color w:val="auto"/>
                      <w:sz w:val="18"/>
                      <w:szCs w:val="24"/>
                    </w:rPr>
                  </w:pPr>
                  <w:r>
                    <w:rPr>
                      <w:color w:val="auto"/>
                      <w:sz w:val="18"/>
                      <w:szCs w:val="24"/>
                    </w:rPr>
                    <w:t>排放至金坛第二污水处理厂</w:t>
                  </w:r>
                </w:p>
              </w:tc>
              <w:tc>
                <w:tcPr>
                  <w:tcW w:w="736" w:type="dxa"/>
                  <w:vAlign w:val="center"/>
                </w:tcPr>
                <w:p>
                  <w:pPr>
                    <w:pStyle w:val="474"/>
                    <w:spacing w:line="240" w:lineRule="auto"/>
                    <w:ind w:firstLine="0" w:firstLineChars="0"/>
                    <w:jc w:val="center"/>
                    <w:rPr>
                      <w:color w:val="auto"/>
                      <w:sz w:val="18"/>
                      <w:szCs w:val="24"/>
                    </w:rPr>
                  </w:pPr>
                  <w:r>
                    <w:rPr>
                      <w:rFonts w:hint="eastAsia"/>
                      <w:color w:val="auto"/>
                      <w:sz w:val="18"/>
                      <w:szCs w:val="24"/>
                    </w:rPr>
                    <w:t>间断</w:t>
                  </w:r>
                  <w:r>
                    <w:rPr>
                      <w:color w:val="auto"/>
                      <w:sz w:val="18"/>
                      <w:szCs w:val="24"/>
                    </w:rPr>
                    <w:t>排放，流量</w:t>
                  </w:r>
                  <w:r>
                    <w:rPr>
                      <w:rFonts w:hint="eastAsia"/>
                      <w:color w:val="auto"/>
                      <w:sz w:val="18"/>
                      <w:szCs w:val="24"/>
                    </w:rPr>
                    <w:t>不</w:t>
                  </w:r>
                  <w:r>
                    <w:rPr>
                      <w:color w:val="auto"/>
                      <w:sz w:val="18"/>
                      <w:szCs w:val="24"/>
                    </w:rPr>
                    <w:t>稳定</w:t>
                  </w:r>
                </w:p>
              </w:tc>
              <w:tc>
                <w:tcPr>
                  <w:tcW w:w="741" w:type="dxa"/>
                  <w:vAlign w:val="center"/>
                </w:tcPr>
                <w:p>
                  <w:pPr>
                    <w:pStyle w:val="474"/>
                    <w:spacing w:line="240" w:lineRule="auto"/>
                    <w:ind w:firstLine="0" w:firstLineChars="0"/>
                    <w:jc w:val="center"/>
                    <w:rPr>
                      <w:color w:val="auto"/>
                      <w:sz w:val="18"/>
                      <w:szCs w:val="24"/>
                    </w:rPr>
                  </w:pPr>
                  <w:r>
                    <w:rPr>
                      <w:color w:val="auto"/>
                      <w:sz w:val="18"/>
                      <w:szCs w:val="24"/>
                    </w:rPr>
                    <w:t>T</w:t>
                  </w:r>
                  <w:r>
                    <w:rPr>
                      <w:rFonts w:hint="eastAsia"/>
                      <w:color w:val="auto"/>
                      <w:sz w:val="18"/>
                      <w:szCs w:val="24"/>
                    </w:rPr>
                    <w:t>W</w:t>
                  </w:r>
                  <w:r>
                    <w:rPr>
                      <w:color w:val="auto"/>
                      <w:sz w:val="18"/>
                      <w:szCs w:val="24"/>
                    </w:rPr>
                    <w:t>001</w:t>
                  </w:r>
                </w:p>
              </w:tc>
              <w:tc>
                <w:tcPr>
                  <w:tcW w:w="731" w:type="dxa"/>
                  <w:vAlign w:val="center"/>
                </w:tcPr>
                <w:p>
                  <w:pPr>
                    <w:pStyle w:val="474"/>
                    <w:spacing w:line="240" w:lineRule="auto"/>
                    <w:ind w:firstLine="0" w:firstLineChars="0"/>
                    <w:jc w:val="center"/>
                    <w:rPr>
                      <w:color w:val="auto"/>
                      <w:sz w:val="18"/>
                      <w:szCs w:val="24"/>
                    </w:rPr>
                  </w:pPr>
                  <w:r>
                    <w:rPr>
                      <w:color w:val="auto"/>
                      <w:sz w:val="18"/>
                      <w:szCs w:val="24"/>
                    </w:rPr>
                    <w:t>生活污水处理系统</w:t>
                  </w:r>
                </w:p>
              </w:tc>
              <w:tc>
                <w:tcPr>
                  <w:tcW w:w="732" w:type="dxa"/>
                  <w:vAlign w:val="center"/>
                </w:tcPr>
                <w:p>
                  <w:pPr>
                    <w:pStyle w:val="474"/>
                    <w:spacing w:line="240" w:lineRule="auto"/>
                    <w:ind w:firstLine="0" w:firstLineChars="0"/>
                    <w:jc w:val="center"/>
                    <w:rPr>
                      <w:color w:val="auto"/>
                      <w:sz w:val="18"/>
                      <w:szCs w:val="24"/>
                    </w:rPr>
                  </w:pPr>
                  <w:r>
                    <w:rPr>
                      <w:color w:val="auto"/>
                      <w:sz w:val="18"/>
                      <w:szCs w:val="24"/>
                    </w:rPr>
                    <w:t>化粪池</w:t>
                  </w:r>
                </w:p>
              </w:tc>
              <w:tc>
                <w:tcPr>
                  <w:tcW w:w="786" w:type="dxa"/>
                  <w:vAlign w:val="center"/>
                </w:tcPr>
                <w:p>
                  <w:pPr>
                    <w:pStyle w:val="474"/>
                    <w:spacing w:line="240" w:lineRule="auto"/>
                    <w:ind w:firstLine="0" w:firstLineChars="0"/>
                    <w:jc w:val="center"/>
                    <w:rPr>
                      <w:color w:val="auto"/>
                      <w:sz w:val="18"/>
                      <w:szCs w:val="24"/>
                    </w:rPr>
                  </w:pPr>
                  <w:r>
                    <w:rPr>
                      <w:color w:val="auto"/>
                      <w:sz w:val="18"/>
                      <w:szCs w:val="24"/>
                    </w:rPr>
                    <w:t>DW001</w:t>
                  </w:r>
                </w:p>
              </w:tc>
              <w:tc>
                <w:tcPr>
                  <w:tcW w:w="731" w:type="dxa"/>
                  <w:vAlign w:val="center"/>
                </w:tcPr>
                <w:p>
                  <w:pPr>
                    <w:pStyle w:val="474"/>
                    <w:spacing w:line="240" w:lineRule="auto"/>
                    <w:ind w:firstLine="0" w:firstLineChars="0"/>
                    <w:jc w:val="center"/>
                    <w:rPr>
                      <w:color w:val="auto"/>
                      <w:sz w:val="18"/>
                    </w:rPr>
                  </w:pPr>
                  <w:r>
                    <w:rPr>
                      <w:color w:val="auto"/>
                      <w:sz w:val="18"/>
                    </w:rPr>
                    <w:t>是√</w:t>
                  </w:r>
                </w:p>
                <w:p>
                  <w:pPr>
                    <w:pStyle w:val="474"/>
                    <w:spacing w:line="240" w:lineRule="auto"/>
                    <w:ind w:firstLine="0" w:firstLineChars="0"/>
                    <w:jc w:val="center"/>
                    <w:rPr>
                      <w:color w:val="auto"/>
                      <w:sz w:val="18"/>
                      <w:szCs w:val="24"/>
                    </w:rPr>
                  </w:pPr>
                  <w:r>
                    <w:rPr>
                      <w:color w:val="auto"/>
                      <w:sz w:val="18"/>
                    </w:rPr>
                    <w:t>否□</w:t>
                  </w:r>
                </w:p>
              </w:tc>
              <w:tc>
                <w:tcPr>
                  <w:tcW w:w="1191" w:type="dxa"/>
                  <w:vAlign w:val="center"/>
                </w:tcPr>
                <w:p>
                  <w:pPr>
                    <w:pStyle w:val="474"/>
                    <w:spacing w:line="240" w:lineRule="auto"/>
                    <w:ind w:firstLine="0" w:firstLineChars="0"/>
                    <w:jc w:val="center"/>
                    <w:rPr>
                      <w:color w:val="auto"/>
                      <w:sz w:val="18"/>
                    </w:rPr>
                  </w:pPr>
                  <w:r>
                    <w:rPr>
                      <w:color w:val="auto"/>
                      <w:sz w:val="18"/>
                    </w:rPr>
                    <w:t>√企业总排</w:t>
                  </w:r>
                </w:p>
                <w:p>
                  <w:pPr>
                    <w:pStyle w:val="474"/>
                    <w:spacing w:line="240" w:lineRule="auto"/>
                    <w:ind w:firstLine="0" w:firstLineChars="0"/>
                    <w:jc w:val="center"/>
                    <w:rPr>
                      <w:color w:val="auto"/>
                      <w:sz w:val="18"/>
                    </w:rPr>
                  </w:pPr>
                  <w:r>
                    <w:rPr>
                      <w:color w:val="auto"/>
                      <w:sz w:val="18"/>
                    </w:rPr>
                    <w:sym w:font="Wingdings 2" w:char="00A3"/>
                  </w:r>
                  <w:r>
                    <w:rPr>
                      <w:color w:val="auto"/>
                      <w:sz w:val="18"/>
                    </w:rPr>
                    <w:t>雨水排放</w:t>
                  </w:r>
                </w:p>
                <w:p>
                  <w:pPr>
                    <w:pStyle w:val="474"/>
                    <w:spacing w:line="240" w:lineRule="auto"/>
                    <w:ind w:firstLine="0" w:firstLineChars="0"/>
                    <w:jc w:val="center"/>
                    <w:rPr>
                      <w:color w:val="auto"/>
                      <w:sz w:val="18"/>
                    </w:rPr>
                  </w:pPr>
                  <w:r>
                    <w:rPr>
                      <w:color w:val="auto"/>
                      <w:sz w:val="18"/>
                    </w:rPr>
                    <w:t>□清净下水排放</w:t>
                  </w:r>
                </w:p>
                <w:p>
                  <w:pPr>
                    <w:pStyle w:val="474"/>
                    <w:spacing w:line="240" w:lineRule="auto"/>
                    <w:ind w:firstLine="0" w:firstLineChars="0"/>
                    <w:jc w:val="center"/>
                    <w:rPr>
                      <w:color w:val="auto"/>
                      <w:sz w:val="18"/>
                    </w:rPr>
                  </w:pPr>
                  <w:r>
                    <w:rPr>
                      <w:color w:val="auto"/>
                      <w:sz w:val="18"/>
                    </w:rPr>
                    <w:t>□温排水排放</w:t>
                  </w:r>
                </w:p>
                <w:p>
                  <w:pPr>
                    <w:pStyle w:val="474"/>
                    <w:spacing w:line="240" w:lineRule="auto"/>
                    <w:ind w:firstLine="0" w:firstLineChars="0"/>
                    <w:jc w:val="center"/>
                    <w:rPr>
                      <w:color w:val="auto"/>
                      <w:sz w:val="18"/>
                    </w:rPr>
                  </w:pPr>
                  <w:r>
                    <w:rPr>
                      <w:color w:val="auto"/>
                      <w:sz w:val="18"/>
                    </w:rPr>
                    <w:sym w:font="Wingdings 2" w:char="00A3"/>
                  </w:r>
                  <w:r>
                    <w:rPr>
                      <w:color w:val="auto"/>
                      <w:sz w:val="18"/>
                    </w:rPr>
                    <w:t>车间或车间处理系统排放口</w:t>
                  </w:r>
                </w:p>
              </w:tc>
            </w:tr>
          </w:tbl>
          <w:p>
            <w:pPr>
              <w:pStyle w:val="474"/>
              <w:spacing w:line="360" w:lineRule="auto"/>
              <w:ind w:firstLine="482"/>
              <w:jc w:val="both"/>
              <w:rPr>
                <w:b/>
                <w:color w:val="auto"/>
                <w:szCs w:val="24"/>
              </w:rPr>
            </w:pPr>
            <w:r>
              <w:rPr>
                <w:b/>
                <w:color w:val="auto"/>
                <w:szCs w:val="24"/>
              </w:rPr>
              <w:t>（2）废水达标行分析</w:t>
            </w:r>
          </w:p>
          <w:p>
            <w:pPr>
              <w:pStyle w:val="474"/>
              <w:spacing w:line="360" w:lineRule="auto"/>
              <w:jc w:val="both"/>
              <w:rPr>
                <w:color w:val="auto"/>
                <w:szCs w:val="24"/>
              </w:rPr>
            </w:pPr>
            <w:r>
              <w:rPr>
                <w:color w:val="auto"/>
                <w:szCs w:val="24"/>
              </w:rPr>
              <w:t>本项目废水为生活污水，废水量为</w:t>
            </w:r>
            <w:r>
              <w:rPr>
                <w:rFonts w:hint="eastAsia"/>
                <w:color w:val="auto"/>
                <w:szCs w:val="24"/>
              </w:rPr>
              <w:t>3</w:t>
            </w:r>
            <w:r>
              <w:rPr>
                <w:rFonts w:hint="eastAsia"/>
                <w:color w:val="auto"/>
                <w:szCs w:val="24"/>
                <w:lang w:val="en-US" w:eastAsia="zh-CN"/>
              </w:rPr>
              <w:t>6</w:t>
            </w:r>
            <w:r>
              <w:rPr>
                <w:rFonts w:hint="eastAsia"/>
                <w:color w:val="auto"/>
                <w:szCs w:val="24"/>
              </w:rPr>
              <w:t>0</w:t>
            </w:r>
            <w:r>
              <w:rPr>
                <w:color w:val="auto"/>
                <w:szCs w:val="24"/>
              </w:rPr>
              <w:t>t/a，经化粪池处理后排放浓度约为COD：340mg/L、SS：160mg/L、氨氮：35mg/L、总磷：3mg/L、TN：</w:t>
            </w:r>
            <w:r>
              <w:rPr>
                <w:rFonts w:hint="eastAsia"/>
                <w:color w:val="auto"/>
                <w:szCs w:val="24"/>
              </w:rPr>
              <w:t>50</w:t>
            </w:r>
            <w:r>
              <w:rPr>
                <w:color w:val="auto"/>
                <w:szCs w:val="24"/>
              </w:rPr>
              <w:t>mg/L，满足金坛区第二污水处理厂接管要求。</w:t>
            </w:r>
          </w:p>
          <w:p>
            <w:pPr>
              <w:pStyle w:val="474"/>
              <w:spacing w:line="240" w:lineRule="auto"/>
              <w:ind w:firstLine="0" w:firstLineChars="0"/>
              <w:jc w:val="center"/>
              <w:rPr>
                <w:b/>
                <w:color w:val="auto"/>
                <w:sz w:val="21"/>
                <w:szCs w:val="21"/>
              </w:rPr>
            </w:pPr>
            <w:r>
              <w:rPr>
                <w:b/>
                <w:bCs/>
                <w:color w:val="auto"/>
                <w:sz w:val="21"/>
                <w:szCs w:val="21"/>
              </w:rPr>
              <w:t>表7-</w:t>
            </w:r>
            <w:r>
              <w:rPr>
                <w:rFonts w:hint="eastAsia"/>
                <w:b/>
                <w:bCs/>
                <w:color w:val="auto"/>
                <w:sz w:val="21"/>
                <w:szCs w:val="21"/>
              </w:rPr>
              <w:t>1</w:t>
            </w:r>
            <w:r>
              <w:rPr>
                <w:rFonts w:hint="eastAsia"/>
                <w:b/>
                <w:bCs/>
                <w:color w:val="auto"/>
                <w:sz w:val="21"/>
                <w:szCs w:val="21"/>
                <w:lang w:val="en-US" w:eastAsia="zh-CN"/>
              </w:rPr>
              <w:t>6</w:t>
            </w:r>
            <w:r>
              <w:rPr>
                <w:rFonts w:hint="eastAsia"/>
                <w:b/>
                <w:bCs/>
                <w:color w:val="auto"/>
                <w:sz w:val="21"/>
                <w:szCs w:val="21"/>
              </w:rPr>
              <w:t xml:space="preserve"> </w:t>
            </w:r>
            <w:r>
              <w:rPr>
                <w:b/>
                <w:bCs/>
                <w:color w:val="auto"/>
                <w:sz w:val="21"/>
                <w:szCs w:val="21"/>
              </w:rPr>
              <w:t xml:space="preserve"> </w:t>
            </w:r>
            <w:r>
              <w:rPr>
                <w:b/>
                <w:color w:val="auto"/>
                <w:sz w:val="21"/>
                <w:szCs w:val="21"/>
              </w:rPr>
              <w:t>本项目废水排放执行标准</w:t>
            </w:r>
          </w:p>
          <w:tbl>
            <w:tblPr>
              <w:tblStyle w:val="56"/>
              <w:tblW w:w="8297" w:type="dxa"/>
              <w:tblInd w:w="0" w:type="dxa"/>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846"/>
              <w:gridCol w:w="1417"/>
              <w:gridCol w:w="1701"/>
              <w:gridCol w:w="2393"/>
              <w:gridCol w:w="1940"/>
            </w:tblGrid>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846" w:type="dxa"/>
                  <w:vMerge w:val="restart"/>
                  <w:vAlign w:val="center"/>
                </w:tcPr>
                <w:p>
                  <w:pPr>
                    <w:pStyle w:val="123"/>
                    <w:rPr>
                      <w:b/>
                      <w:color w:val="auto"/>
                      <w:szCs w:val="18"/>
                    </w:rPr>
                  </w:pPr>
                  <w:r>
                    <w:rPr>
                      <w:b/>
                      <w:color w:val="auto"/>
                      <w:szCs w:val="18"/>
                    </w:rPr>
                    <w:t>序号</w:t>
                  </w:r>
                </w:p>
              </w:tc>
              <w:tc>
                <w:tcPr>
                  <w:tcW w:w="1417" w:type="dxa"/>
                  <w:vMerge w:val="restart"/>
                  <w:vAlign w:val="center"/>
                </w:tcPr>
                <w:p>
                  <w:pPr>
                    <w:pStyle w:val="123"/>
                    <w:rPr>
                      <w:b/>
                      <w:color w:val="auto"/>
                      <w:szCs w:val="18"/>
                    </w:rPr>
                  </w:pPr>
                  <w:r>
                    <w:rPr>
                      <w:b/>
                      <w:color w:val="auto"/>
                      <w:szCs w:val="18"/>
                    </w:rPr>
                    <w:t>排放口编号</w:t>
                  </w:r>
                </w:p>
              </w:tc>
              <w:tc>
                <w:tcPr>
                  <w:tcW w:w="1701" w:type="dxa"/>
                  <w:vMerge w:val="restart"/>
                  <w:vAlign w:val="center"/>
                </w:tcPr>
                <w:p>
                  <w:pPr>
                    <w:pStyle w:val="123"/>
                    <w:rPr>
                      <w:b/>
                      <w:color w:val="auto"/>
                      <w:szCs w:val="18"/>
                    </w:rPr>
                  </w:pPr>
                  <w:r>
                    <w:rPr>
                      <w:b/>
                      <w:color w:val="auto"/>
                      <w:szCs w:val="18"/>
                    </w:rPr>
                    <w:t>污染物种类</w:t>
                  </w:r>
                </w:p>
              </w:tc>
              <w:tc>
                <w:tcPr>
                  <w:tcW w:w="4333" w:type="dxa"/>
                  <w:gridSpan w:val="2"/>
                  <w:vAlign w:val="center"/>
                </w:tcPr>
                <w:p>
                  <w:pPr>
                    <w:pStyle w:val="123"/>
                    <w:rPr>
                      <w:b/>
                      <w:color w:val="auto"/>
                      <w:szCs w:val="18"/>
                    </w:rPr>
                  </w:pPr>
                  <w:r>
                    <w:rPr>
                      <w:b/>
                      <w:color w:val="auto"/>
                      <w:szCs w:val="18"/>
                    </w:rPr>
                    <w:t>国家或地方污染物排放标准及其他按规定商定的排放协议</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846" w:type="dxa"/>
                  <w:vMerge w:val="continue"/>
                  <w:vAlign w:val="center"/>
                </w:tcPr>
                <w:p>
                  <w:pPr>
                    <w:rPr>
                      <w:color w:val="auto"/>
                    </w:rPr>
                  </w:pPr>
                </w:p>
              </w:tc>
              <w:tc>
                <w:tcPr>
                  <w:tcW w:w="1417" w:type="dxa"/>
                  <w:vMerge w:val="continue"/>
                  <w:vAlign w:val="center"/>
                </w:tcPr>
                <w:p>
                  <w:pPr>
                    <w:rPr>
                      <w:color w:val="auto"/>
                    </w:rPr>
                  </w:pPr>
                </w:p>
              </w:tc>
              <w:tc>
                <w:tcPr>
                  <w:tcW w:w="1701" w:type="dxa"/>
                  <w:vMerge w:val="continue"/>
                  <w:vAlign w:val="center"/>
                </w:tcPr>
                <w:p>
                  <w:pPr>
                    <w:rPr>
                      <w:color w:val="auto"/>
                    </w:rPr>
                  </w:pPr>
                </w:p>
              </w:tc>
              <w:tc>
                <w:tcPr>
                  <w:tcW w:w="2393" w:type="dxa"/>
                  <w:vAlign w:val="center"/>
                </w:tcPr>
                <w:p>
                  <w:pPr>
                    <w:pStyle w:val="123"/>
                    <w:rPr>
                      <w:b/>
                      <w:color w:val="auto"/>
                      <w:szCs w:val="18"/>
                    </w:rPr>
                  </w:pPr>
                  <w:r>
                    <w:rPr>
                      <w:b/>
                      <w:color w:val="auto"/>
                      <w:szCs w:val="18"/>
                    </w:rPr>
                    <w:t>名称</w:t>
                  </w:r>
                </w:p>
              </w:tc>
              <w:tc>
                <w:tcPr>
                  <w:tcW w:w="1940" w:type="dxa"/>
                  <w:vAlign w:val="center"/>
                </w:tcPr>
                <w:p>
                  <w:pPr>
                    <w:pStyle w:val="123"/>
                    <w:rPr>
                      <w:b/>
                      <w:color w:val="auto"/>
                      <w:szCs w:val="18"/>
                    </w:rPr>
                  </w:pPr>
                  <w:r>
                    <w:rPr>
                      <w:b/>
                      <w:color w:val="auto"/>
                      <w:szCs w:val="18"/>
                    </w:rPr>
                    <w:t>浓度限值</w:t>
                  </w:r>
                  <w:r>
                    <w:rPr>
                      <w:b/>
                      <w:color w:val="auto"/>
                      <w:sz w:val="18"/>
                      <w:szCs w:val="18"/>
                    </w:rPr>
                    <w:t>mg/L</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PrEx>
              <w:trPr>
                <w:trHeight w:val="340" w:hRule="atLeast"/>
              </w:trPr>
              <w:tc>
                <w:tcPr>
                  <w:tcW w:w="846" w:type="dxa"/>
                  <w:vAlign w:val="center"/>
                </w:tcPr>
                <w:p>
                  <w:pPr>
                    <w:pStyle w:val="474"/>
                    <w:spacing w:line="240" w:lineRule="auto"/>
                    <w:ind w:firstLine="0" w:firstLineChars="0"/>
                    <w:jc w:val="center"/>
                    <w:rPr>
                      <w:color w:val="auto"/>
                      <w:sz w:val="21"/>
                      <w:szCs w:val="24"/>
                    </w:rPr>
                  </w:pPr>
                  <w:r>
                    <w:rPr>
                      <w:color w:val="auto"/>
                      <w:sz w:val="21"/>
                      <w:szCs w:val="24"/>
                    </w:rPr>
                    <w:t>1</w:t>
                  </w:r>
                </w:p>
              </w:tc>
              <w:tc>
                <w:tcPr>
                  <w:tcW w:w="1417" w:type="dxa"/>
                  <w:vMerge w:val="restart"/>
                  <w:vAlign w:val="center"/>
                </w:tcPr>
                <w:p>
                  <w:pPr>
                    <w:pStyle w:val="474"/>
                    <w:spacing w:line="240" w:lineRule="auto"/>
                    <w:ind w:firstLine="0" w:firstLineChars="0"/>
                    <w:jc w:val="center"/>
                    <w:rPr>
                      <w:color w:val="auto"/>
                      <w:sz w:val="21"/>
                      <w:szCs w:val="24"/>
                    </w:rPr>
                  </w:pPr>
                  <w:r>
                    <w:rPr>
                      <w:color w:val="auto"/>
                      <w:sz w:val="21"/>
                      <w:szCs w:val="24"/>
                    </w:rPr>
                    <w:t>DW001</w:t>
                  </w:r>
                </w:p>
              </w:tc>
              <w:tc>
                <w:tcPr>
                  <w:tcW w:w="1701" w:type="dxa"/>
                  <w:vAlign w:val="center"/>
                </w:tcPr>
                <w:p>
                  <w:pPr>
                    <w:pStyle w:val="474"/>
                    <w:spacing w:line="240" w:lineRule="auto"/>
                    <w:ind w:firstLine="0" w:firstLineChars="0"/>
                    <w:jc w:val="center"/>
                    <w:rPr>
                      <w:color w:val="auto"/>
                      <w:sz w:val="21"/>
                      <w:szCs w:val="24"/>
                    </w:rPr>
                  </w:pPr>
                  <w:r>
                    <w:rPr>
                      <w:color w:val="auto"/>
                      <w:sz w:val="21"/>
                      <w:szCs w:val="21"/>
                    </w:rPr>
                    <w:t>COD</w:t>
                  </w:r>
                </w:p>
              </w:tc>
              <w:tc>
                <w:tcPr>
                  <w:tcW w:w="2393" w:type="dxa"/>
                  <w:vMerge w:val="restart"/>
                  <w:vAlign w:val="center"/>
                </w:tcPr>
                <w:p>
                  <w:pPr>
                    <w:jc w:val="center"/>
                    <w:rPr>
                      <w:color w:val="auto"/>
                      <w:szCs w:val="24"/>
                    </w:rPr>
                  </w:pPr>
                  <w:r>
                    <w:rPr>
                      <w:color w:val="auto"/>
                    </w:rPr>
                    <w:t>金坛区第二污水处理厂接管标准要求</w:t>
                  </w:r>
                </w:p>
              </w:tc>
              <w:tc>
                <w:tcPr>
                  <w:tcW w:w="1940" w:type="dxa"/>
                  <w:vAlign w:val="center"/>
                </w:tcPr>
                <w:p>
                  <w:pPr>
                    <w:pStyle w:val="474"/>
                    <w:spacing w:line="240" w:lineRule="auto"/>
                    <w:ind w:firstLine="0" w:firstLineChars="0"/>
                    <w:jc w:val="center"/>
                    <w:rPr>
                      <w:color w:val="auto"/>
                      <w:sz w:val="21"/>
                      <w:szCs w:val="24"/>
                    </w:rPr>
                  </w:pPr>
                  <w:r>
                    <w:rPr>
                      <w:color w:val="auto"/>
                      <w:sz w:val="21"/>
                    </w:rPr>
                    <w:t>500</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PrEx>
              <w:trPr>
                <w:trHeight w:val="340" w:hRule="atLeast"/>
              </w:trPr>
              <w:tc>
                <w:tcPr>
                  <w:tcW w:w="846" w:type="dxa"/>
                  <w:vAlign w:val="center"/>
                </w:tcPr>
                <w:p>
                  <w:pPr>
                    <w:pStyle w:val="474"/>
                    <w:spacing w:line="240" w:lineRule="auto"/>
                    <w:ind w:firstLine="0" w:firstLineChars="0"/>
                    <w:jc w:val="center"/>
                    <w:rPr>
                      <w:color w:val="auto"/>
                      <w:sz w:val="21"/>
                      <w:szCs w:val="24"/>
                    </w:rPr>
                  </w:pPr>
                  <w:r>
                    <w:rPr>
                      <w:color w:val="auto"/>
                      <w:sz w:val="21"/>
                      <w:szCs w:val="24"/>
                    </w:rPr>
                    <w:t>2</w:t>
                  </w:r>
                </w:p>
              </w:tc>
              <w:tc>
                <w:tcPr>
                  <w:tcW w:w="1417" w:type="dxa"/>
                  <w:vMerge w:val="continue"/>
                  <w:vAlign w:val="center"/>
                </w:tcPr>
                <w:p>
                  <w:pPr>
                    <w:rPr>
                      <w:color w:val="auto"/>
                    </w:rPr>
                  </w:pPr>
                </w:p>
              </w:tc>
              <w:tc>
                <w:tcPr>
                  <w:tcW w:w="1701" w:type="dxa"/>
                  <w:vAlign w:val="center"/>
                </w:tcPr>
                <w:p>
                  <w:pPr>
                    <w:pStyle w:val="474"/>
                    <w:spacing w:line="240" w:lineRule="auto"/>
                    <w:ind w:firstLine="0" w:firstLineChars="0"/>
                    <w:jc w:val="center"/>
                    <w:rPr>
                      <w:color w:val="auto"/>
                      <w:sz w:val="21"/>
                      <w:szCs w:val="21"/>
                    </w:rPr>
                  </w:pPr>
                  <w:r>
                    <w:rPr>
                      <w:color w:val="auto"/>
                      <w:sz w:val="21"/>
                      <w:szCs w:val="21"/>
                    </w:rPr>
                    <w:t>SS</w:t>
                  </w:r>
                </w:p>
              </w:tc>
              <w:tc>
                <w:tcPr>
                  <w:tcW w:w="2393" w:type="dxa"/>
                  <w:vMerge w:val="continue"/>
                  <w:vAlign w:val="center"/>
                </w:tcPr>
                <w:p>
                  <w:pPr>
                    <w:rPr>
                      <w:color w:val="auto"/>
                    </w:rPr>
                  </w:pPr>
                </w:p>
              </w:tc>
              <w:tc>
                <w:tcPr>
                  <w:tcW w:w="1940" w:type="dxa"/>
                  <w:vAlign w:val="center"/>
                </w:tcPr>
                <w:p>
                  <w:pPr>
                    <w:pStyle w:val="474"/>
                    <w:spacing w:line="240" w:lineRule="auto"/>
                    <w:ind w:firstLine="0" w:firstLineChars="0"/>
                    <w:jc w:val="center"/>
                    <w:rPr>
                      <w:color w:val="auto"/>
                      <w:sz w:val="21"/>
                      <w:szCs w:val="24"/>
                    </w:rPr>
                  </w:pPr>
                  <w:r>
                    <w:rPr>
                      <w:color w:val="auto"/>
                      <w:sz w:val="21"/>
                    </w:rPr>
                    <w:t>250</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PrEx>
              <w:trPr>
                <w:trHeight w:val="340" w:hRule="atLeast"/>
              </w:trPr>
              <w:tc>
                <w:tcPr>
                  <w:tcW w:w="846" w:type="dxa"/>
                  <w:vAlign w:val="center"/>
                </w:tcPr>
                <w:p>
                  <w:pPr>
                    <w:pStyle w:val="474"/>
                    <w:spacing w:line="240" w:lineRule="auto"/>
                    <w:ind w:firstLine="0" w:firstLineChars="0"/>
                    <w:jc w:val="center"/>
                    <w:rPr>
                      <w:color w:val="auto"/>
                      <w:sz w:val="21"/>
                      <w:szCs w:val="24"/>
                    </w:rPr>
                  </w:pPr>
                  <w:r>
                    <w:rPr>
                      <w:color w:val="auto"/>
                      <w:sz w:val="21"/>
                      <w:szCs w:val="24"/>
                    </w:rPr>
                    <w:t>3</w:t>
                  </w:r>
                </w:p>
              </w:tc>
              <w:tc>
                <w:tcPr>
                  <w:tcW w:w="1417" w:type="dxa"/>
                  <w:vMerge w:val="continue"/>
                  <w:vAlign w:val="center"/>
                </w:tcPr>
                <w:p>
                  <w:pPr>
                    <w:rPr>
                      <w:color w:val="auto"/>
                    </w:rPr>
                  </w:pPr>
                </w:p>
              </w:tc>
              <w:tc>
                <w:tcPr>
                  <w:tcW w:w="1701" w:type="dxa"/>
                  <w:vAlign w:val="center"/>
                </w:tcPr>
                <w:p>
                  <w:pPr>
                    <w:pStyle w:val="474"/>
                    <w:spacing w:line="240" w:lineRule="auto"/>
                    <w:ind w:firstLine="0" w:firstLineChars="0"/>
                    <w:jc w:val="center"/>
                    <w:rPr>
                      <w:color w:val="auto"/>
                      <w:sz w:val="21"/>
                      <w:szCs w:val="21"/>
                    </w:rPr>
                  </w:pPr>
                  <w:r>
                    <w:rPr>
                      <w:color w:val="auto"/>
                      <w:sz w:val="21"/>
                      <w:szCs w:val="21"/>
                    </w:rPr>
                    <w:t>氨氮</w:t>
                  </w:r>
                </w:p>
              </w:tc>
              <w:tc>
                <w:tcPr>
                  <w:tcW w:w="2393" w:type="dxa"/>
                  <w:vMerge w:val="continue"/>
                  <w:vAlign w:val="center"/>
                </w:tcPr>
                <w:p>
                  <w:pPr>
                    <w:rPr>
                      <w:color w:val="auto"/>
                    </w:rPr>
                  </w:pPr>
                </w:p>
              </w:tc>
              <w:tc>
                <w:tcPr>
                  <w:tcW w:w="1940" w:type="dxa"/>
                  <w:vAlign w:val="center"/>
                </w:tcPr>
                <w:p>
                  <w:pPr>
                    <w:pStyle w:val="474"/>
                    <w:spacing w:line="240" w:lineRule="auto"/>
                    <w:ind w:firstLine="0" w:firstLineChars="0"/>
                    <w:jc w:val="center"/>
                    <w:rPr>
                      <w:color w:val="auto"/>
                      <w:sz w:val="21"/>
                      <w:szCs w:val="24"/>
                    </w:rPr>
                  </w:pPr>
                  <w:r>
                    <w:rPr>
                      <w:color w:val="auto"/>
                      <w:sz w:val="21"/>
                      <w:szCs w:val="24"/>
                    </w:rPr>
                    <w:t>35</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PrEx>
              <w:trPr>
                <w:trHeight w:val="340" w:hRule="atLeast"/>
              </w:trPr>
              <w:tc>
                <w:tcPr>
                  <w:tcW w:w="846" w:type="dxa"/>
                  <w:vAlign w:val="center"/>
                </w:tcPr>
                <w:p>
                  <w:pPr>
                    <w:pStyle w:val="474"/>
                    <w:spacing w:line="240" w:lineRule="auto"/>
                    <w:ind w:firstLine="0" w:firstLineChars="0"/>
                    <w:jc w:val="center"/>
                    <w:rPr>
                      <w:color w:val="auto"/>
                      <w:sz w:val="21"/>
                      <w:szCs w:val="24"/>
                    </w:rPr>
                  </w:pPr>
                  <w:r>
                    <w:rPr>
                      <w:color w:val="auto"/>
                      <w:sz w:val="21"/>
                      <w:szCs w:val="24"/>
                    </w:rPr>
                    <w:t>4</w:t>
                  </w:r>
                </w:p>
              </w:tc>
              <w:tc>
                <w:tcPr>
                  <w:tcW w:w="1417" w:type="dxa"/>
                  <w:vMerge w:val="continue"/>
                  <w:vAlign w:val="center"/>
                </w:tcPr>
                <w:p>
                  <w:pPr>
                    <w:rPr>
                      <w:color w:val="auto"/>
                    </w:rPr>
                  </w:pPr>
                </w:p>
              </w:tc>
              <w:tc>
                <w:tcPr>
                  <w:tcW w:w="1701" w:type="dxa"/>
                  <w:vAlign w:val="center"/>
                </w:tcPr>
                <w:p>
                  <w:pPr>
                    <w:pStyle w:val="474"/>
                    <w:spacing w:line="240" w:lineRule="auto"/>
                    <w:ind w:firstLine="0" w:firstLineChars="0"/>
                    <w:jc w:val="center"/>
                    <w:rPr>
                      <w:color w:val="auto"/>
                      <w:sz w:val="21"/>
                      <w:szCs w:val="21"/>
                    </w:rPr>
                  </w:pPr>
                  <w:r>
                    <w:rPr>
                      <w:color w:val="auto"/>
                      <w:sz w:val="21"/>
                      <w:szCs w:val="21"/>
                    </w:rPr>
                    <w:t>TP</w:t>
                  </w:r>
                </w:p>
              </w:tc>
              <w:tc>
                <w:tcPr>
                  <w:tcW w:w="2393" w:type="dxa"/>
                  <w:vMerge w:val="continue"/>
                  <w:vAlign w:val="center"/>
                </w:tcPr>
                <w:p>
                  <w:pPr>
                    <w:rPr>
                      <w:color w:val="auto"/>
                    </w:rPr>
                  </w:pPr>
                </w:p>
              </w:tc>
              <w:tc>
                <w:tcPr>
                  <w:tcW w:w="1940" w:type="dxa"/>
                  <w:vAlign w:val="center"/>
                </w:tcPr>
                <w:p>
                  <w:pPr>
                    <w:pStyle w:val="474"/>
                    <w:spacing w:line="240" w:lineRule="auto"/>
                    <w:ind w:firstLine="0" w:firstLineChars="0"/>
                    <w:jc w:val="center"/>
                    <w:rPr>
                      <w:color w:val="auto"/>
                      <w:sz w:val="21"/>
                      <w:szCs w:val="24"/>
                    </w:rPr>
                  </w:pPr>
                  <w:r>
                    <w:rPr>
                      <w:color w:val="auto"/>
                      <w:sz w:val="21"/>
                      <w:szCs w:val="24"/>
                    </w:rPr>
                    <w:t>3</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PrEx>
              <w:trPr>
                <w:trHeight w:val="340" w:hRule="atLeast"/>
              </w:trPr>
              <w:tc>
                <w:tcPr>
                  <w:tcW w:w="846" w:type="dxa"/>
                  <w:vAlign w:val="center"/>
                </w:tcPr>
                <w:p>
                  <w:pPr>
                    <w:pStyle w:val="474"/>
                    <w:spacing w:line="240" w:lineRule="auto"/>
                    <w:ind w:firstLine="0" w:firstLineChars="0"/>
                    <w:jc w:val="center"/>
                    <w:rPr>
                      <w:color w:val="auto"/>
                      <w:sz w:val="21"/>
                      <w:szCs w:val="24"/>
                    </w:rPr>
                  </w:pPr>
                  <w:r>
                    <w:rPr>
                      <w:color w:val="auto"/>
                      <w:sz w:val="21"/>
                      <w:szCs w:val="24"/>
                    </w:rPr>
                    <w:t>5</w:t>
                  </w:r>
                </w:p>
              </w:tc>
              <w:tc>
                <w:tcPr>
                  <w:tcW w:w="1417" w:type="dxa"/>
                  <w:vMerge w:val="continue"/>
                  <w:vAlign w:val="center"/>
                </w:tcPr>
                <w:p>
                  <w:pPr>
                    <w:rPr>
                      <w:color w:val="auto"/>
                    </w:rPr>
                  </w:pPr>
                </w:p>
              </w:tc>
              <w:tc>
                <w:tcPr>
                  <w:tcW w:w="1701" w:type="dxa"/>
                  <w:vAlign w:val="center"/>
                </w:tcPr>
                <w:p>
                  <w:pPr>
                    <w:pStyle w:val="474"/>
                    <w:spacing w:line="240" w:lineRule="auto"/>
                    <w:ind w:firstLine="0" w:firstLineChars="0"/>
                    <w:jc w:val="center"/>
                    <w:rPr>
                      <w:color w:val="auto"/>
                      <w:sz w:val="21"/>
                      <w:szCs w:val="21"/>
                    </w:rPr>
                  </w:pPr>
                  <w:r>
                    <w:rPr>
                      <w:color w:val="auto"/>
                      <w:sz w:val="21"/>
                      <w:szCs w:val="21"/>
                    </w:rPr>
                    <w:t>TN</w:t>
                  </w:r>
                </w:p>
              </w:tc>
              <w:tc>
                <w:tcPr>
                  <w:tcW w:w="2393" w:type="dxa"/>
                  <w:vMerge w:val="continue"/>
                  <w:vAlign w:val="center"/>
                </w:tcPr>
                <w:p>
                  <w:pPr>
                    <w:rPr>
                      <w:color w:val="auto"/>
                    </w:rPr>
                  </w:pPr>
                </w:p>
              </w:tc>
              <w:tc>
                <w:tcPr>
                  <w:tcW w:w="1940" w:type="dxa"/>
                  <w:vAlign w:val="center"/>
                </w:tcPr>
                <w:p>
                  <w:pPr>
                    <w:pStyle w:val="474"/>
                    <w:spacing w:line="240" w:lineRule="auto"/>
                    <w:ind w:firstLine="0" w:firstLineChars="0"/>
                    <w:jc w:val="center"/>
                    <w:rPr>
                      <w:color w:val="auto"/>
                      <w:sz w:val="21"/>
                      <w:szCs w:val="24"/>
                    </w:rPr>
                  </w:pPr>
                  <w:r>
                    <w:rPr>
                      <w:rFonts w:hint="eastAsia"/>
                      <w:color w:val="auto"/>
                      <w:sz w:val="21"/>
                      <w:szCs w:val="24"/>
                    </w:rPr>
                    <w:t>50</w:t>
                  </w:r>
                </w:p>
              </w:tc>
            </w:tr>
          </w:tbl>
          <w:p>
            <w:pPr>
              <w:pStyle w:val="474"/>
              <w:spacing w:line="240" w:lineRule="auto"/>
              <w:ind w:firstLine="0" w:firstLineChars="0"/>
              <w:jc w:val="center"/>
              <w:rPr>
                <w:b/>
                <w:color w:val="auto"/>
                <w:sz w:val="21"/>
                <w:szCs w:val="21"/>
              </w:rPr>
            </w:pPr>
            <w:r>
              <w:rPr>
                <w:b/>
                <w:color w:val="auto"/>
                <w:sz w:val="21"/>
                <w:szCs w:val="21"/>
              </w:rPr>
              <w:t>表7-1</w:t>
            </w:r>
            <w:r>
              <w:rPr>
                <w:rFonts w:hint="eastAsia"/>
                <w:b/>
                <w:color w:val="auto"/>
                <w:sz w:val="21"/>
                <w:szCs w:val="21"/>
                <w:lang w:val="en-US" w:eastAsia="zh-CN"/>
              </w:rPr>
              <w:t>7</w:t>
            </w:r>
            <w:r>
              <w:rPr>
                <w:b/>
                <w:color w:val="auto"/>
                <w:sz w:val="21"/>
                <w:szCs w:val="21"/>
              </w:rPr>
              <w:t xml:space="preserve">  废水间接排放口基本情况 </w:t>
            </w:r>
          </w:p>
          <w:tbl>
            <w:tblPr>
              <w:tblStyle w:val="56"/>
              <w:tblW w:w="8302" w:type="dxa"/>
              <w:tblInd w:w="0" w:type="dxa"/>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397"/>
              <w:gridCol w:w="786"/>
              <w:gridCol w:w="1071"/>
              <w:gridCol w:w="981"/>
              <w:gridCol w:w="801"/>
              <w:gridCol w:w="630"/>
              <w:gridCol w:w="646"/>
              <w:gridCol w:w="615"/>
              <w:gridCol w:w="614"/>
              <w:gridCol w:w="675"/>
              <w:gridCol w:w="1086"/>
            </w:tblGrid>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683" w:hRule="atLeast"/>
              </w:trPr>
              <w:tc>
                <w:tcPr>
                  <w:tcW w:w="397" w:type="dxa"/>
                  <w:vMerge w:val="restart"/>
                  <w:vAlign w:val="center"/>
                </w:tcPr>
                <w:p>
                  <w:pPr>
                    <w:pStyle w:val="123"/>
                    <w:rPr>
                      <w:b/>
                      <w:color w:val="auto"/>
                      <w:sz w:val="18"/>
                      <w:szCs w:val="18"/>
                    </w:rPr>
                  </w:pPr>
                  <w:r>
                    <w:rPr>
                      <w:b/>
                      <w:color w:val="auto"/>
                      <w:sz w:val="18"/>
                      <w:szCs w:val="18"/>
                    </w:rPr>
                    <w:t>序号</w:t>
                  </w:r>
                </w:p>
              </w:tc>
              <w:tc>
                <w:tcPr>
                  <w:tcW w:w="786" w:type="dxa"/>
                  <w:vMerge w:val="restart"/>
                  <w:vAlign w:val="center"/>
                </w:tcPr>
                <w:p>
                  <w:pPr>
                    <w:pStyle w:val="123"/>
                    <w:rPr>
                      <w:b/>
                      <w:color w:val="auto"/>
                      <w:sz w:val="18"/>
                      <w:szCs w:val="18"/>
                    </w:rPr>
                  </w:pPr>
                  <w:r>
                    <w:rPr>
                      <w:b/>
                      <w:color w:val="auto"/>
                      <w:sz w:val="18"/>
                      <w:szCs w:val="18"/>
                    </w:rPr>
                    <w:t>排放口编号</w:t>
                  </w:r>
                </w:p>
              </w:tc>
              <w:tc>
                <w:tcPr>
                  <w:tcW w:w="2052" w:type="dxa"/>
                  <w:gridSpan w:val="2"/>
                  <w:vMerge w:val="restart"/>
                  <w:vAlign w:val="center"/>
                </w:tcPr>
                <w:p>
                  <w:pPr>
                    <w:pStyle w:val="123"/>
                    <w:rPr>
                      <w:color w:val="auto"/>
                      <w:sz w:val="18"/>
                      <w:szCs w:val="24"/>
                    </w:rPr>
                  </w:pPr>
                  <w:r>
                    <w:rPr>
                      <w:b/>
                      <w:color w:val="auto"/>
                      <w:sz w:val="18"/>
                      <w:szCs w:val="18"/>
                    </w:rPr>
                    <w:t>排放口地理坐标</w:t>
                  </w:r>
                </w:p>
              </w:tc>
              <w:tc>
                <w:tcPr>
                  <w:tcW w:w="801" w:type="dxa"/>
                  <w:vMerge w:val="restart"/>
                  <w:vAlign w:val="center"/>
                </w:tcPr>
                <w:p>
                  <w:pPr>
                    <w:pStyle w:val="123"/>
                    <w:rPr>
                      <w:b/>
                      <w:color w:val="auto"/>
                      <w:sz w:val="18"/>
                      <w:szCs w:val="18"/>
                    </w:rPr>
                  </w:pPr>
                  <w:r>
                    <w:rPr>
                      <w:b/>
                      <w:color w:val="auto"/>
                      <w:sz w:val="18"/>
                      <w:szCs w:val="18"/>
                    </w:rPr>
                    <w:t>废水排放量（万t/a）</w:t>
                  </w:r>
                </w:p>
              </w:tc>
              <w:tc>
                <w:tcPr>
                  <w:tcW w:w="630" w:type="dxa"/>
                  <w:vMerge w:val="restart"/>
                  <w:vAlign w:val="center"/>
                </w:tcPr>
                <w:p>
                  <w:pPr>
                    <w:pStyle w:val="123"/>
                    <w:rPr>
                      <w:b/>
                      <w:color w:val="auto"/>
                      <w:sz w:val="18"/>
                      <w:szCs w:val="18"/>
                    </w:rPr>
                  </w:pPr>
                  <w:r>
                    <w:rPr>
                      <w:b/>
                      <w:color w:val="auto"/>
                      <w:sz w:val="18"/>
                      <w:szCs w:val="18"/>
                    </w:rPr>
                    <w:t>排放去向</w:t>
                  </w:r>
                </w:p>
              </w:tc>
              <w:tc>
                <w:tcPr>
                  <w:tcW w:w="646" w:type="dxa"/>
                  <w:vMerge w:val="restart"/>
                  <w:vAlign w:val="center"/>
                </w:tcPr>
                <w:p>
                  <w:pPr>
                    <w:pStyle w:val="123"/>
                    <w:rPr>
                      <w:b/>
                      <w:color w:val="auto"/>
                      <w:sz w:val="18"/>
                      <w:szCs w:val="18"/>
                    </w:rPr>
                  </w:pPr>
                  <w:r>
                    <w:rPr>
                      <w:b/>
                      <w:color w:val="auto"/>
                      <w:sz w:val="18"/>
                      <w:szCs w:val="18"/>
                    </w:rPr>
                    <w:t>排放规律</w:t>
                  </w:r>
                </w:p>
              </w:tc>
              <w:tc>
                <w:tcPr>
                  <w:tcW w:w="615" w:type="dxa"/>
                  <w:vMerge w:val="restart"/>
                  <w:vAlign w:val="center"/>
                </w:tcPr>
                <w:p>
                  <w:pPr>
                    <w:pStyle w:val="123"/>
                    <w:rPr>
                      <w:b/>
                      <w:color w:val="auto"/>
                      <w:sz w:val="18"/>
                      <w:szCs w:val="18"/>
                    </w:rPr>
                  </w:pPr>
                  <w:r>
                    <w:rPr>
                      <w:b/>
                      <w:color w:val="auto"/>
                      <w:sz w:val="18"/>
                      <w:szCs w:val="18"/>
                    </w:rPr>
                    <w:t>间接排放时段</w:t>
                  </w:r>
                </w:p>
              </w:tc>
              <w:tc>
                <w:tcPr>
                  <w:tcW w:w="2375" w:type="dxa"/>
                  <w:gridSpan w:val="3"/>
                  <w:vAlign w:val="center"/>
                </w:tcPr>
                <w:p>
                  <w:pPr>
                    <w:pStyle w:val="123"/>
                    <w:rPr>
                      <w:color w:val="auto"/>
                      <w:sz w:val="18"/>
                      <w:szCs w:val="24"/>
                    </w:rPr>
                  </w:pPr>
                  <w:r>
                    <w:rPr>
                      <w:b/>
                      <w:color w:val="auto"/>
                      <w:sz w:val="18"/>
                      <w:szCs w:val="18"/>
                    </w:rPr>
                    <w:t>受纳污水处理厂信息</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682" w:hRule="atLeast"/>
              </w:trPr>
              <w:tc>
                <w:tcPr>
                  <w:tcW w:w="397" w:type="dxa"/>
                  <w:vMerge w:val="continue"/>
                  <w:vAlign w:val="center"/>
                </w:tcPr>
                <w:p>
                  <w:pPr>
                    <w:rPr>
                      <w:color w:val="auto"/>
                    </w:rPr>
                  </w:pPr>
                </w:p>
              </w:tc>
              <w:tc>
                <w:tcPr>
                  <w:tcW w:w="786" w:type="dxa"/>
                  <w:vMerge w:val="continue"/>
                  <w:vAlign w:val="center"/>
                </w:tcPr>
                <w:p>
                  <w:pPr>
                    <w:rPr>
                      <w:color w:val="auto"/>
                    </w:rPr>
                  </w:pPr>
                </w:p>
              </w:tc>
              <w:tc>
                <w:tcPr>
                  <w:tcW w:w="2052" w:type="dxa"/>
                  <w:gridSpan w:val="2"/>
                  <w:vMerge w:val="continue"/>
                  <w:vAlign w:val="center"/>
                </w:tcPr>
                <w:p>
                  <w:pPr>
                    <w:rPr>
                      <w:color w:val="auto"/>
                    </w:rPr>
                  </w:pPr>
                </w:p>
              </w:tc>
              <w:tc>
                <w:tcPr>
                  <w:tcW w:w="801" w:type="dxa"/>
                  <w:vMerge w:val="continue"/>
                  <w:vAlign w:val="center"/>
                </w:tcPr>
                <w:p>
                  <w:pPr>
                    <w:rPr>
                      <w:color w:val="auto"/>
                    </w:rPr>
                  </w:pPr>
                </w:p>
              </w:tc>
              <w:tc>
                <w:tcPr>
                  <w:tcW w:w="630" w:type="dxa"/>
                  <w:vMerge w:val="continue"/>
                  <w:vAlign w:val="center"/>
                </w:tcPr>
                <w:p>
                  <w:pPr>
                    <w:rPr>
                      <w:color w:val="auto"/>
                    </w:rPr>
                  </w:pPr>
                </w:p>
              </w:tc>
              <w:tc>
                <w:tcPr>
                  <w:tcW w:w="646" w:type="dxa"/>
                  <w:vMerge w:val="continue"/>
                  <w:vAlign w:val="center"/>
                </w:tcPr>
                <w:p>
                  <w:pPr>
                    <w:rPr>
                      <w:color w:val="auto"/>
                    </w:rPr>
                  </w:pPr>
                </w:p>
              </w:tc>
              <w:tc>
                <w:tcPr>
                  <w:tcW w:w="615" w:type="dxa"/>
                  <w:vMerge w:val="continue"/>
                  <w:vAlign w:val="center"/>
                </w:tcPr>
                <w:p>
                  <w:pPr>
                    <w:rPr>
                      <w:color w:val="auto"/>
                    </w:rPr>
                  </w:pPr>
                </w:p>
              </w:tc>
              <w:tc>
                <w:tcPr>
                  <w:tcW w:w="614" w:type="dxa"/>
                  <w:vAlign w:val="center"/>
                </w:tcPr>
                <w:p>
                  <w:pPr>
                    <w:pStyle w:val="123"/>
                    <w:rPr>
                      <w:b/>
                      <w:color w:val="auto"/>
                      <w:sz w:val="18"/>
                      <w:szCs w:val="18"/>
                    </w:rPr>
                  </w:pPr>
                  <w:r>
                    <w:rPr>
                      <w:b/>
                      <w:color w:val="auto"/>
                      <w:sz w:val="18"/>
                      <w:szCs w:val="18"/>
                    </w:rPr>
                    <w:t>名称</w:t>
                  </w:r>
                </w:p>
              </w:tc>
              <w:tc>
                <w:tcPr>
                  <w:tcW w:w="675" w:type="dxa"/>
                  <w:vAlign w:val="center"/>
                </w:tcPr>
                <w:p>
                  <w:pPr>
                    <w:pStyle w:val="123"/>
                    <w:rPr>
                      <w:b/>
                      <w:color w:val="auto"/>
                      <w:sz w:val="18"/>
                      <w:szCs w:val="18"/>
                    </w:rPr>
                  </w:pPr>
                  <w:r>
                    <w:rPr>
                      <w:b/>
                      <w:color w:val="auto"/>
                      <w:sz w:val="18"/>
                      <w:szCs w:val="18"/>
                    </w:rPr>
                    <w:t>污染物种类</w:t>
                  </w:r>
                </w:p>
              </w:tc>
              <w:tc>
                <w:tcPr>
                  <w:tcW w:w="1086" w:type="dxa"/>
                  <w:vAlign w:val="center"/>
                </w:tcPr>
                <w:p>
                  <w:pPr>
                    <w:pStyle w:val="123"/>
                    <w:rPr>
                      <w:b/>
                      <w:color w:val="auto"/>
                      <w:sz w:val="18"/>
                      <w:szCs w:val="18"/>
                    </w:rPr>
                  </w:pPr>
                  <w:r>
                    <w:rPr>
                      <w:b/>
                      <w:color w:val="auto"/>
                      <w:sz w:val="18"/>
                      <w:szCs w:val="18"/>
                    </w:rPr>
                    <w:t>国家或地方污染物排放标准浓度限值/（mg/L）</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397" w:type="dxa"/>
                  <w:vAlign w:val="center"/>
                </w:tcPr>
                <w:p>
                  <w:pPr>
                    <w:pStyle w:val="474"/>
                    <w:spacing w:line="360" w:lineRule="auto"/>
                    <w:ind w:firstLine="0" w:firstLineChars="0"/>
                    <w:jc w:val="center"/>
                    <w:rPr>
                      <w:color w:val="auto"/>
                      <w:sz w:val="18"/>
                      <w:szCs w:val="24"/>
                    </w:rPr>
                  </w:pPr>
                  <w:r>
                    <w:rPr>
                      <w:color w:val="auto"/>
                      <w:sz w:val="18"/>
                      <w:szCs w:val="24"/>
                    </w:rPr>
                    <w:t>1</w:t>
                  </w:r>
                </w:p>
              </w:tc>
              <w:tc>
                <w:tcPr>
                  <w:tcW w:w="786" w:type="dxa"/>
                  <w:vMerge w:val="restart"/>
                  <w:vAlign w:val="center"/>
                </w:tcPr>
                <w:p>
                  <w:pPr>
                    <w:pStyle w:val="474"/>
                    <w:spacing w:line="240" w:lineRule="auto"/>
                    <w:ind w:firstLine="0" w:firstLineChars="0"/>
                    <w:jc w:val="center"/>
                    <w:rPr>
                      <w:rFonts w:hint="eastAsia"/>
                      <w:color w:val="auto"/>
                      <w:sz w:val="18"/>
                      <w:szCs w:val="24"/>
                    </w:rPr>
                  </w:pPr>
                  <w:r>
                    <w:rPr>
                      <w:rFonts w:hint="eastAsia"/>
                      <w:color w:val="auto"/>
                      <w:sz w:val="18"/>
                      <w:szCs w:val="24"/>
                    </w:rPr>
                    <w:t>DW001</w:t>
                  </w:r>
                </w:p>
              </w:tc>
              <w:tc>
                <w:tcPr>
                  <w:tcW w:w="1071" w:type="dxa"/>
                  <w:vMerge w:val="restart"/>
                  <w:vAlign w:val="center"/>
                </w:tcPr>
                <w:p>
                  <w:pPr>
                    <w:pStyle w:val="474"/>
                    <w:spacing w:line="240" w:lineRule="auto"/>
                    <w:ind w:firstLine="0" w:firstLineChars="0"/>
                    <w:jc w:val="center"/>
                    <w:rPr>
                      <w:rFonts w:hint="default"/>
                      <w:color w:val="auto"/>
                      <w:sz w:val="18"/>
                      <w:szCs w:val="24"/>
                      <w:lang w:val="en-US" w:eastAsia="zh-CN"/>
                    </w:rPr>
                  </w:pPr>
                  <w:r>
                    <w:rPr>
                      <w:rFonts w:hint="eastAsia"/>
                      <w:color w:val="auto"/>
                      <w:sz w:val="18"/>
                      <w:szCs w:val="24"/>
                    </w:rPr>
                    <w:t>119.</w:t>
                  </w:r>
                  <w:r>
                    <w:rPr>
                      <w:rFonts w:hint="eastAsia"/>
                      <w:color w:val="auto"/>
                      <w:sz w:val="18"/>
                      <w:szCs w:val="24"/>
                      <w:lang w:val="en-US" w:eastAsia="zh-CN"/>
                    </w:rPr>
                    <w:t>635020</w:t>
                  </w:r>
                </w:p>
              </w:tc>
              <w:tc>
                <w:tcPr>
                  <w:tcW w:w="981" w:type="dxa"/>
                  <w:vMerge w:val="restart"/>
                  <w:vAlign w:val="center"/>
                </w:tcPr>
                <w:p>
                  <w:pPr>
                    <w:pStyle w:val="474"/>
                    <w:spacing w:line="240" w:lineRule="auto"/>
                    <w:ind w:firstLine="0" w:firstLineChars="0"/>
                    <w:jc w:val="center"/>
                    <w:rPr>
                      <w:rFonts w:hint="default"/>
                      <w:color w:val="auto"/>
                      <w:sz w:val="18"/>
                      <w:szCs w:val="24"/>
                      <w:lang w:val="en-US" w:eastAsia="zh-CN"/>
                    </w:rPr>
                  </w:pPr>
                  <w:r>
                    <w:rPr>
                      <w:rFonts w:hint="eastAsia"/>
                      <w:color w:val="auto"/>
                      <w:sz w:val="18"/>
                      <w:szCs w:val="24"/>
                    </w:rPr>
                    <w:t>31.</w:t>
                  </w:r>
                  <w:r>
                    <w:rPr>
                      <w:rFonts w:hint="eastAsia"/>
                      <w:color w:val="auto"/>
                      <w:sz w:val="18"/>
                      <w:szCs w:val="24"/>
                      <w:lang w:val="en-US" w:eastAsia="zh-CN"/>
                    </w:rPr>
                    <w:t>755424</w:t>
                  </w:r>
                </w:p>
              </w:tc>
              <w:tc>
                <w:tcPr>
                  <w:tcW w:w="801" w:type="dxa"/>
                  <w:vMerge w:val="restart"/>
                  <w:vAlign w:val="center"/>
                </w:tcPr>
                <w:p>
                  <w:pPr>
                    <w:pStyle w:val="474"/>
                    <w:spacing w:line="240" w:lineRule="auto"/>
                    <w:ind w:firstLine="0" w:firstLineChars="0"/>
                    <w:jc w:val="center"/>
                    <w:rPr>
                      <w:rFonts w:hint="eastAsia" w:eastAsia="宋体"/>
                      <w:color w:val="auto"/>
                      <w:sz w:val="18"/>
                      <w:szCs w:val="24"/>
                      <w:lang w:val="en-US" w:eastAsia="zh-CN"/>
                    </w:rPr>
                  </w:pPr>
                  <w:r>
                    <w:rPr>
                      <w:rFonts w:hint="eastAsia"/>
                      <w:color w:val="auto"/>
                      <w:sz w:val="18"/>
                      <w:szCs w:val="24"/>
                    </w:rPr>
                    <w:t>0.03</w:t>
                  </w:r>
                  <w:r>
                    <w:rPr>
                      <w:rFonts w:hint="eastAsia"/>
                      <w:color w:val="auto"/>
                      <w:sz w:val="18"/>
                      <w:szCs w:val="24"/>
                      <w:lang w:val="en-US" w:eastAsia="zh-CN"/>
                    </w:rPr>
                    <w:t>6</w:t>
                  </w:r>
                </w:p>
              </w:tc>
              <w:tc>
                <w:tcPr>
                  <w:tcW w:w="630" w:type="dxa"/>
                  <w:vMerge w:val="restart"/>
                  <w:vAlign w:val="center"/>
                </w:tcPr>
                <w:p>
                  <w:pPr>
                    <w:pStyle w:val="474"/>
                    <w:spacing w:line="240" w:lineRule="auto"/>
                    <w:ind w:firstLine="0" w:firstLineChars="0"/>
                    <w:jc w:val="center"/>
                    <w:rPr>
                      <w:color w:val="auto"/>
                      <w:sz w:val="18"/>
                      <w:szCs w:val="24"/>
                    </w:rPr>
                  </w:pPr>
                  <w:r>
                    <w:rPr>
                      <w:color w:val="auto"/>
                      <w:sz w:val="18"/>
                      <w:szCs w:val="24"/>
                    </w:rPr>
                    <w:t>排放至金坛第二污水处理</w:t>
                  </w:r>
                </w:p>
              </w:tc>
              <w:tc>
                <w:tcPr>
                  <w:tcW w:w="646" w:type="dxa"/>
                  <w:vMerge w:val="restart"/>
                  <w:vAlign w:val="center"/>
                </w:tcPr>
                <w:p>
                  <w:pPr>
                    <w:pStyle w:val="474"/>
                    <w:spacing w:line="240" w:lineRule="auto"/>
                    <w:ind w:firstLine="0" w:firstLineChars="0"/>
                    <w:jc w:val="center"/>
                    <w:rPr>
                      <w:color w:val="auto"/>
                      <w:sz w:val="18"/>
                      <w:szCs w:val="24"/>
                    </w:rPr>
                  </w:pPr>
                  <w:r>
                    <w:rPr>
                      <w:rFonts w:hint="eastAsia"/>
                      <w:color w:val="auto"/>
                      <w:sz w:val="18"/>
                      <w:szCs w:val="24"/>
                    </w:rPr>
                    <w:t>间断</w:t>
                  </w:r>
                  <w:r>
                    <w:rPr>
                      <w:color w:val="auto"/>
                      <w:sz w:val="18"/>
                      <w:szCs w:val="24"/>
                    </w:rPr>
                    <w:t>排放，流量</w:t>
                  </w:r>
                  <w:r>
                    <w:rPr>
                      <w:rFonts w:hint="eastAsia"/>
                      <w:color w:val="auto"/>
                      <w:sz w:val="18"/>
                      <w:szCs w:val="24"/>
                    </w:rPr>
                    <w:t>不</w:t>
                  </w:r>
                  <w:r>
                    <w:rPr>
                      <w:color w:val="auto"/>
                      <w:sz w:val="18"/>
                      <w:szCs w:val="24"/>
                    </w:rPr>
                    <w:t>稳定</w:t>
                  </w:r>
                </w:p>
              </w:tc>
              <w:tc>
                <w:tcPr>
                  <w:tcW w:w="615" w:type="dxa"/>
                  <w:vMerge w:val="restart"/>
                  <w:vAlign w:val="center"/>
                </w:tcPr>
                <w:p>
                  <w:pPr>
                    <w:pStyle w:val="474"/>
                    <w:spacing w:line="240" w:lineRule="auto"/>
                    <w:ind w:firstLine="0" w:firstLineChars="0"/>
                    <w:jc w:val="center"/>
                    <w:rPr>
                      <w:color w:val="auto"/>
                      <w:sz w:val="18"/>
                      <w:szCs w:val="24"/>
                    </w:rPr>
                  </w:pPr>
                  <w:r>
                    <w:rPr>
                      <w:color w:val="auto"/>
                      <w:sz w:val="18"/>
                      <w:szCs w:val="24"/>
                    </w:rPr>
                    <w:t>/</w:t>
                  </w:r>
                </w:p>
              </w:tc>
              <w:tc>
                <w:tcPr>
                  <w:tcW w:w="614" w:type="dxa"/>
                  <w:vMerge w:val="restart"/>
                  <w:vAlign w:val="center"/>
                </w:tcPr>
                <w:p>
                  <w:pPr>
                    <w:pStyle w:val="474"/>
                    <w:spacing w:line="240" w:lineRule="auto"/>
                    <w:ind w:firstLine="0" w:firstLineChars="0"/>
                    <w:jc w:val="center"/>
                    <w:rPr>
                      <w:color w:val="auto"/>
                      <w:szCs w:val="24"/>
                    </w:rPr>
                  </w:pPr>
                  <w:r>
                    <w:rPr>
                      <w:color w:val="auto"/>
                      <w:sz w:val="18"/>
                    </w:rPr>
                    <w:t>金坛区第二污水处理厂</w:t>
                  </w:r>
                </w:p>
              </w:tc>
              <w:tc>
                <w:tcPr>
                  <w:tcW w:w="675" w:type="dxa"/>
                  <w:vAlign w:val="center"/>
                </w:tcPr>
                <w:p>
                  <w:pPr>
                    <w:pStyle w:val="474"/>
                    <w:spacing w:line="360" w:lineRule="auto"/>
                    <w:ind w:firstLine="0" w:firstLineChars="0"/>
                    <w:jc w:val="center"/>
                    <w:rPr>
                      <w:color w:val="auto"/>
                      <w:szCs w:val="24"/>
                    </w:rPr>
                  </w:pPr>
                  <w:r>
                    <w:rPr>
                      <w:color w:val="auto"/>
                      <w:sz w:val="18"/>
                      <w:szCs w:val="21"/>
                    </w:rPr>
                    <w:t>COD</w:t>
                  </w:r>
                </w:p>
              </w:tc>
              <w:tc>
                <w:tcPr>
                  <w:tcW w:w="1086" w:type="dxa"/>
                  <w:vAlign w:val="center"/>
                </w:tcPr>
                <w:p>
                  <w:pPr>
                    <w:pStyle w:val="474"/>
                    <w:spacing w:line="240" w:lineRule="auto"/>
                    <w:ind w:firstLine="0" w:firstLineChars="0"/>
                    <w:jc w:val="center"/>
                    <w:rPr>
                      <w:color w:val="auto"/>
                      <w:sz w:val="18"/>
                    </w:rPr>
                  </w:pPr>
                  <w:r>
                    <w:rPr>
                      <w:color w:val="auto"/>
                      <w:sz w:val="18"/>
                    </w:rPr>
                    <w:t>50</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397" w:type="dxa"/>
                  <w:vAlign w:val="center"/>
                </w:tcPr>
                <w:p>
                  <w:pPr>
                    <w:pStyle w:val="474"/>
                    <w:spacing w:line="360" w:lineRule="auto"/>
                    <w:ind w:firstLine="0" w:firstLineChars="0"/>
                    <w:jc w:val="center"/>
                    <w:rPr>
                      <w:color w:val="auto"/>
                      <w:sz w:val="18"/>
                      <w:szCs w:val="24"/>
                    </w:rPr>
                  </w:pPr>
                  <w:r>
                    <w:rPr>
                      <w:color w:val="auto"/>
                      <w:sz w:val="18"/>
                      <w:szCs w:val="24"/>
                    </w:rPr>
                    <w:t>2</w:t>
                  </w:r>
                </w:p>
              </w:tc>
              <w:tc>
                <w:tcPr>
                  <w:tcW w:w="786" w:type="dxa"/>
                  <w:vMerge w:val="continue"/>
                  <w:vAlign w:val="center"/>
                </w:tcPr>
                <w:p>
                  <w:pPr>
                    <w:rPr>
                      <w:color w:val="auto"/>
                    </w:rPr>
                  </w:pPr>
                </w:p>
              </w:tc>
              <w:tc>
                <w:tcPr>
                  <w:tcW w:w="1071" w:type="dxa"/>
                  <w:vMerge w:val="continue"/>
                  <w:vAlign w:val="center"/>
                </w:tcPr>
                <w:p>
                  <w:pPr>
                    <w:rPr>
                      <w:color w:val="auto"/>
                    </w:rPr>
                  </w:pPr>
                </w:p>
              </w:tc>
              <w:tc>
                <w:tcPr>
                  <w:tcW w:w="981" w:type="dxa"/>
                  <w:vMerge w:val="continue"/>
                  <w:vAlign w:val="center"/>
                </w:tcPr>
                <w:p>
                  <w:pPr>
                    <w:rPr>
                      <w:color w:val="auto"/>
                    </w:rPr>
                  </w:pPr>
                </w:p>
              </w:tc>
              <w:tc>
                <w:tcPr>
                  <w:tcW w:w="801" w:type="dxa"/>
                  <w:vMerge w:val="continue"/>
                  <w:vAlign w:val="center"/>
                </w:tcPr>
                <w:p>
                  <w:pPr>
                    <w:rPr>
                      <w:color w:val="auto"/>
                    </w:rPr>
                  </w:pPr>
                </w:p>
              </w:tc>
              <w:tc>
                <w:tcPr>
                  <w:tcW w:w="630" w:type="dxa"/>
                  <w:vMerge w:val="continue"/>
                  <w:vAlign w:val="center"/>
                </w:tcPr>
                <w:p>
                  <w:pPr>
                    <w:rPr>
                      <w:color w:val="auto"/>
                    </w:rPr>
                  </w:pPr>
                </w:p>
              </w:tc>
              <w:tc>
                <w:tcPr>
                  <w:tcW w:w="646" w:type="dxa"/>
                  <w:vMerge w:val="continue"/>
                  <w:vAlign w:val="center"/>
                </w:tcPr>
                <w:p>
                  <w:pPr>
                    <w:rPr>
                      <w:color w:val="auto"/>
                    </w:rPr>
                  </w:pPr>
                </w:p>
              </w:tc>
              <w:tc>
                <w:tcPr>
                  <w:tcW w:w="615" w:type="dxa"/>
                  <w:vMerge w:val="continue"/>
                  <w:vAlign w:val="center"/>
                </w:tcPr>
                <w:p>
                  <w:pPr>
                    <w:rPr>
                      <w:color w:val="auto"/>
                    </w:rPr>
                  </w:pPr>
                </w:p>
              </w:tc>
              <w:tc>
                <w:tcPr>
                  <w:tcW w:w="614" w:type="dxa"/>
                  <w:vMerge w:val="continue"/>
                  <w:vAlign w:val="center"/>
                </w:tcPr>
                <w:p>
                  <w:pPr>
                    <w:rPr>
                      <w:color w:val="auto"/>
                    </w:rPr>
                  </w:pPr>
                </w:p>
              </w:tc>
              <w:tc>
                <w:tcPr>
                  <w:tcW w:w="675" w:type="dxa"/>
                  <w:vAlign w:val="center"/>
                </w:tcPr>
                <w:p>
                  <w:pPr>
                    <w:pStyle w:val="474"/>
                    <w:spacing w:line="360" w:lineRule="auto"/>
                    <w:ind w:firstLine="0" w:firstLineChars="0"/>
                    <w:jc w:val="center"/>
                    <w:rPr>
                      <w:color w:val="auto"/>
                      <w:sz w:val="18"/>
                      <w:szCs w:val="21"/>
                    </w:rPr>
                  </w:pPr>
                  <w:r>
                    <w:rPr>
                      <w:color w:val="auto"/>
                      <w:sz w:val="18"/>
                      <w:szCs w:val="21"/>
                    </w:rPr>
                    <w:t>SS</w:t>
                  </w:r>
                </w:p>
              </w:tc>
              <w:tc>
                <w:tcPr>
                  <w:tcW w:w="1086" w:type="dxa"/>
                  <w:vAlign w:val="center"/>
                </w:tcPr>
                <w:p>
                  <w:pPr>
                    <w:pStyle w:val="474"/>
                    <w:spacing w:line="240" w:lineRule="auto"/>
                    <w:ind w:firstLine="0" w:firstLineChars="0"/>
                    <w:jc w:val="center"/>
                    <w:rPr>
                      <w:color w:val="auto"/>
                      <w:sz w:val="18"/>
                    </w:rPr>
                  </w:pPr>
                  <w:r>
                    <w:rPr>
                      <w:color w:val="auto"/>
                      <w:sz w:val="18"/>
                    </w:rPr>
                    <w:t>10</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397" w:type="dxa"/>
                  <w:vAlign w:val="center"/>
                </w:tcPr>
                <w:p>
                  <w:pPr>
                    <w:pStyle w:val="474"/>
                    <w:spacing w:line="360" w:lineRule="auto"/>
                    <w:ind w:firstLine="0" w:firstLineChars="0"/>
                    <w:jc w:val="center"/>
                    <w:rPr>
                      <w:color w:val="auto"/>
                      <w:sz w:val="18"/>
                      <w:szCs w:val="24"/>
                    </w:rPr>
                  </w:pPr>
                  <w:r>
                    <w:rPr>
                      <w:color w:val="auto"/>
                      <w:sz w:val="18"/>
                      <w:szCs w:val="24"/>
                    </w:rPr>
                    <w:t>3</w:t>
                  </w:r>
                </w:p>
              </w:tc>
              <w:tc>
                <w:tcPr>
                  <w:tcW w:w="786" w:type="dxa"/>
                  <w:vMerge w:val="continue"/>
                  <w:vAlign w:val="center"/>
                </w:tcPr>
                <w:p>
                  <w:pPr>
                    <w:rPr>
                      <w:color w:val="auto"/>
                    </w:rPr>
                  </w:pPr>
                </w:p>
              </w:tc>
              <w:tc>
                <w:tcPr>
                  <w:tcW w:w="1071" w:type="dxa"/>
                  <w:vMerge w:val="continue"/>
                  <w:vAlign w:val="center"/>
                </w:tcPr>
                <w:p>
                  <w:pPr>
                    <w:rPr>
                      <w:color w:val="auto"/>
                    </w:rPr>
                  </w:pPr>
                </w:p>
              </w:tc>
              <w:tc>
                <w:tcPr>
                  <w:tcW w:w="981" w:type="dxa"/>
                  <w:vMerge w:val="continue"/>
                  <w:vAlign w:val="center"/>
                </w:tcPr>
                <w:p>
                  <w:pPr>
                    <w:rPr>
                      <w:color w:val="auto"/>
                    </w:rPr>
                  </w:pPr>
                </w:p>
              </w:tc>
              <w:tc>
                <w:tcPr>
                  <w:tcW w:w="801" w:type="dxa"/>
                  <w:vMerge w:val="continue"/>
                  <w:vAlign w:val="center"/>
                </w:tcPr>
                <w:p>
                  <w:pPr>
                    <w:rPr>
                      <w:color w:val="auto"/>
                    </w:rPr>
                  </w:pPr>
                </w:p>
              </w:tc>
              <w:tc>
                <w:tcPr>
                  <w:tcW w:w="630" w:type="dxa"/>
                  <w:vMerge w:val="continue"/>
                  <w:vAlign w:val="center"/>
                </w:tcPr>
                <w:p>
                  <w:pPr>
                    <w:rPr>
                      <w:color w:val="auto"/>
                    </w:rPr>
                  </w:pPr>
                </w:p>
              </w:tc>
              <w:tc>
                <w:tcPr>
                  <w:tcW w:w="646" w:type="dxa"/>
                  <w:vMerge w:val="continue"/>
                  <w:vAlign w:val="center"/>
                </w:tcPr>
                <w:p>
                  <w:pPr>
                    <w:rPr>
                      <w:color w:val="auto"/>
                    </w:rPr>
                  </w:pPr>
                </w:p>
              </w:tc>
              <w:tc>
                <w:tcPr>
                  <w:tcW w:w="615" w:type="dxa"/>
                  <w:vMerge w:val="continue"/>
                  <w:vAlign w:val="center"/>
                </w:tcPr>
                <w:p>
                  <w:pPr>
                    <w:rPr>
                      <w:color w:val="auto"/>
                    </w:rPr>
                  </w:pPr>
                </w:p>
              </w:tc>
              <w:tc>
                <w:tcPr>
                  <w:tcW w:w="614" w:type="dxa"/>
                  <w:vMerge w:val="continue"/>
                  <w:vAlign w:val="center"/>
                </w:tcPr>
                <w:p>
                  <w:pPr>
                    <w:rPr>
                      <w:color w:val="auto"/>
                    </w:rPr>
                  </w:pPr>
                </w:p>
              </w:tc>
              <w:tc>
                <w:tcPr>
                  <w:tcW w:w="675" w:type="dxa"/>
                  <w:vAlign w:val="center"/>
                </w:tcPr>
                <w:p>
                  <w:pPr>
                    <w:pStyle w:val="474"/>
                    <w:spacing w:line="360" w:lineRule="auto"/>
                    <w:ind w:firstLine="0" w:firstLineChars="0"/>
                    <w:jc w:val="center"/>
                    <w:rPr>
                      <w:color w:val="auto"/>
                      <w:sz w:val="18"/>
                      <w:szCs w:val="21"/>
                    </w:rPr>
                  </w:pPr>
                  <w:r>
                    <w:rPr>
                      <w:color w:val="auto"/>
                      <w:sz w:val="18"/>
                      <w:szCs w:val="21"/>
                    </w:rPr>
                    <w:t>氨氮</w:t>
                  </w:r>
                </w:p>
              </w:tc>
              <w:tc>
                <w:tcPr>
                  <w:tcW w:w="1086" w:type="dxa"/>
                  <w:vAlign w:val="center"/>
                </w:tcPr>
                <w:p>
                  <w:pPr>
                    <w:pStyle w:val="474"/>
                    <w:spacing w:line="240" w:lineRule="auto"/>
                    <w:ind w:firstLine="0" w:firstLineChars="0"/>
                    <w:jc w:val="center"/>
                    <w:rPr>
                      <w:color w:val="auto"/>
                      <w:sz w:val="18"/>
                    </w:rPr>
                  </w:pPr>
                  <w:r>
                    <w:rPr>
                      <w:color w:val="auto"/>
                      <w:sz w:val="18"/>
                    </w:rPr>
                    <w:t>5</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397" w:type="dxa"/>
                  <w:vAlign w:val="center"/>
                </w:tcPr>
                <w:p>
                  <w:pPr>
                    <w:pStyle w:val="474"/>
                    <w:spacing w:line="360" w:lineRule="auto"/>
                    <w:ind w:firstLine="0" w:firstLineChars="0"/>
                    <w:jc w:val="center"/>
                    <w:rPr>
                      <w:color w:val="auto"/>
                      <w:sz w:val="18"/>
                      <w:szCs w:val="24"/>
                    </w:rPr>
                  </w:pPr>
                  <w:r>
                    <w:rPr>
                      <w:color w:val="auto"/>
                      <w:sz w:val="18"/>
                      <w:szCs w:val="24"/>
                    </w:rPr>
                    <w:t>4</w:t>
                  </w:r>
                </w:p>
              </w:tc>
              <w:tc>
                <w:tcPr>
                  <w:tcW w:w="786" w:type="dxa"/>
                  <w:vMerge w:val="continue"/>
                  <w:vAlign w:val="center"/>
                </w:tcPr>
                <w:p>
                  <w:pPr>
                    <w:rPr>
                      <w:color w:val="auto"/>
                    </w:rPr>
                  </w:pPr>
                </w:p>
              </w:tc>
              <w:tc>
                <w:tcPr>
                  <w:tcW w:w="1071" w:type="dxa"/>
                  <w:vMerge w:val="continue"/>
                  <w:vAlign w:val="center"/>
                </w:tcPr>
                <w:p>
                  <w:pPr>
                    <w:rPr>
                      <w:color w:val="auto"/>
                    </w:rPr>
                  </w:pPr>
                </w:p>
              </w:tc>
              <w:tc>
                <w:tcPr>
                  <w:tcW w:w="981" w:type="dxa"/>
                  <w:vMerge w:val="continue"/>
                  <w:vAlign w:val="center"/>
                </w:tcPr>
                <w:p>
                  <w:pPr>
                    <w:rPr>
                      <w:color w:val="auto"/>
                    </w:rPr>
                  </w:pPr>
                </w:p>
              </w:tc>
              <w:tc>
                <w:tcPr>
                  <w:tcW w:w="801" w:type="dxa"/>
                  <w:vMerge w:val="continue"/>
                  <w:vAlign w:val="center"/>
                </w:tcPr>
                <w:p>
                  <w:pPr>
                    <w:rPr>
                      <w:color w:val="auto"/>
                    </w:rPr>
                  </w:pPr>
                </w:p>
              </w:tc>
              <w:tc>
                <w:tcPr>
                  <w:tcW w:w="630" w:type="dxa"/>
                  <w:vMerge w:val="continue"/>
                  <w:vAlign w:val="center"/>
                </w:tcPr>
                <w:p>
                  <w:pPr>
                    <w:rPr>
                      <w:color w:val="auto"/>
                    </w:rPr>
                  </w:pPr>
                </w:p>
              </w:tc>
              <w:tc>
                <w:tcPr>
                  <w:tcW w:w="646" w:type="dxa"/>
                  <w:vMerge w:val="continue"/>
                  <w:vAlign w:val="center"/>
                </w:tcPr>
                <w:p>
                  <w:pPr>
                    <w:rPr>
                      <w:color w:val="auto"/>
                    </w:rPr>
                  </w:pPr>
                </w:p>
              </w:tc>
              <w:tc>
                <w:tcPr>
                  <w:tcW w:w="615" w:type="dxa"/>
                  <w:vMerge w:val="continue"/>
                  <w:vAlign w:val="center"/>
                </w:tcPr>
                <w:p>
                  <w:pPr>
                    <w:rPr>
                      <w:color w:val="auto"/>
                    </w:rPr>
                  </w:pPr>
                </w:p>
              </w:tc>
              <w:tc>
                <w:tcPr>
                  <w:tcW w:w="614" w:type="dxa"/>
                  <w:vMerge w:val="continue"/>
                  <w:vAlign w:val="center"/>
                </w:tcPr>
                <w:p>
                  <w:pPr>
                    <w:rPr>
                      <w:color w:val="auto"/>
                    </w:rPr>
                  </w:pPr>
                </w:p>
              </w:tc>
              <w:tc>
                <w:tcPr>
                  <w:tcW w:w="675" w:type="dxa"/>
                  <w:vAlign w:val="center"/>
                </w:tcPr>
                <w:p>
                  <w:pPr>
                    <w:pStyle w:val="474"/>
                    <w:spacing w:line="360" w:lineRule="auto"/>
                    <w:ind w:firstLine="0" w:firstLineChars="0"/>
                    <w:jc w:val="center"/>
                    <w:rPr>
                      <w:color w:val="auto"/>
                      <w:sz w:val="18"/>
                      <w:szCs w:val="21"/>
                    </w:rPr>
                  </w:pPr>
                  <w:r>
                    <w:rPr>
                      <w:color w:val="auto"/>
                      <w:sz w:val="18"/>
                      <w:szCs w:val="21"/>
                    </w:rPr>
                    <w:t>TP</w:t>
                  </w:r>
                </w:p>
              </w:tc>
              <w:tc>
                <w:tcPr>
                  <w:tcW w:w="1086" w:type="dxa"/>
                  <w:vAlign w:val="center"/>
                </w:tcPr>
                <w:p>
                  <w:pPr>
                    <w:pStyle w:val="474"/>
                    <w:spacing w:line="240" w:lineRule="auto"/>
                    <w:ind w:firstLine="0" w:firstLineChars="0"/>
                    <w:jc w:val="center"/>
                    <w:rPr>
                      <w:color w:val="auto"/>
                      <w:sz w:val="18"/>
                    </w:rPr>
                  </w:pPr>
                  <w:r>
                    <w:rPr>
                      <w:color w:val="auto"/>
                      <w:sz w:val="18"/>
                    </w:rPr>
                    <w:t>0.5</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397" w:type="dxa"/>
                  <w:vAlign w:val="center"/>
                </w:tcPr>
                <w:p>
                  <w:pPr>
                    <w:pStyle w:val="474"/>
                    <w:spacing w:line="360" w:lineRule="auto"/>
                    <w:ind w:firstLine="0" w:firstLineChars="0"/>
                    <w:jc w:val="center"/>
                    <w:rPr>
                      <w:color w:val="auto"/>
                      <w:sz w:val="18"/>
                      <w:szCs w:val="24"/>
                    </w:rPr>
                  </w:pPr>
                  <w:r>
                    <w:rPr>
                      <w:color w:val="auto"/>
                      <w:sz w:val="18"/>
                      <w:szCs w:val="24"/>
                    </w:rPr>
                    <w:t>5</w:t>
                  </w:r>
                </w:p>
              </w:tc>
              <w:tc>
                <w:tcPr>
                  <w:tcW w:w="786" w:type="dxa"/>
                  <w:vMerge w:val="continue"/>
                  <w:vAlign w:val="center"/>
                </w:tcPr>
                <w:p>
                  <w:pPr>
                    <w:rPr>
                      <w:color w:val="auto"/>
                    </w:rPr>
                  </w:pPr>
                </w:p>
              </w:tc>
              <w:tc>
                <w:tcPr>
                  <w:tcW w:w="1071" w:type="dxa"/>
                  <w:vMerge w:val="continue"/>
                  <w:vAlign w:val="center"/>
                </w:tcPr>
                <w:p>
                  <w:pPr>
                    <w:rPr>
                      <w:color w:val="auto"/>
                    </w:rPr>
                  </w:pPr>
                </w:p>
              </w:tc>
              <w:tc>
                <w:tcPr>
                  <w:tcW w:w="981" w:type="dxa"/>
                  <w:vMerge w:val="continue"/>
                  <w:vAlign w:val="center"/>
                </w:tcPr>
                <w:p>
                  <w:pPr>
                    <w:rPr>
                      <w:color w:val="auto"/>
                    </w:rPr>
                  </w:pPr>
                </w:p>
              </w:tc>
              <w:tc>
                <w:tcPr>
                  <w:tcW w:w="801" w:type="dxa"/>
                  <w:vMerge w:val="continue"/>
                  <w:vAlign w:val="center"/>
                </w:tcPr>
                <w:p>
                  <w:pPr>
                    <w:rPr>
                      <w:color w:val="auto"/>
                    </w:rPr>
                  </w:pPr>
                </w:p>
              </w:tc>
              <w:tc>
                <w:tcPr>
                  <w:tcW w:w="630" w:type="dxa"/>
                  <w:vMerge w:val="continue"/>
                  <w:vAlign w:val="center"/>
                </w:tcPr>
                <w:p>
                  <w:pPr>
                    <w:rPr>
                      <w:color w:val="auto"/>
                    </w:rPr>
                  </w:pPr>
                </w:p>
              </w:tc>
              <w:tc>
                <w:tcPr>
                  <w:tcW w:w="646" w:type="dxa"/>
                  <w:vMerge w:val="continue"/>
                  <w:vAlign w:val="center"/>
                </w:tcPr>
                <w:p>
                  <w:pPr>
                    <w:rPr>
                      <w:color w:val="auto"/>
                    </w:rPr>
                  </w:pPr>
                </w:p>
              </w:tc>
              <w:tc>
                <w:tcPr>
                  <w:tcW w:w="615" w:type="dxa"/>
                  <w:vMerge w:val="continue"/>
                  <w:vAlign w:val="center"/>
                </w:tcPr>
                <w:p>
                  <w:pPr>
                    <w:rPr>
                      <w:color w:val="auto"/>
                    </w:rPr>
                  </w:pPr>
                </w:p>
              </w:tc>
              <w:tc>
                <w:tcPr>
                  <w:tcW w:w="614" w:type="dxa"/>
                  <w:vMerge w:val="continue"/>
                  <w:vAlign w:val="center"/>
                </w:tcPr>
                <w:p>
                  <w:pPr>
                    <w:rPr>
                      <w:color w:val="auto"/>
                    </w:rPr>
                  </w:pPr>
                </w:p>
              </w:tc>
              <w:tc>
                <w:tcPr>
                  <w:tcW w:w="675" w:type="dxa"/>
                  <w:vAlign w:val="center"/>
                </w:tcPr>
                <w:p>
                  <w:pPr>
                    <w:pStyle w:val="474"/>
                    <w:spacing w:line="360" w:lineRule="auto"/>
                    <w:ind w:firstLine="0" w:firstLineChars="0"/>
                    <w:jc w:val="center"/>
                    <w:rPr>
                      <w:color w:val="auto"/>
                      <w:sz w:val="18"/>
                      <w:szCs w:val="21"/>
                    </w:rPr>
                  </w:pPr>
                  <w:r>
                    <w:rPr>
                      <w:color w:val="auto"/>
                      <w:sz w:val="18"/>
                      <w:szCs w:val="21"/>
                    </w:rPr>
                    <w:t>TN</w:t>
                  </w:r>
                </w:p>
              </w:tc>
              <w:tc>
                <w:tcPr>
                  <w:tcW w:w="1086" w:type="dxa"/>
                  <w:vAlign w:val="center"/>
                </w:tcPr>
                <w:p>
                  <w:pPr>
                    <w:pStyle w:val="474"/>
                    <w:spacing w:line="240" w:lineRule="auto"/>
                    <w:ind w:firstLine="0" w:firstLineChars="0"/>
                    <w:jc w:val="center"/>
                    <w:rPr>
                      <w:color w:val="auto"/>
                      <w:sz w:val="18"/>
                    </w:rPr>
                  </w:pPr>
                  <w:r>
                    <w:rPr>
                      <w:color w:val="auto"/>
                      <w:sz w:val="18"/>
                    </w:rPr>
                    <w:t>15</w:t>
                  </w:r>
                </w:p>
              </w:tc>
            </w:tr>
          </w:tbl>
          <w:p>
            <w:pPr>
              <w:pStyle w:val="474"/>
              <w:spacing w:line="360" w:lineRule="auto"/>
              <w:jc w:val="both"/>
              <w:rPr>
                <w:color w:val="auto"/>
                <w:szCs w:val="24"/>
              </w:rPr>
            </w:pPr>
            <w:r>
              <w:rPr>
                <w:color w:val="auto"/>
              </w:rPr>
              <w:t>2021年1月1日前，金坛区第二污水处理厂尾水排放执行《太湖地区城镇污水处理厂及重点工业行业主要水污染物排放限值》（DB32/1072-2007）中表2标准及《城镇污水处理厂污染物排放标准》（GB18918-2002）中表1一级A标准；2021年1月1号后金坛区第二污水处理厂尾水排放执行《太湖地区城镇污水处理厂及重点工业行业主要水污染物排放限值》（DB32/1072-20</w:t>
            </w:r>
            <w:r>
              <w:rPr>
                <w:rFonts w:hint="eastAsia"/>
                <w:color w:val="auto"/>
              </w:rPr>
              <w:t>18</w:t>
            </w:r>
            <w:r>
              <w:rPr>
                <w:color w:val="auto"/>
              </w:rPr>
              <w:t>）中表2标准及《城镇污水处理厂污染物排放标准》（GB18918-2002）中表1一级A标准</w:t>
            </w:r>
            <w:r>
              <w:rPr>
                <w:rFonts w:hint="eastAsia"/>
                <w:color w:val="auto"/>
              </w:rPr>
              <w:t>。</w:t>
            </w:r>
          </w:p>
          <w:p>
            <w:pPr>
              <w:pStyle w:val="474"/>
              <w:spacing w:line="360" w:lineRule="auto"/>
              <w:jc w:val="both"/>
              <w:rPr>
                <w:color w:val="auto"/>
              </w:rPr>
            </w:pPr>
            <w:r>
              <w:rPr>
                <w:color w:val="auto"/>
              </w:rPr>
              <w:t>项目废水排放情况详见下表。</w:t>
            </w:r>
          </w:p>
          <w:p>
            <w:pPr>
              <w:pStyle w:val="474"/>
              <w:spacing w:line="240" w:lineRule="auto"/>
              <w:ind w:firstLine="0" w:firstLineChars="0"/>
              <w:jc w:val="center"/>
              <w:rPr>
                <w:b/>
                <w:color w:val="auto"/>
                <w:sz w:val="21"/>
                <w:szCs w:val="21"/>
              </w:rPr>
            </w:pPr>
            <w:r>
              <w:rPr>
                <w:b/>
                <w:bCs/>
                <w:color w:val="auto"/>
                <w:sz w:val="21"/>
                <w:szCs w:val="21"/>
              </w:rPr>
              <w:t>表7-1</w:t>
            </w:r>
            <w:r>
              <w:rPr>
                <w:rFonts w:hint="eastAsia"/>
                <w:b/>
                <w:bCs/>
                <w:color w:val="auto"/>
                <w:sz w:val="21"/>
                <w:szCs w:val="21"/>
                <w:lang w:val="en-US" w:eastAsia="zh-CN"/>
              </w:rPr>
              <w:t>8</w:t>
            </w:r>
            <w:r>
              <w:rPr>
                <w:b/>
                <w:bCs/>
                <w:color w:val="auto"/>
                <w:sz w:val="21"/>
                <w:szCs w:val="21"/>
              </w:rPr>
              <w:t xml:space="preserve">  </w:t>
            </w:r>
            <w:r>
              <w:rPr>
                <w:b/>
                <w:color w:val="auto"/>
                <w:sz w:val="21"/>
                <w:szCs w:val="21"/>
              </w:rPr>
              <w:t>废水污染物排放信息表</w:t>
            </w:r>
          </w:p>
          <w:tbl>
            <w:tblPr>
              <w:tblStyle w:val="56"/>
              <w:tblW w:w="8312" w:type="dxa"/>
              <w:jc w:val="center"/>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705"/>
              <w:gridCol w:w="1404"/>
              <w:gridCol w:w="1350"/>
              <w:gridCol w:w="1811"/>
              <w:gridCol w:w="1521"/>
              <w:gridCol w:w="1521"/>
            </w:tblGrid>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05" w:type="dxa"/>
                  <w:vAlign w:val="center"/>
                </w:tcPr>
                <w:p>
                  <w:pPr>
                    <w:pStyle w:val="123"/>
                    <w:rPr>
                      <w:b/>
                      <w:color w:val="auto"/>
                    </w:rPr>
                  </w:pPr>
                  <w:r>
                    <w:rPr>
                      <w:b/>
                      <w:color w:val="auto"/>
                    </w:rPr>
                    <w:t>序号</w:t>
                  </w:r>
                </w:p>
              </w:tc>
              <w:tc>
                <w:tcPr>
                  <w:tcW w:w="1404" w:type="dxa"/>
                  <w:vAlign w:val="center"/>
                </w:tcPr>
                <w:p>
                  <w:pPr>
                    <w:pStyle w:val="123"/>
                    <w:rPr>
                      <w:b/>
                      <w:color w:val="auto"/>
                    </w:rPr>
                  </w:pPr>
                  <w:r>
                    <w:rPr>
                      <w:b/>
                      <w:color w:val="auto"/>
                    </w:rPr>
                    <w:t>排放口编号</w:t>
                  </w:r>
                </w:p>
              </w:tc>
              <w:tc>
                <w:tcPr>
                  <w:tcW w:w="1350" w:type="dxa"/>
                  <w:vAlign w:val="center"/>
                </w:tcPr>
                <w:p>
                  <w:pPr>
                    <w:pStyle w:val="123"/>
                    <w:rPr>
                      <w:b/>
                      <w:color w:val="auto"/>
                    </w:rPr>
                  </w:pPr>
                  <w:r>
                    <w:rPr>
                      <w:b/>
                      <w:color w:val="auto"/>
                    </w:rPr>
                    <w:t>污染物种类</w:t>
                  </w:r>
                </w:p>
              </w:tc>
              <w:tc>
                <w:tcPr>
                  <w:tcW w:w="1811" w:type="dxa"/>
                  <w:vAlign w:val="center"/>
                </w:tcPr>
                <w:p>
                  <w:pPr>
                    <w:pStyle w:val="123"/>
                    <w:rPr>
                      <w:b/>
                      <w:color w:val="auto"/>
                    </w:rPr>
                  </w:pPr>
                  <w:r>
                    <w:rPr>
                      <w:b/>
                      <w:color w:val="auto"/>
                    </w:rPr>
                    <w:t>排放浓度/（mg/L）</w:t>
                  </w:r>
                </w:p>
              </w:tc>
              <w:tc>
                <w:tcPr>
                  <w:tcW w:w="1521" w:type="dxa"/>
                  <w:vAlign w:val="center"/>
                </w:tcPr>
                <w:p>
                  <w:pPr>
                    <w:pStyle w:val="123"/>
                    <w:rPr>
                      <w:b/>
                      <w:color w:val="auto"/>
                    </w:rPr>
                  </w:pPr>
                  <w:r>
                    <w:rPr>
                      <w:b/>
                      <w:color w:val="auto"/>
                    </w:rPr>
                    <w:t>日排放量/（t/d）</w:t>
                  </w:r>
                </w:p>
              </w:tc>
              <w:tc>
                <w:tcPr>
                  <w:tcW w:w="1521" w:type="dxa"/>
                  <w:vAlign w:val="center"/>
                </w:tcPr>
                <w:p>
                  <w:pPr>
                    <w:pStyle w:val="123"/>
                    <w:rPr>
                      <w:b/>
                      <w:color w:val="auto"/>
                    </w:rPr>
                  </w:pPr>
                  <w:r>
                    <w:rPr>
                      <w:b/>
                      <w:color w:val="auto"/>
                    </w:rPr>
                    <w:t>年排放量（t/a）</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05" w:type="dxa"/>
                  <w:vAlign w:val="center"/>
                </w:tcPr>
                <w:p>
                  <w:pPr>
                    <w:pStyle w:val="474"/>
                    <w:spacing w:line="240" w:lineRule="auto"/>
                    <w:ind w:firstLine="0" w:firstLineChars="0"/>
                    <w:jc w:val="center"/>
                    <w:rPr>
                      <w:color w:val="auto"/>
                      <w:sz w:val="21"/>
                      <w:szCs w:val="21"/>
                    </w:rPr>
                  </w:pPr>
                  <w:r>
                    <w:rPr>
                      <w:color w:val="auto"/>
                      <w:sz w:val="21"/>
                      <w:szCs w:val="21"/>
                    </w:rPr>
                    <w:t>1</w:t>
                  </w:r>
                </w:p>
              </w:tc>
              <w:tc>
                <w:tcPr>
                  <w:tcW w:w="1404" w:type="dxa"/>
                  <w:vMerge w:val="restart"/>
                  <w:vAlign w:val="center"/>
                </w:tcPr>
                <w:p>
                  <w:pPr>
                    <w:pStyle w:val="474"/>
                    <w:spacing w:line="240" w:lineRule="auto"/>
                    <w:ind w:firstLine="0" w:firstLineChars="0"/>
                    <w:jc w:val="center"/>
                    <w:rPr>
                      <w:color w:val="auto"/>
                      <w:sz w:val="21"/>
                      <w:szCs w:val="21"/>
                    </w:rPr>
                  </w:pPr>
                  <w:r>
                    <w:rPr>
                      <w:color w:val="auto"/>
                      <w:sz w:val="21"/>
                      <w:szCs w:val="21"/>
                    </w:rPr>
                    <w:t>DW001</w:t>
                  </w:r>
                </w:p>
              </w:tc>
              <w:tc>
                <w:tcPr>
                  <w:tcW w:w="1350" w:type="dxa"/>
                  <w:vAlign w:val="center"/>
                </w:tcPr>
                <w:p>
                  <w:pPr>
                    <w:pStyle w:val="474"/>
                    <w:spacing w:line="240" w:lineRule="auto"/>
                    <w:ind w:firstLine="0" w:firstLineChars="0"/>
                    <w:jc w:val="center"/>
                    <w:rPr>
                      <w:color w:val="auto"/>
                      <w:sz w:val="21"/>
                      <w:szCs w:val="21"/>
                    </w:rPr>
                  </w:pPr>
                  <w:r>
                    <w:rPr>
                      <w:color w:val="auto"/>
                      <w:sz w:val="21"/>
                      <w:szCs w:val="21"/>
                    </w:rPr>
                    <w:t>COD</w:t>
                  </w:r>
                </w:p>
              </w:tc>
              <w:tc>
                <w:tcPr>
                  <w:tcW w:w="1811" w:type="dxa"/>
                  <w:vAlign w:val="center"/>
                </w:tcPr>
                <w:p>
                  <w:pPr>
                    <w:widowControl/>
                    <w:jc w:val="center"/>
                    <w:rPr>
                      <w:color w:val="auto"/>
                      <w:kern w:val="0"/>
                      <w:szCs w:val="21"/>
                    </w:rPr>
                  </w:pPr>
                  <w:r>
                    <w:rPr>
                      <w:color w:val="auto"/>
                      <w:szCs w:val="21"/>
                    </w:rPr>
                    <w:t>340</w:t>
                  </w:r>
                </w:p>
              </w:tc>
              <w:tc>
                <w:tcPr>
                  <w:tcW w:w="1521" w:type="dxa"/>
                  <w:vAlign w:val="center"/>
                </w:tcPr>
                <w:p>
                  <w:pPr>
                    <w:jc w:val="center"/>
                    <w:rPr>
                      <w:rFonts w:hint="eastAsia"/>
                      <w:color w:val="auto"/>
                      <w:szCs w:val="21"/>
                      <w:lang w:val="en-US" w:eastAsia="zh-CN"/>
                    </w:rPr>
                  </w:pPr>
                  <w:r>
                    <w:rPr>
                      <w:rFonts w:hint="eastAsia"/>
                      <w:color w:val="auto"/>
                      <w:szCs w:val="21"/>
                      <w:lang w:val="en-US" w:eastAsia="zh-CN"/>
                    </w:rPr>
                    <w:t>0.000407</w:t>
                  </w:r>
                </w:p>
              </w:tc>
              <w:tc>
                <w:tcPr>
                  <w:tcW w:w="1521" w:type="dxa"/>
                  <w:vAlign w:val="center"/>
                </w:tcPr>
                <w:p>
                  <w:pPr>
                    <w:jc w:val="center"/>
                    <w:rPr>
                      <w:color w:val="auto"/>
                      <w:szCs w:val="21"/>
                    </w:rPr>
                  </w:pPr>
                  <w:r>
                    <w:rPr>
                      <w:rFonts w:hint="eastAsia"/>
                      <w:color w:val="auto"/>
                      <w:szCs w:val="21"/>
                      <w:lang w:val="en-US" w:eastAsia="zh-CN"/>
                    </w:rPr>
                    <w:t>0.122</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PrEx>
              <w:trPr>
                <w:trHeight w:val="340" w:hRule="atLeast"/>
                <w:jc w:val="center"/>
              </w:trPr>
              <w:tc>
                <w:tcPr>
                  <w:tcW w:w="705" w:type="dxa"/>
                  <w:vAlign w:val="center"/>
                </w:tcPr>
                <w:p>
                  <w:pPr>
                    <w:pStyle w:val="474"/>
                    <w:spacing w:line="240" w:lineRule="auto"/>
                    <w:ind w:firstLine="0" w:firstLineChars="0"/>
                    <w:jc w:val="center"/>
                    <w:rPr>
                      <w:color w:val="auto"/>
                      <w:sz w:val="21"/>
                      <w:szCs w:val="21"/>
                    </w:rPr>
                  </w:pPr>
                  <w:r>
                    <w:rPr>
                      <w:color w:val="auto"/>
                      <w:sz w:val="21"/>
                      <w:szCs w:val="21"/>
                    </w:rPr>
                    <w:t>2</w:t>
                  </w:r>
                </w:p>
              </w:tc>
              <w:tc>
                <w:tcPr>
                  <w:tcW w:w="1404" w:type="dxa"/>
                  <w:vMerge w:val="continue"/>
                  <w:vAlign w:val="center"/>
                </w:tcPr>
                <w:p>
                  <w:pPr>
                    <w:rPr>
                      <w:color w:val="auto"/>
                      <w:szCs w:val="21"/>
                    </w:rPr>
                  </w:pPr>
                </w:p>
              </w:tc>
              <w:tc>
                <w:tcPr>
                  <w:tcW w:w="1350" w:type="dxa"/>
                  <w:vAlign w:val="center"/>
                </w:tcPr>
                <w:p>
                  <w:pPr>
                    <w:pStyle w:val="474"/>
                    <w:spacing w:line="240" w:lineRule="auto"/>
                    <w:ind w:firstLine="0" w:firstLineChars="0"/>
                    <w:jc w:val="center"/>
                    <w:rPr>
                      <w:color w:val="auto"/>
                      <w:sz w:val="21"/>
                      <w:szCs w:val="21"/>
                    </w:rPr>
                  </w:pPr>
                  <w:r>
                    <w:rPr>
                      <w:color w:val="auto"/>
                      <w:sz w:val="21"/>
                      <w:szCs w:val="21"/>
                    </w:rPr>
                    <w:t>SS</w:t>
                  </w:r>
                </w:p>
              </w:tc>
              <w:tc>
                <w:tcPr>
                  <w:tcW w:w="1811" w:type="dxa"/>
                  <w:vAlign w:val="center"/>
                </w:tcPr>
                <w:p>
                  <w:pPr>
                    <w:jc w:val="center"/>
                    <w:rPr>
                      <w:color w:val="auto"/>
                      <w:szCs w:val="21"/>
                    </w:rPr>
                  </w:pPr>
                  <w:r>
                    <w:rPr>
                      <w:color w:val="auto"/>
                      <w:szCs w:val="21"/>
                    </w:rPr>
                    <w:t>160</w:t>
                  </w:r>
                </w:p>
              </w:tc>
              <w:tc>
                <w:tcPr>
                  <w:tcW w:w="1521" w:type="dxa"/>
                  <w:vAlign w:val="center"/>
                </w:tcPr>
                <w:p>
                  <w:pPr>
                    <w:jc w:val="center"/>
                    <w:rPr>
                      <w:rFonts w:hint="eastAsia"/>
                      <w:color w:val="auto"/>
                      <w:szCs w:val="21"/>
                      <w:lang w:val="en-US" w:eastAsia="zh-CN"/>
                    </w:rPr>
                  </w:pPr>
                  <w:r>
                    <w:rPr>
                      <w:rFonts w:hint="eastAsia"/>
                      <w:color w:val="auto"/>
                      <w:szCs w:val="21"/>
                      <w:lang w:val="en-US" w:eastAsia="zh-CN"/>
                    </w:rPr>
                    <w:t>0.000193</w:t>
                  </w:r>
                </w:p>
              </w:tc>
              <w:tc>
                <w:tcPr>
                  <w:tcW w:w="1521" w:type="dxa"/>
                  <w:vAlign w:val="center"/>
                </w:tcPr>
                <w:p>
                  <w:pPr>
                    <w:jc w:val="center"/>
                    <w:rPr>
                      <w:color w:val="auto"/>
                      <w:szCs w:val="21"/>
                    </w:rPr>
                  </w:pPr>
                  <w:r>
                    <w:rPr>
                      <w:rFonts w:hint="eastAsia"/>
                      <w:color w:val="auto"/>
                      <w:szCs w:val="21"/>
                      <w:lang w:val="en-US" w:eastAsia="zh-CN"/>
                    </w:rPr>
                    <w:t>0.058</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PrEx>
              <w:trPr>
                <w:trHeight w:val="340" w:hRule="atLeast"/>
                <w:jc w:val="center"/>
              </w:trPr>
              <w:tc>
                <w:tcPr>
                  <w:tcW w:w="705" w:type="dxa"/>
                  <w:vAlign w:val="center"/>
                </w:tcPr>
                <w:p>
                  <w:pPr>
                    <w:pStyle w:val="474"/>
                    <w:spacing w:line="240" w:lineRule="auto"/>
                    <w:ind w:firstLine="0" w:firstLineChars="0"/>
                    <w:jc w:val="center"/>
                    <w:rPr>
                      <w:color w:val="auto"/>
                      <w:sz w:val="21"/>
                      <w:szCs w:val="21"/>
                    </w:rPr>
                  </w:pPr>
                  <w:r>
                    <w:rPr>
                      <w:color w:val="auto"/>
                      <w:sz w:val="21"/>
                      <w:szCs w:val="21"/>
                    </w:rPr>
                    <w:t>3</w:t>
                  </w:r>
                </w:p>
              </w:tc>
              <w:tc>
                <w:tcPr>
                  <w:tcW w:w="1404" w:type="dxa"/>
                  <w:vMerge w:val="continue"/>
                  <w:vAlign w:val="center"/>
                </w:tcPr>
                <w:p>
                  <w:pPr>
                    <w:rPr>
                      <w:color w:val="auto"/>
                      <w:szCs w:val="21"/>
                    </w:rPr>
                  </w:pPr>
                </w:p>
              </w:tc>
              <w:tc>
                <w:tcPr>
                  <w:tcW w:w="1350" w:type="dxa"/>
                  <w:vAlign w:val="center"/>
                </w:tcPr>
                <w:p>
                  <w:pPr>
                    <w:pStyle w:val="474"/>
                    <w:spacing w:line="240" w:lineRule="auto"/>
                    <w:ind w:firstLine="0" w:firstLineChars="0"/>
                    <w:jc w:val="center"/>
                    <w:rPr>
                      <w:color w:val="auto"/>
                      <w:sz w:val="21"/>
                      <w:szCs w:val="21"/>
                    </w:rPr>
                  </w:pPr>
                  <w:r>
                    <w:rPr>
                      <w:color w:val="auto"/>
                      <w:sz w:val="21"/>
                      <w:szCs w:val="21"/>
                    </w:rPr>
                    <w:t>氨氮</w:t>
                  </w:r>
                </w:p>
              </w:tc>
              <w:tc>
                <w:tcPr>
                  <w:tcW w:w="1811" w:type="dxa"/>
                  <w:vAlign w:val="center"/>
                </w:tcPr>
                <w:p>
                  <w:pPr>
                    <w:jc w:val="center"/>
                    <w:rPr>
                      <w:color w:val="auto"/>
                      <w:szCs w:val="21"/>
                    </w:rPr>
                  </w:pPr>
                  <w:r>
                    <w:rPr>
                      <w:color w:val="auto"/>
                      <w:szCs w:val="21"/>
                    </w:rPr>
                    <w:t>35</w:t>
                  </w:r>
                </w:p>
              </w:tc>
              <w:tc>
                <w:tcPr>
                  <w:tcW w:w="1521" w:type="dxa"/>
                  <w:vAlign w:val="center"/>
                </w:tcPr>
                <w:p>
                  <w:pPr>
                    <w:jc w:val="center"/>
                    <w:rPr>
                      <w:rFonts w:hint="eastAsia"/>
                      <w:color w:val="auto"/>
                      <w:szCs w:val="21"/>
                      <w:lang w:val="en-US" w:eastAsia="zh-CN"/>
                    </w:rPr>
                  </w:pPr>
                  <w:r>
                    <w:rPr>
                      <w:rFonts w:hint="eastAsia"/>
                      <w:color w:val="auto"/>
                      <w:szCs w:val="21"/>
                      <w:lang w:val="en-US" w:eastAsia="zh-CN"/>
                    </w:rPr>
                    <w:t>0.000042</w:t>
                  </w:r>
                </w:p>
              </w:tc>
              <w:tc>
                <w:tcPr>
                  <w:tcW w:w="1521" w:type="dxa"/>
                  <w:vAlign w:val="center"/>
                </w:tcPr>
                <w:p>
                  <w:pPr>
                    <w:jc w:val="center"/>
                    <w:rPr>
                      <w:color w:val="auto"/>
                      <w:szCs w:val="21"/>
                    </w:rPr>
                  </w:pPr>
                  <w:r>
                    <w:rPr>
                      <w:rFonts w:hint="eastAsia"/>
                      <w:color w:val="auto"/>
                      <w:szCs w:val="21"/>
                      <w:lang w:val="en-US" w:eastAsia="zh-CN"/>
                    </w:rPr>
                    <w:t>0.0126</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PrEx>
              <w:trPr>
                <w:trHeight w:val="90" w:hRule="atLeast"/>
                <w:jc w:val="center"/>
              </w:trPr>
              <w:tc>
                <w:tcPr>
                  <w:tcW w:w="705" w:type="dxa"/>
                  <w:vAlign w:val="center"/>
                </w:tcPr>
                <w:p>
                  <w:pPr>
                    <w:pStyle w:val="474"/>
                    <w:spacing w:line="240" w:lineRule="auto"/>
                    <w:ind w:firstLine="0" w:firstLineChars="0"/>
                    <w:jc w:val="center"/>
                    <w:rPr>
                      <w:color w:val="auto"/>
                      <w:sz w:val="21"/>
                      <w:szCs w:val="21"/>
                    </w:rPr>
                  </w:pPr>
                  <w:r>
                    <w:rPr>
                      <w:color w:val="auto"/>
                      <w:sz w:val="21"/>
                      <w:szCs w:val="21"/>
                    </w:rPr>
                    <w:t>4</w:t>
                  </w:r>
                </w:p>
              </w:tc>
              <w:tc>
                <w:tcPr>
                  <w:tcW w:w="1404" w:type="dxa"/>
                  <w:vMerge w:val="continue"/>
                  <w:vAlign w:val="center"/>
                </w:tcPr>
                <w:p>
                  <w:pPr>
                    <w:rPr>
                      <w:color w:val="auto"/>
                      <w:szCs w:val="21"/>
                    </w:rPr>
                  </w:pPr>
                </w:p>
              </w:tc>
              <w:tc>
                <w:tcPr>
                  <w:tcW w:w="1350" w:type="dxa"/>
                  <w:vAlign w:val="center"/>
                </w:tcPr>
                <w:p>
                  <w:pPr>
                    <w:pStyle w:val="474"/>
                    <w:spacing w:line="240" w:lineRule="auto"/>
                    <w:ind w:firstLine="0" w:firstLineChars="0"/>
                    <w:jc w:val="center"/>
                    <w:rPr>
                      <w:color w:val="auto"/>
                      <w:sz w:val="21"/>
                      <w:szCs w:val="21"/>
                    </w:rPr>
                  </w:pPr>
                  <w:r>
                    <w:rPr>
                      <w:color w:val="auto"/>
                      <w:sz w:val="21"/>
                      <w:szCs w:val="21"/>
                    </w:rPr>
                    <w:t>TP</w:t>
                  </w:r>
                </w:p>
              </w:tc>
              <w:tc>
                <w:tcPr>
                  <w:tcW w:w="1811" w:type="dxa"/>
                  <w:vAlign w:val="center"/>
                </w:tcPr>
                <w:p>
                  <w:pPr>
                    <w:jc w:val="center"/>
                    <w:rPr>
                      <w:color w:val="auto"/>
                      <w:szCs w:val="21"/>
                    </w:rPr>
                  </w:pPr>
                  <w:r>
                    <w:rPr>
                      <w:color w:val="auto"/>
                      <w:szCs w:val="21"/>
                    </w:rPr>
                    <w:t>3</w:t>
                  </w:r>
                </w:p>
              </w:tc>
              <w:tc>
                <w:tcPr>
                  <w:tcW w:w="1521" w:type="dxa"/>
                  <w:vAlign w:val="center"/>
                </w:tcPr>
                <w:p>
                  <w:pPr>
                    <w:jc w:val="center"/>
                    <w:rPr>
                      <w:rFonts w:hint="eastAsia"/>
                      <w:color w:val="auto"/>
                      <w:szCs w:val="21"/>
                      <w:lang w:val="en-US" w:eastAsia="zh-CN"/>
                    </w:rPr>
                  </w:pPr>
                  <w:r>
                    <w:rPr>
                      <w:rFonts w:hint="eastAsia"/>
                      <w:color w:val="auto"/>
                      <w:szCs w:val="21"/>
                      <w:lang w:val="en-US" w:eastAsia="zh-CN"/>
                    </w:rPr>
                    <w:t>0.000004</w:t>
                  </w:r>
                </w:p>
              </w:tc>
              <w:tc>
                <w:tcPr>
                  <w:tcW w:w="1521" w:type="dxa"/>
                  <w:vAlign w:val="center"/>
                </w:tcPr>
                <w:p>
                  <w:pPr>
                    <w:jc w:val="center"/>
                    <w:rPr>
                      <w:color w:val="auto"/>
                      <w:szCs w:val="21"/>
                    </w:rPr>
                  </w:pPr>
                  <w:r>
                    <w:rPr>
                      <w:rFonts w:hint="eastAsia"/>
                      <w:color w:val="auto"/>
                      <w:szCs w:val="21"/>
                      <w:lang w:val="en-US" w:eastAsia="zh-CN"/>
                    </w:rPr>
                    <w:t>0.0011</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PrEx>
              <w:trPr>
                <w:trHeight w:val="340" w:hRule="atLeast"/>
                <w:jc w:val="center"/>
              </w:trPr>
              <w:tc>
                <w:tcPr>
                  <w:tcW w:w="705" w:type="dxa"/>
                  <w:vAlign w:val="center"/>
                </w:tcPr>
                <w:p>
                  <w:pPr>
                    <w:pStyle w:val="474"/>
                    <w:spacing w:line="240" w:lineRule="auto"/>
                    <w:ind w:firstLine="0" w:firstLineChars="0"/>
                    <w:jc w:val="center"/>
                    <w:rPr>
                      <w:color w:val="auto"/>
                      <w:sz w:val="21"/>
                      <w:szCs w:val="21"/>
                    </w:rPr>
                  </w:pPr>
                  <w:r>
                    <w:rPr>
                      <w:color w:val="auto"/>
                      <w:sz w:val="21"/>
                      <w:szCs w:val="21"/>
                    </w:rPr>
                    <w:t>5</w:t>
                  </w:r>
                </w:p>
              </w:tc>
              <w:tc>
                <w:tcPr>
                  <w:tcW w:w="1404" w:type="dxa"/>
                  <w:vMerge w:val="continue"/>
                  <w:vAlign w:val="center"/>
                </w:tcPr>
                <w:p>
                  <w:pPr>
                    <w:rPr>
                      <w:color w:val="auto"/>
                      <w:szCs w:val="21"/>
                    </w:rPr>
                  </w:pPr>
                </w:p>
              </w:tc>
              <w:tc>
                <w:tcPr>
                  <w:tcW w:w="1350" w:type="dxa"/>
                  <w:vAlign w:val="center"/>
                </w:tcPr>
                <w:p>
                  <w:pPr>
                    <w:pStyle w:val="474"/>
                    <w:spacing w:line="240" w:lineRule="auto"/>
                    <w:ind w:firstLine="0" w:firstLineChars="0"/>
                    <w:jc w:val="center"/>
                    <w:rPr>
                      <w:color w:val="auto"/>
                      <w:sz w:val="21"/>
                      <w:szCs w:val="21"/>
                    </w:rPr>
                  </w:pPr>
                  <w:r>
                    <w:rPr>
                      <w:color w:val="auto"/>
                      <w:sz w:val="21"/>
                      <w:szCs w:val="21"/>
                    </w:rPr>
                    <w:t>TN</w:t>
                  </w:r>
                </w:p>
              </w:tc>
              <w:tc>
                <w:tcPr>
                  <w:tcW w:w="1811" w:type="dxa"/>
                  <w:vAlign w:val="center"/>
                </w:tcPr>
                <w:p>
                  <w:pPr>
                    <w:jc w:val="center"/>
                    <w:rPr>
                      <w:color w:val="auto"/>
                      <w:szCs w:val="21"/>
                    </w:rPr>
                  </w:pPr>
                  <w:r>
                    <w:rPr>
                      <w:rFonts w:hint="eastAsia"/>
                      <w:color w:val="auto"/>
                      <w:szCs w:val="21"/>
                    </w:rPr>
                    <w:t>50</w:t>
                  </w:r>
                </w:p>
              </w:tc>
              <w:tc>
                <w:tcPr>
                  <w:tcW w:w="1521" w:type="dxa"/>
                  <w:vAlign w:val="center"/>
                </w:tcPr>
                <w:p>
                  <w:pPr>
                    <w:jc w:val="center"/>
                    <w:rPr>
                      <w:rFonts w:hint="eastAsia"/>
                      <w:color w:val="auto"/>
                      <w:szCs w:val="21"/>
                      <w:lang w:val="en-US" w:eastAsia="zh-CN"/>
                    </w:rPr>
                  </w:pPr>
                  <w:r>
                    <w:rPr>
                      <w:rFonts w:hint="eastAsia"/>
                      <w:color w:val="auto"/>
                      <w:szCs w:val="21"/>
                      <w:lang w:val="en-US" w:eastAsia="zh-CN"/>
                    </w:rPr>
                    <w:t>0.000060</w:t>
                  </w:r>
                </w:p>
              </w:tc>
              <w:tc>
                <w:tcPr>
                  <w:tcW w:w="1521" w:type="dxa"/>
                  <w:vAlign w:val="center"/>
                </w:tcPr>
                <w:p>
                  <w:pPr>
                    <w:jc w:val="center"/>
                    <w:rPr>
                      <w:color w:val="auto"/>
                      <w:szCs w:val="21"/>
                    </w:rPr>
                  </w:pPr>
                  <w:r>
                    <w:rPr>
                      <w:rFonts w:hint="eastAsia"/>
                      <w:color w:val="auto"/>
                      <w:szCs w:val="21"/>
                      <w:lang w:val="en-US" w:eastAsia="zh-CN"/>
                    </w:rPr>
                    <w:t>0.018</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PrEx>
              <w:trPr>
                <w:trHeight w:val="295" w:hRule="atLeast"/>
                <w:jc w:val="center"/>
              </w:trPr>
              <w:tc>
                <w:tcPr>
                  <w:tcW w:w="2109" w:type="dxa"/>
                  <w:gridSpan w:val="2"/>
                  <w:vMerge w:val="restart"/>
                  <w:vAlign w:val="center"/>
                </w:tcPr>
                <w:p>
                  <w:pPr>
                    <w:pStyle w:val="474"/>
                    <w:spacing w:line="240" w:lineRule="auto"/>
                    <w:ind w:firstLine="0" w:firstLineChars="0"/>
                    <w:jc w:val="center"/>
                    <w:rPr>
                      <w:color w:val="auto"/>
                      <w:sz w:val="21"/>
                      <w:szCs w:val="21"/>
                    </w:rPr>
                  </w:pPr>
                  <w:r>
                    <w:rPr>
                      <w:color w:val="auto"/>
                      <w:sz w:val="21"/>
                      <w:szCs w:val="21"/>
                    </w:rPr>
                    <w:t>全厂排放口合计</w:t>
                  </w:r>
                </w:p>
              </w:tc>
              <w:tc>
                <w:tcPr>
                  <w:tcW w:w="4682" w:type="dxa"/>
                  <w:gridSpan w:val="3"/>
                  <w:vAlign w:val="center"/>
                </w:tcPr>
                <w:p>
                  <w:pPr>
                    <w:pStyle w:val="474"/>
                    <w:spacing w:line="240" w:lineRule="auto"/>
                    <w:ind w:firstLine="0" w:firstLineChars="0"/>
                    <w:jc w:val="center"/>
                    <w:rPr>
                      <w:color w:val="auto"/>
                      <w:kern w:val="2"/>
                      <w:sz w:val="21"/>
                      <w:szCs w:val="21"/>
                    </w:rPr>
                  </w:pPr>
                  <w:r>
                    <w:rPr>
                      <w:color w:val="auto"/>
                      <w:kern w:val="2"/>
                      <w:sz w:val="21"/>
                      <w:szCs w:val="21"/>
                    </w:rPr>
                    <w:t>COD</w:t>
                  </w:r>
                </w:p>
              </w:tc>
              <w:tc>
                <w:tcPr>
                  <w:tcW w:w="1521" w:type="dxa"/>
                  <w:vAlign w:val="center"/>
                </w:tcPr>
                <w:p>
                  <w:pPr>
                    <w:jc w:val="center"/>
                    <w:rPr>
                      <w:color w:val="auto"/>
                      <w:szCs w:val="21"/>
                    </w:rPr>
                  </w:pPr>
                  <w:r>
                    <w:rPr>
                      <w:rFonts w:hint="eastAsia"/>
                      <w:color w:val="auto"/>
                      <w:szCs w:val="21"/>
                      <w:lang w:val="en-US" w:eastAsia="zh-CN"/>
                    </w:rPr>
                    <w:t>0.122</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PrEx>
              <w:trPr>
                <w:trHeight w:val="340" w:hRule="atLeast"/>
                <w:jc w:val="center"/>
              </w:trPr>
              <w:tc>
                <w:tcPr>
                  <w:tcW w:w="2109" w:type="dxa"/>
                  <w:gridSpan w:val="2"/>
                  <w:vMerge w:val="continue"/>
                  <w:vAlign w:val="center"/>
                </w:tcPr>
                <w:p>
                  <w:pPr>
                    <w:rPr>
                      <w:color w:val="auto"/>
                      <w:szCs w:val="21"/>
                    </w:rPr>
                  </w:pPr>
                </w:p>
              </w:tc>
              <w:tc>
                <w:tcPr>
                  <w:tcW w:w="4682" w:type="dxa"/>
                  <w:gridSpan w:val="3"/>
                  <w:vAlign w:val="center"/>
                </w:tcPr>
                <w:p>
                  <w:pPr>
                    <w:pStyle w:val="474"/>
                    <w:spacing w:line="240" w:lineRule="auto"/>
                    <w:ind w:firstLine="0" w:firstLineChars="0"/>
                    <w:jc w:val="center"/>
                    <w:rPr>
                      <w:color w:val="auto"/>
                      <w:kern w:val="2"/>
                      <w:sz w:val="21"/>
                      <w:szCs w:val="21"/>
                    </w:rPr>
                  </w:pPr>
                  <w:r>
                    <w:rPr>
                      <w:color w:val="auto"/>
                      <w:kern w:val="2"/>
                      <w:sz w:val="21"/>
                      <w:szCs w:val="21"/>
                    </w:rPr>
                    <w:t>SS</w:t>
                  </w:r>
                </w:p>
              </w:tc>
              <w:tc>
                <w:tcPr>
                  <w:tcW w:w="1521" w:type="dxa"/>
                  <w:vAlign w:val="center"/>
                </w:tcPr>
                <w:p>
                  <w:pPr>
                    <w:jc w:val="center"/>
                    <w:rPr>
                      <w:color w:val="auto"/>
                      <w:szCs w:val="21"/>
                    </w:rPr>
                  </w:pPr>
                  <w:r>
                    <w:rPr>
                      <w:rFonts w:hint="eastAsia"/>
                      <w:color w:val="auto"/>
                      <w:szCs w:val="21"/>
                      <w:lang w:val="en-US" w:eastAsia="zh-CN"/>
                    </w:rPr>
                    <w:t>0.058</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PrEx>
              <w:trPr>
                <w:trHeight w:val="340" w:hRule="atLeast"/>
                <w:jc w:val="center"/>
              </w:trPr>
              <w:tc>
                <w:tcPr>
                  <w:tcW w:w="2109" w:type="dxa"/>
                  <w:gridSpan w:val="2"/>
                  <w:vMerge w:val="continue"/>
                  <w:vAlign w:val="center"/>
                </w:tcPr>
                <w:p>
                  <w:pPr>
                    <w:rPr>
                      <w:color w:val="auto"/>
                      <w:szCs w:val="21"/>
                    </w:rPr>
                  </w:pPr>
                </w:p>
              </w:tc>
              <w:tc>
                <w:tcPr>
                  <w:tcW w:w="4682" w:type="dxa"/>
                  <w:gridSpan w:val="3"/>
                  <w:vAlign w:val="center"/>
                </w:tcPr>
                <w:p>
                  <w:pPr>
                    <w:pStyle w:val="474"/>
                    <w:spacing w:line="240" w:lineRule="auto"/>
                    <w:ind w:firstLine="0" w:firstLineChars="0"/>
                    <w:jc w:val="center"/>
                    <w:rPr>
                      <w:color w:val="auto"/>
                      <w:kern w:val="2"/>
                      <w:sz w:val="21"/>
                      <w:szCs w:val="21"/>
                    </w:rPr>
                  </w:pPr>
                  <w:r>
                    <w:rPr>
                      <w:color w:val="auto"/>
                      <w:kern w:val="2"/>
                      <w:sz w:val="21"/>
                      <w:szCs w:val="21"/>
                    </w:rPr>
                    <w:t>氨氮</w:t>
                  </w:r>
                </w:p>
              </w:tc>
              <w:tc>
                <w:tcPr>
                  <w:tcW w:w="1521" w:type="dxa"/>
                  <w:vAlign w:val="center"/>
                </w:tcPr>
                <w:p>
                  <w:pPr>
                    <w:jc w:val="center"/>
                    <w:rPr>
                      <w:color w:val="auto"/>
                      <w:szCs w:val="21"/>
                    </w:rPr>
                  </w:pPr>
                  <w:r>
                    <w:rPr>
                      <w:rFonts w:hint="eastAsia"/>
                      <w:color w:val="auto"/>
                      <w:szCs w:val="21"/>
                      <w:lang w:val="en-US" w:eastAsia="zh-CN"/>
                    </w:rPr>
                    <w:t>0.0126</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PrEx>
              <w:trPr>
                <w:trHeight w:val="340" w:hRule="atLeast"/>
                <w:jc w:val="center"/>
              </w:trPr>
              <w:tc>
                <w:tcPr>
                  <w:tcW w:w="2109" w:type="dxa"/>
                  <w:gridSpan w:val="2"/>
                  <w:vMerge w:val="continue"/>
                  <w:vAlign w:val="center"/>
                </w:tcPr>
                <w:p>
                  <w:pPr>
                    <w:rPr>
                      <w:color w:val="auto"/>
                      <w:szCs w:val="21"/>
                    </w:rPr>
                  </w:pPr>
                </w:p>
              </w:tc>
              <w:tc>
                <w:tcPr>
                  <w:tcW w:w="4682" w:type="dxa"/>
                  <w:gridSpan w:val="3"/>
                  <w:vAlign w:val="center"/>
                </w:tcPr>
                <w:p>
                  <w:pPr>
                    <w:pStyle w:val="474"/>
                    <w:spacing w:line="240" w:lineRule="auto"/>
                    <w:ind w:firstLine="0" w:firstLineChars="0"/>
                    <w:jc w:val="center"/>
                    <w:rPr>
                      <w:color w:val="auto"/>
                      <w:kern w:val="2"/>
                      <w:sz w:val="21"/>
                      <w:szCs w:val="21"/>
                    </w:rPr>
                  </w:pPr>
                  <w:r>
                    <w:rPr>
                      <w:color w:val="auto"/>
                      <w:kern w:val="2"/>
                      <w:sz w:val="21"/>
                      <w:szCs w:val="21"/>
                    </w:rPr>
                    <w:t>TP</w:t>
                  </w:r>
                </w:p>
              </w:tc>
              <w:tc>
                <w:tcPr>
                  <w:tcW w:w="1521" w:type="dxa"/>
                  <w:vAlign w:val="center"/>
                </w:tcPr>
                <w:p>
                  <w:pPr>
                    <w:jc w:val="center"/>
                    <w:rPr>
                      <w:color w:val="auto"/>
                      <w:szCs w:val="21"/>
                    </w:rPr>
                  </w:pPr>
                  <w:r>
                    <w:rPr>
                      <w:rFonts w:hint="eastAsia"/>
                      <w:color w:val="auto"/>
                      <w:szCs w:val="21"/>
                      <w:lang w:val="en-US" w:eastAsia="zh-CN"/>
                    </w:rPr>
                    <w:t>0.0011</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PrEx>
              <w:trPr>
                <w:trHeight w:val="340" w:hRule="atLeast"/>
                <w:jc w:val="center"/>
              </w:trPr>
              <w:tc>
                <w:tcPr>
                  <w:tcW w:w="2109" w:type="dxa"/>
                  <w:gridSpan w:val="2"/>
                  <w:vMerge w:val="continue"/>
                  <w:vAlign w:val="center"/>
                </w:tcPr>
                <w:p>
                  <w:pPr>
                    <w:rPr>
                      <w:color w:val="auto"/>
                      <w:szCs w:val="21"/>
                    </w:rPr>
                  </w:pPr>
                </w:p>
              </w:tc>
              <w:tc>
                <w:tcPr>
                  <w:tcW w:w="4682" w:type="dxa"/>
                  <w:gridSpan w:val="3"/>
                  <w:vAlign w:val="center"/>
                </w:tcPr>
                <w:p>
                  <w:pPr>
                    <w:pStyle w:val="474"/>
                    <w:spacing w:line="240" w:lineRule="auto"/>
                    <w:ind w:firstLine="0" w:firstLineChars="0"/>
                    <w:jc w:val="center"/>
                    <w:rPr>
                      <w:color w:val="auto"/>
                      <w:kern w:val="2"/>
                      <w:sz w:val="21"/>
                      <w:szCs w:val="21"/>
                    </w:rPr>
                  </w:pPr>
                  <w:r>
                    <w:rPr>
                      <w:color w:val="auto"/>
                      <w:kern w:val="2"/>
                      <w:sz w:val="21"/>
                      <w:szCs w:val="21"/>
                    </w:rPr>
                    <w:t>TN</w:t>
                  </w:r>
                </w:p>
              </w:tc>
              <w:tc>
                <w:tcPr>
                  <w:tcW w:w="1521" w:type="dxa"/>
                  <w:vAlign w:val="center"/>
                </w:tcPr>
                <w:p>
                  <w:pPr>
                    <w:jc w:val="center"/>
                    <w:rPr>
                      <w:color w:val="auto"/>
                      <w:szCs w:val="21"/>
                    </w:rPr>
                  </w:pPr>
                  <w:r>
                    <w:rPr>
                      <w:rFonts w:hint="eastAsia"/>
                      <w:color w:val="auto"/>
                      <w:szCs w:val="21"/>
                      <w:lang w:val="en-US" w:eastAsia="zh-CN"/>
                    </w:rPr>
                    <w:t>0.018</w:t>
                  </w:r>
                </w:p>
              </w:tc>
            </w:tr>
          </w:tbl>
          <w:p>
            <w:pPr>
              <w:pStyle w:val="474"/>
              <w:spacing w:line="360" w:lineRule="auto"/>
              <w:rPr>
                <w:color w:val="auto"/>
              </w:rPr>
            </w:pPr>
            <w:r>
              <w:rPr>
                <w:color w:val="auto"/>
              </w:rPr>
              <w:t>综上，</w:t>
            </w:r>
            <w:r>
              <w:rPr>
                <w:bCs/>
                <w:color w:val="auto"/>
              </w:rPr>
              <w:t>项目所在地已满足接管城市污水处</w:t>
            </w:r>
            <w:r>
              <w:rPr>
                <w:bCs/>
                <w:color w:val="auto"/>
                <w:szCs w:val="22"/>
              </w:rPr>
              <w:t>理厂条件</w:t>
            </w:r>
            <w:r>
              <w:rPr>
                <w:rFonts w:hint="eastAsia"/>
                <w:bCs/>
                <w:color w:val="auto"/>
                <w:szCs w:val="22"/>
              </w:rPr>
              <w:t>（详见附图）</w:t>
            </w:r>
            <w:r>
              <w:rPr>
                <w:bCs/>
                <w:color w:val="auto"/>
                <w:szCs w:val="22"/>
              </w:rPr>
              <w:t>，</w:t>
            </w:r>
            <w:r>
              <w:rPr>
                <w:bCs/>
                <w:color w:val="auto"/>
              </w:rPr>
              <w:t>且项目废水经化粪池处理后可满足污水处理厂接管标准。</w:t>
            </w:r>
            <w:r>
              <w:rPr>
                <w:color w:val="auto"/>
              </w:rPr>
              <w:t>引用金坛区第二污水处理厂环评结论可知，废水经污水处理厂处理达标排放后对地表水环境影响较小。因此本次评价认为本项目对地表水环境影响是可以接受的。</w:t>
            </w:r>
          </w:p>
          <w:p>
            <w:pPr>
              <w:ind w:firstLine="480" w:firstLineChars="200"/>
              <w:rPr>
                <w:b/>
                <w:bCs/>
                <w:snapToGrid w:val="0"/>
                <w:color w:val="auto"/>
                <w:kern w:val="0"/>
                <w:sz w:val="24"/>
              </w:rPr>
            </w:pPr>
            <w:r>
              <w:rPr>
                <w:rFonts w:hint="eastAsia"/>
                <w:b/>
                <w:color w:val="auto"/>
                <w:sz w:val="24"/>
              </w:rPr>
              <w:t>（3）</w:t>
            </w:r>
            <w:r>
              <w:rPr>
                <w:rFonts w:hint="eastAsia"/>
                <w:b/>
                <w:bCs/>
                <w:snapToGrid w:val="0"/>
                <w:color w:val="auto"/>
                <w:kern w:val="0"/>
                <w:sz w:val="24"/>
              </w:rPr>
              <w:t>地表水</w:t>
            </w:r>
            <w:r>
              <w:rPr>
                <w:b/>
                <w:bCs/>
                <w:snapToGrid w:val="0"/>
                <w:color w:val="auto"/>
                <w:kern w:val="0"/>
                <w:sz w:val="24"/>
              </w:rPr>
              <w:t>环境影响评价自查表</w:t>
            </w:r>
          </w:p>
          <w:p>
            <w:pPr>
              <w:spacing w:line="360" w:lineRule="auto"/>
              <w:ind w:firstLine="480" w:firstLineChars="200"/>
              <w:rPr>
                <w:bCs/>
                <w:snapToGrid w:val="0"/>
                <w:color w:val="auto"/>
                <w:kern w:val="0"/>
                <w:sz w:val="24"/>
              </w:rPr>
            </w:pPr>
            <w:r>
              <w:rPr>
                <w:rFonts w:hint="eastAsia"/>
                <w:bCs/>
                <w:color w:val="auto"/>
                <w:sz w:val="24"/>
              </w:rPr>
              <w:t>本项目</w:t>
            </w:r>
            <w:r>
              <w:rPr>
                <w:rFonts w:hint="eastAsia"/>
                <w:bCs/>
                <w:snapToGrid w:val="0"/>
                <w:color w:val="auto"/>
                <w:kern w:val="0"/>
                <w:sz w:val="24"/>
              </w:rPr>
              <w:t>地表水</w:t>
            </w:r>
            <w:r>
              <w:rPr>
                <w:bCs/>
                <w:snapToGrid w:val="0"/>
                <w:color w:val="auto"/>
                <w:kern w:val="0"/>
                <w:sz w:val="24"/>
              </w:rPr>
              <w:t>环境影响评价自查表</w:t>
            </w:r>
            <w:r>
              <w:rPr>
                <w:rFonts w:hint="eastAsia"/>
                <w:bCs/>
                <w:snapToGrid w:val="0"/>
                <w:color w:val="auto"/>
                <w:kern w:val="0"/>
                <w:sz w:val="24"/>
              </w:rPr>
              <w:t>见下表。</w:t>
            </w:r>
          </w:p>
          <w:p>
            <w:pPr>
              <w:jc w:val="center"/>
              <w:rPr>
                <w:b/>
                <w:bCs/>
                <w:snapToGrid w:val="0"/>
                <w:color w:val="auto"/>
                <w:kern w:val="0"/>
                <w:szCs w:val="21"/>
              </w:rPr>
            </w:pPr>
            <w:r>
              <w:rPr>
                <w:rFonts w:hint="eastAsia"/>
                <w:b/>
                <w:bCs/>
                <w:snapToGrid w:val="0"/>
                <w:color w:val="auto"/>
                <w:kern w:val="0"/>
                <w:szCs w:val="21"/>
              </w:rPr>
              <w:t>表7-1</w:t>
            </w:r>
            <w:r>
              <w:rPr>
                <w:rFonts w:hint="eastAsia"/>
                <w:b/>
                <w:bCs/>
                <w:snapToGrid w:val="0"/>
                <w:color w:val="auto"/>
                <w:kern w:val="0"/>
                <w:szCs w:val="21"/>
                <w:lang w:val="en-US" w:eastAsia="zh-CN"/>
              </w:rPr>
              <w:t>9</w:t>
            </w:r>
            <w:r>
              <w:rPr>
                <w:rFonts w:hint="eastAsia"/>
                <w:b/>
                <w:bCs/>
                <w:snapToGrid w:val="0"/>
                <w:color w:val="auto"/>
                <w:kern w:val="0"/>
                <w:szCs w:val="21"/>
              </w:rPr>
              <w:t xml:space="preserve"> 地表水</w:t>
            </w:r>
            <w:r>
              <w:rPr>
                <w:b/>
                <w:bCs/>
                <w:snapToGrid w:val="0"/>
                <w:color w:val="auto"/>
                <w:kern w:val="0"/>
                <w:szCs w:val="21"/>
              </w:rPr>
              <w:t>环境影响评价自查表</w:t>
            </w:r>
          </w:p>
          <w:tbl>
            <w:tblPr>
              <w:tblStyle w:val="56"/>
              <w:tblW w:w="0" w:type="auto"/>
              <w:jc w:val="center"/>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871"/>
              <w:gridCol w:w="1404"/>
              <w:gridCol w:w="1249"/>
              <w:gridCol w:w="312"/>
              <w:gridCol w:w="53"/>
              <w:gridCol w:w="467"/>
              <w:gridCol w:w="418"/>
              <w:gridCol w:w="624"/>
              <w:gridCol w:w="626"/>
              <w:gridCol w:w="182"/>
              <w:gridCol w:w="232"/>
              <w:gridCol w:w="786"/>
              <w:gridCol w:w="49"/>
              <w:gridCol w:w="1249"/>
            </w:tblGrid>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PrEx>
              <w:trPr>
                <w:jc w:val="center"/>
              </w:trPr>
              <w:tc>
                <w:tcPr>
                  <w:tcW w:w="2275" w:type="dxa"/>
                  <w:gridSpan w:val="2"/>
                  <w:tcBorders>
                    <w:tl2br w:val="nil"/>
                    <w:tr2bl w:val="nil"/>
                  </w:tcBorders>
                  <w:vAlign w:val="center"/>
                </w:tcPr>
                <w:p>
                  <w:pPr>
                    <w:jc w:val="center"/>
                    <w:rPr>
                      <w:b/>
                      <w:color w:val="auto"/>
                      <w:sz w:val="18"/>
                      <w:szCs w:val="18"/>
                    </w:rPr>
                  </w:pPr>
                  <w:r>
                    <w:rPr>
                      <w:b/>
                      <w:color w:val="auto"/>
                      <w:sz w:val="18"/>
                      <w:szCs w:val="18"/>
                    </w:rPr>
                    <w:t>工作内容</w:t>
                  </w:r>
                </w:p>
              </w:tc>
              <w:tc>
                <w:tcPr>
                  <w:tcW w:w="6247" w:type="dxa"/>
                  <w:gridSpan w:val="12"/>
                  <w:tcBorders>
                    <w:tl2br w:val="nil"/>
                    <w:tr2bl w:val="nil"/>
                  </w:tcBorders>
                  <w:vAlign w:val="center"/>
                </w:tcPr>
                <w:p>
                  <w:pPr>
                    <w:jc w:val="center"/>
                    <w:rPr>
                      <w:b/>
                      <w:color w:val="auto"/>
                      <w:sz w:val="18"/>
                      <w:szCs w:val="18"/>
                    </w:rPr>
                  </w:pPr>
                  <w:r>
                    <w:rPr>
                      <w:b/>
                      <w:color w:val="auto"/>
                      <w:sz w:val="18"/>
                      <w:szCs w:val="18"/>
                    </w:rPr>
                    <w:t>自查项目</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PrEx>
              <w:trPr>
                <w:jc w:val="center"/>
              </w:trPr>
              <w:tc>
                <w:tcPr>
                  <w:tcW w:w="871" w:type="dxa"/>
                  <w:vMerge w:val="restart"/>
                  <w:tcBorders>
                    <w:tl2br w:val="nil"/>
                    <w:tr2bl w:val="nil"/>
                  </w:tcBorders>
                  <w:vAlign w:val="center"/>
                </w:tcPr>
                <w:p>
                  <w:pPr>
                    <w:jc w:val="center"/>
                    <w:rPr>
                      <w:color w:val="auto"/>
                      <w:sz w:val="18"/>
                      <w:szCs w:val="18"/>
                    </w:rPr>
                  </w:pPr>
                  <w:r>
                    <w:rPr>
                      <w:rFonts w:hint="eastAsia"/>
                      <w:color w:val="auto"/>
                      <w:sz w:val="18"/>
                      <w:szCs w:val="18"/>
                    </w:rPr>
                    <w:t>影</w:t>
                  </w:r>
                </w:p>
                <w:p>
                  <w:pPr>
                    <w:jc w:val="center"/>
                    <w:rPr>
                      <w:color w:val="auto"/>
                      <w:sz w:val="18"/>
                      <w:szCs w:val="18"/>
                    </w:rPr>
                  </w:pPr>
                  <w:r>
                    <w:rPr>
                      <w:rFonts w:hint="eastAsia"/>
                      <w:color w:val="auto"/>
                      <w:sz w:val="18"/>
                      <w:szCs w:val="18"/>
                    </w:rPr>
                    <w:t>响</w:t>
                  </w:r>
                </w:p>
                <w:p>
                  <w:pPr>
                    <w:jc w:val="center"/>
                    <w:rPr>
                      <w:color w:val="auto"/>
                      <w:sz w:val="18"/>
                      <w:szCs w:val="18"/>
                    </w:rPr>
                  </w:pPr>
                  <w:r>
                    <w:rPr>
                      <w:rFonts w:hint="eastAsia"/>
                      <w:color w:val="auto"/>
                      <w:sz w:val="18"/>
                      <w:szCs w:val="18"/>
                    </w:rPr>
                    <w:t>识</w:t>
                  </w:r>
                </w:p>
                <w:p>
                  <w:pPr>
                    <w:jc w:val="center"/>
                    <w:rPr>
                      <w:color w:val="auto"/>
                      <w:sz w:val="18"/>
                      <w:szCs w:val="18"/>
                    </w:rPr>
                  </w:pPr>
                  <w:r>
                    <w:rPr>
                      <w:rFonts w:hint="eastAsia"/>
                      <w:color w:val="auto"/>
                      <w:sz w:val="18"/>
                      <w:szCs w:val="18"/>
                    </w:rPr>
                    <w:t>别</w:t>
                  </w:r>
                </w:p>
              </w:tc>
              <w:tc>
                <w:tcPr>
                  <w:tcW w:w="1404" w:type="dxa"/>
                  <w:tcBorders>
                    <w:tl2br w:val="nil"/>
                    <w:tr2bl w:val="nil"/>
                  </w:tcBorders>
                  <w:vAlign w:val="center"/>
                </w:tcPr>
                <w:p>
                  <w:pPr>
                    <w:jc w:val="center"/>
                    <w:rPr>
                      <w:color w:val="auto"/>
                      <w:sz w:val="18"/>
                      <w:szCs w:val="18"/>
                    </w:rPr>
                  </w:pPr>
                  <w:r>
                    <w:rPr>
                      <w:rFonts w:hint="eastAsia"/>
                      <w:color w:val="auto"/>
                      <w:sz w:val="18"/>
                      <w:szCs w:val="18"/>
                    </w:rPr>
                    <w:t>影响类型</w:t>
                  </w:r>
                </w:p>
              </w:tc>
              <w:tc>
                <w:tcPr>
                  <w:tcW w:w="6247" w:type="dxa"/>
                  <w:gridSpan w:val="12"/>
                  <w:tcBorders>
                    <w:tl2br w:val="nil"/>
                    <w:tr2bl w:val="nil"/>
                  </w:tcBorders>
                  <w:vAlign w:val="center"/>
                </w:tcPr>
                <w:p>
                  <w:pPr>
                    <w:jc w:val="left"/>
                    <w:rPr>
                      <w:color w:val="auto"/>
                      <w:sz w:val="18"/>
                      <w:szCs w:val="18"/>
                    </w:rPr>
                  </w:pPr>
                  <w:r>
                    <w:rPr>
                      <w:rFonts w:hint="eastAsia"/>
                      <w:color w:val="auto"/>
                      <w:sz w:val="18"/>
                      <w:szCs w:val="18"/>
                    </w:rPr>
                    <w:t xml:space="preserve">水污染影响型 </w:t>
                  </w:r>
                  <w:r>
                    <w:rPr>
                      <w:color w:val="auto"/>
                      <w:sz w:val="18"/>
                      <w:szCs w:val="18"/>
                    </w:rPr>
                    <w:sym w:font="Wingdings 2" w:char="0052"/>
                  </w:r>
                  <w:r>
                    <w:rPr>
                      <w:rFonts w:hint="eastAsia"/>
                      <w:color w:val="auto"/>
                      <w:sz w:val="18"/>
                      <w:szCs w:val="18"/>
                    </w:rPr>
                    <w:t>；水文要素影响型 □</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871" w:type="dxa"/>
                  <w:vMerge w:val="continue"/>
                  <w:tcBorders>
                    <w:tl2br w:val="nil"/>
                    <w:tr2bl w:val="nil"/>
                  </w:tcBorders>
                  <w:vAlign w:val="center"/>
                </w:tcPr>
                <w:p>
                  <w:pPr>
                    <w:jc w:val="center"/>
                    <w:rPr>
                      <w:color w:val="auto"/>
                      <w:sz w:val="18"/>
                      <w:szCs w:val="18"/>
                    </w:rPr>
                  </w:pPr>
                </w:p>
              </w:tc>
              <w:tc>
                <w:tcPr>
                  <w:tcW w:w="1404" w:type="dxa"/>
                  <w:tcBorders>
                    <w:tl2br w:val="nil"/>
                    <w:tr2bl w:val="nil"/>
                  </w:tcBorders>
                  <w:vAlign w:val="center"/>
                </w:tcPr>
                <w:p>
                  <w:pPr>
                    <w:jc w:val="center"/>
                    <w:rPr>
                      <w:color w:val="auto"/>
                      <w:sz w:val="18"/>
                      <w:szCs w:val="18"/>
                    </w:rPr>
                  </w:pPr>
                  <w:r>
                    <w:rPr>
                      <w:rFonts w:hint="eastAsia"/>
                      <w:color w:val="auto"/>
                      <w:sz w:val="18"/>
                      <w:szCs w:val="18"/>
                    </w:rPr>
                    <w:t>水环境保护目标</w:t>
                  </w:r>
                </w:p>
              </w:tc>
              <w:tc>
                <w:tcPr>
                  <w:tcW w:w="6247" w:type="dxa"/>
                  <w:gridSpan w:val="12"/>
                  <w:tcBorders>
                    <w:tl2br w:val="nil"/>
                    <w:tr2bl w:val="nil"/>
                  </w:tcBorders>
                  <w:vAlign w:val="center"/>
                </w:tcPr>
                <w:p>
                  <w:pPr>
                    <w:jc w:val="left"/>
                    <w:rPr>
                      <w:color w:val="auto"/>
                      <w:sz w:val="18"/>
                      <w:szCs w:val="18"/>
                    </w:rPr>
                  </w:pPr>
                  <w:r>
                    <w:rPr>
                      <w:rFonts w:hint="eastAsia"/>
                      <w:color w:val="auto"/>
                      <w:sz w:val="18"/>
                      <w:szCs w:val="18"/>
                    </w:rPr>
                    <w:t xml:space="preserve">饮用水水源保护区 □；饮用水取水口 □；涉水的自然保护区 □；重要湿地 □； </w:t>
                  </w:r>
                </w:p>
                <w:p>
                  <w:pPr>
                    <w:jc w:val="left"/>
                    <w:rPr>
                      <w:color w:val="auto"/>
                      <w:sz w:val="18"/>
                      <w:szCs w:val="18"/>
                    </w:rPr>
                  </w:pPr>
                  <w:r>
                    <w:rPr>
                      <w:rFonts w:hint="eastAsia"/>
                      <w:color w:val="auto"/>
                      <w:sz w:val="18"/>
                      <w:szCs w:val="18"/>
                    </w:rPr>
                    <w:t>重点保护与珍稀水生生物的栖息地 □；重要水生生物的自然产卵场及索饵场、越冬场和洄游通道、天然渔场等渔业水体 □；涉水的风景名胜区 □；其他 □</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PrEx>
              <w:trPr>
                <w:jc w:val="center"/>
              </w:trPr>
              <w:tc>
                <w:tcPr>
                  <w:tcW w:w="871" w:type="dxa"/>
                  <w:vMerge w:val="continue"/>
                  <w:tcBorders>
                    <w:tl2br w:val="nil"/>
                    <w:tr2bl w:val="nil"/>
                  </w:tcBorders>
                  <w:vAlign w:val="center"/>
                </w:tcPr>
                <w:p>
                  <w:pPr>
                    <w:jc w:val="center"/>
                    <w:rPr>
                      <w:color w:val="auto"/>
                      <w:sz w:val="18"/>
                      <w:szCs w:val="18"/>
                    </w:rPr>
                  </w:pPr>
                </w:p>
              </w:tc>
              <w:tc>
                <w:tcPr>
                  <w:tcW w:w="1404" w:type="dxa"/>
                  <w:vMerge w:val="restart"/>
                  <w:tcBorders>
                    <w:tl2br w:val="nil"/>
                    <w:tr2bl w:val="nil"/>
                  </w:tcBorders>
                  <w:vAlign w:val="center"/>
                </w:tcPr>
                <w:p>
                  <w:pPr>
                    <w:jc w:val="center"/>
                    <w:rPr>
                      <w:color w:val="auto"/>
                      <w:sz w:val="18"/>
                      <w:szCs w:val="18"/>
                    </w:rPr>
                  </w:pPr>
                  <w:r>
                    <w:rPr>
                      <w:rFonts w:hint="eastAsia"/>
                      <w:color w:val="auto"/>
                      <w:sz w:val="18"/>
                      <w:szCs w:val="18"/>
                    </w:rPr>
                    <w:t>影响途径</w:t>
                  </w:r>
                </w:p>
              </w:tc>
              <w:tc>
                <w:tcPr>
                  <w:tcW w:w="3123" w:type="dxa"/>
                  <w:gridSpan w:val="6"/>
                  <w:tcBorders>
                    <w:tl2br w:val="nil"/>
                    <w:tr2bl w:val="nil"/>
                  </w:tcBorders>
                  <w:vAlign w:val="center"/>
                </w:tcPr>
                <w:p>
                  <w:pPr>
                    <w:jc w:val="center"/>
                    <w:rPr>
                      <w:color w:val="auto"/>
                      <w:sz w:val="18"/>
                      <w:szCs w:val="18"/>
                    </w:rPr>
                  </w:pPr>
                  <w:r>
                    <w:rPr>
                      <w:color w:val="auto"/>
                      <w:sz w:val="18"/>
                      <w:szCs w:val="18"/>
                    </w:rPr>
                    <w:t>水污染影响型</w:t>
                  </w:r>
                </w:p>
              </w:tc>
              <w:tc>
                <w:tcPr>
                  <w:tcW w:w="3124" w:type="dxa"/>
                  <w:gridSpan w:val="6"/>
                  <w:tcBorders>
                    <w:tl2br w:val="nil"/>
                    <w:tr2bl w:val="nil"/>
                  </w:tcBorders>
                  <w:vAlign w:val="center"/>
                </w:tcPr>
                <w:p>
                  <w:pPr>
                    <w:jc w:val="center"/>
                    <w:rPr>
                      <w:color w:val="auto"/>
                      <w:sz w:val="18"/>
                      <w:szCs w:val="18"/>
                    </w:rPr>
                  </w:pPr>
                  <w:r>
                    <w:rPr>
                      <w:rFonts w:hint="eastAsia"/>
                      <w:color w:val="auto"/>
                      <w:sz w:val="18"/>
                      <w:szCs w:val="18"/>
                    </w:rPr>
                    <w:t>水文要素影响型</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871" w:type="dxa"/>
                  <w:vMerge w:val="continue"/>
                  <w:tcBorders>
                    <w:tl2br w:val="nil"/>
                    <w:tr2bl w:val="nil"/>
                  </w:tcBorders>
                  <w:vAlign w:val="center"/>
                </w:tcPr>
                <w:p>
                  <w:pPr>
                    <w:jc w:val="center"/>
                    <w:rPr>
                      <w:color w:val="auto"/>
                      <w:sz w:val="18"/>
                      <w:szCs w:val="18"/>
                    </w:rPr>
                  </w:pPr>
                </w:p>
              </w:tc>
              <w:tc>
                <w:tcPr>
                  <w:tcW w:w="1404" w:type="dxa"/>
                  <w:vMerge w:val="continue"/>
                  <w:tcBorders>
                    <w:tl2br w:val="nil"/>
                    <w:tr2bl w:val="nil"/>
                  </w:tcBorders>
                  <w:vAlign w:val="center"/>
                </w:tcPr>
                <w:p>
                  <w:pPr>
                    <w:jc w:val="center"/>
                    <w:rPr>
                      <w:color w:val="auto"/>
                      <w:sz w:val="18"/>
                      <w:szCs w:val="18"/>
                    </w:rPr>
                  </w:pPr>
                </w:p>
              </w:tc>
              <w:tc>
                <w:tcPr>
                  <w:tcW w:w="3123" w:type="dxa"/>
                  <w:gridSpan w:val="6"/>
                  <w:tcBorders>
                    <w:tl2br w:val="nil"/>
                    <w:tr2bl w:val="nil"/>
                  </w:tcBorders>
                  <w:vAlign w:val="center"/>
                </w:tcPr>
                <w:p>
                  <w:pPr>
                    <w:jc w:val="left"/>
                    <w:rPr>
                      <w:color w:val="auto"/>
                      <w:sz w:val="18"/>
                      <w:szCs w:val="18"/>
                    </w:rPr>
                  </w:pPr>
                  <w:r>
                    <w:rPr>
                      <w:rFonts w:hint="eastAsia"/>
                      <w:color w:val="auto"/>
                      <w:sz w:val="18"/>
                      <w:szCs w:val="18"/>
                    </w:rPr>
                    <w:t xml:space="preserve">直接排放 □；间接排放 </w:t>
                  </w:r>
                  <w:r>
                    <w:rPr>
                      <w:color w:val="auto"/>
                      <w:sz w:val="18"/>
                      <w:szCs w:val="18"/>
                    </w:rPr>
                    <w:sym w:font="Wingdings 2" w:char="0052"/>
                  </w:r>
                  <w:r>
                    <w:rPr>
                      <w:rFonts w:hint="eastAsia"/>
                      <w:color w:val="auto"/>
                      <w:sz w:val="18"/>
                      <w:szCs w:val="18"/>
                    </w:rPr>
                    <w:t>；其他 □</w:t>
                  </w:r>
                </w:p>
              </w:tc>
              <w:tc>
                <w:tcPr>
                  <w:tcW w:w="3124" w:type="dxa"/>
                  <w:gridSpan w:val="6"/>
                  <w:tcBorders>
                    <w:tl2br w:val="nil"/>
                    <w:tr2bl w:val="nil"/>
                  </w:tcBorders>
                  <w:vAlign w:val="center"/>
                </w:tcPr>
                <w:p>
                  <w:pPr>
                    <w:jc w:val="left"/>
                    <w:rPr>
                      <w:color w:val="auto"/>
                      <w:sz w:val="18"/>
                      <w:szCs w:val="18"/>
                    </w:rPr>
                  </w:pPr>
                  <w:r>
                    <w:rPr>
                      <w:rFonts w:hint="eastAsia"/>
                      <w:color w:val="auto"/>
                      <w:sz w:val="18"/>
                      <w:szCs w:val="18"/>
                    </w:rPr>
                    <w:t>水温 □；径流 □；水域面积 □</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871" w:type="dxa"/>
                  <w:vMerge w:val="continue"/>
                  <w:tcBorders>
                    <w:tl2br w:val="nil"/>
                    <w:tr2bl w:val="nil"/>
                  </w:tcBorders>
                  <w:vAlign w:val="center"/>
                </w:tcPr>
                <w:p>
                  <w:pPr>
                    <w:jc w:val="center"/>
                    <w:rPr>
                      <w:color w:val="auto"/>
                      <w:sz w:val="18"/>
                      <w:szCs w:val="18"/>
                    </w:rPr>
                  </w:pPr>
                </w:p>
              </w:tc>
              <w:tc>
                <w:tcPr>
                  <w:tcW w:w="1404" w:type="dxa"/>
                  <w:tcBorders>
                    <w:tl2br w:val="nil"/>
                    <w:tr2bl w:val="nil"/>
                  </w:tcBorders>
                  <w:vAlign w:val="center"/>
                </w:tcPr>
                <w:p>
                  <w:pPr>
                    <w:jc w:val="center"/>
                    <w:rPr>
                      <w:color w:val="auto"/>
                      <w:sz w:val="18"/>
                      <w:szCs w:val="18"/>
                    </w:rPr>
                  </w:pPr>
                  <w:r>
                    <w:rPr>
                      <w:rFonts w:hint="eastAsia"/>
                      <w:color w:val="auto"/>
                      <w:sz w:val="18"/>
                      <w:szCs w:val="18"/>
                    </w:rPr>
                    <w:t>影响因子</w:t>
                  </w:r>
                </w:p>
              </w:tc>
              <w:tc>
                <w:tcPr>
                  <w:tcW w:w="3123" w:type="dxa"/>
                  <w:gridSpan w:val="6"/>
                  <w:tcBorders>
                    <w:tl2br w:val="nil"/>
                    <w:tr2bl w:val="nil"/>
                  </w:tcBorders>
                  <w:vAlign w:val="center"/>
                </w:tcPr>
                <w:p>
                  <w:pPr>
                    <w:jc w:val="left"/>
                    <w:rPr>
                      <w:color w:val="auto"/>
                      <w:sz w:val="18"/>
                      <w:szCs w:val="18"/>
                    </w:rPr>
                  </w:pPr>
                  <w:r>
                    <w:rPr>
                      <w:rFonts w:hint="eastAsia"/>
                      <w:color w:val="auto"/>
                      <w:sz w:val="18"/>
                      <w:szCs w:val="18"/>
                    </w:rPr>
                    <w:t>持久性污染物 □；有毒有害污染物 □；非持久性污染物 □；</w:t>
                  </w:r>
                </w:p>
                <w:p>
                  <w:pPr>
                    <w:jc w:val="left"/>
                    <w:rPr>
                      <w:color w:val="auto"/>
                      <w:sz w:val="18"/>
                      <w:szCs w:val="18"/>
                    </w:rPr>
                  </w:pPr>
                  <w:r>
                    <w:rPr>
                      <w:rFonts w:hint="eastAsia"/>
                      <w:color w:val="auto"/>
                      <w:sz w:val="18"/>
                      <w:szCs w:val="18"/>
                    </w:rPr>
                    <w:t xml:space="preserve">pH值 □；热污染 □；富营养化 </w:t>
                  </w:r>
                  <w:r>
                    <w:rPr>
                      <w:color w:val="auto"/>
                      <w:sz w:val="18"/>
                      <w:szCs w:val="18"/>
                    </w:rPr>
                    <w:sym w:font="Wingdings 2" w:char="0052"/>
                  </w:r>
                  <w:r>
                    <w:rPr>
                      <w:rFonts w:hint="eastAsia"/>
                      <w:color w:val="auto"/>
                      <w:sz w:val="18"/>
                      <w:szCs w:val="18"/>
                    </w:rPr>
                    <w:t>；其他 □</w:t>
                  </w:r>
                </w:p>
              </w:tc>
              <w:tc>
                <w:tcPr>
                  <w:tcW w:w="3124" w:type="dxa"/>
                  <w:gridSpan w:val="6"/>
                  <w:tcBorders>
                    <w:tl2br w:val="nil"/>
                    <w:tr2bl w:val="nil"/>
                  </w:tcBorders>
                  <w:vAlign w:val="center"/>
                </w:tcPr>
                <w:p>
                  <w:pPr>
                    <w:jc w:val="left"/>
                    <w:rPr>
                      <w:color w:val="auto"/>
                      <w:sz w:val="18"/>
                      <w:szCs w:val="18"/>
                    </w:rPr>
                  </w:pPr>
                  <w:r>
                    <w:rPr>
                      <w:rFonts w:hint="eastAsia"/>
                      <w:color w:val="auto"/>
                      <w:sz w:val="18"/>
                      <w:szCs w:val="18"/>
                    </w:rPr>
                    <w:t>水温 □；水位（水深） □；流速 □；流量 □；其他 □</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275" w:type="dxa"/>
                  <w:gridSpan w:val="2"/>
                  <w:vMerge w:val="restart"/>
                  <w:tcBorders>
                    <w:tl2br w:val="nil"/>
                    <w:tr2bl w:val="nil"/>
                  </w:tcBorders>
                  <w:vAlign w:val="center"/>
                </w:tcPr>
                <w:p>
                  <w:pPr>
                    <w:jc w:val="center"/>
                    <w:rPr>
                      <w:color w:val="auto"/>
                      <w:sz w:val="18"/>
                      <w:szCs w:val="18"/>
                    </w:rPr>
                  </w:pPr>
                  <w:r>
                    <w:rPr>
                      <w:color w:val="auto"/>
                      <w:sz w:val="18"/>
                      <w:szCs w:val="18"/>
                    </w:rPr>
                    <w:t>评价等级</w:t>
                  </w:r>
                </w:p>
              </w:tc>
              <w:tc>
                <w:tcPr>
                  <w:tcW w:w="3123" w:type="dxa"/>
                  <w:gridSpan w:val="6"/>
                  <w:tcBorders>
                    <w:tl2br w:val="nil"/>
                    <w:tr2bl w:val="nil"/>
                  </w:tcBorders>
                  <w:vAlign w:val="center"/>
                </w:tcPr>
                <w:p>
                  <w:pPr>
                    <w:jc w:val="center"/>
                    <w:rPr>
                      <w:color w:val="auto"/>
                      <w:sz w:val="18"/>
                      <w:szCs w:val="18"/>
                    </w:rPr>
                  </w:pPr>
                  <w:r>
                    <w:rPr>
                      <w:color w:val="auto"/>
                      <w:sz w:val="18"/>
                      <w:szCs w:val="18"/>
                    </w:rPr>
                    <w:t>水污染影响型</w:t>
                  </w:r>
                </w:p>
              </w:tc>
              <w:tc>
                <w:tcPr>
                  <w:tcW w:w="3124" w:type="dxa"/>
                  <w:gridSpan w:val="6"/>
                  <w:tcBorders>
                    <w:tl2br w:val="nil"/>
                    <w:tr2bl w:val="nil"/>
                  </w:tcBorders>
                  <w:vAlign w:val="center"/>
                </w:tcPr>
                <w:p>
                  <w:pPr>
                    <w:jc w:val="center"/>
                    <w:rPr>
                      <w:color w:val="auto"/>
                      <w:sz w:val="18"/>
                      <w:szCs w:val="18"/>
                    </w:rPr>
                  </w:pPr>
                  <w:r>
                    <w:rPr>
                      <w:rFonts w:hint="eastAsia"/>
                      <w:color w:val="auto"/>
                      <w:sz w:val="18"/>
                      <w:szCs w:val="18"/>
                    </w:rPr>
                    <w:t>水文要素影响型</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275" w:type="dxa"/>
                  <w:gridSpan w:val="2"/>
                  <w:vMerge w:val="continue"/>
                  <w:tcBorders>
                    <w:tl2br w:val="nil"/>
                    <w:tr2bl w:val="nil"/>
                  </w:tcBorders>
                  <w:vAlign w:val="center"/>
                </w:tcPr>
                <w:p>
                  <w:pPr>
                    <w:jc w:val="center"/>
                    <w:rPr>
                      <w:color w:val="auto"/>
                      <w:sz w:val="18"/>
                      <w:szCs w:val="18"/>
                    </w:rPr>
                  </w:pPr>
                </w:p>
              </w:tc>
              <w:tc>
                <w:tcPr>
                  <w:tcW w:w="3123" w:type="dxa"/>
                  <w:gridSpan w:val="6"/>
                  <w:tcBorders>
                    <w:tl2br w:val="nil"/>
                    <w:tr2bl w:val="nil"/>
                  </w:tcBorders>
                  <w:vAlign w:val="center"/>
                </w:tcPr>
                <w:p>
                  <w:pPr>
                    <w:jc w:val="left"/>
                    <w:rPr>
                      <w:color w:val="auto"/>
                      <w:sz w:val="18"/>
                      <w:szCs w:val="18"/>
                    </w:rPr>
                  </w:pPr>
                  <w:r>
                    <w:rPr>
                      <w:rFonts w:hint="eastAsia"/>
                      <w:color w:val="auto"/>
                      <w:sz w:val="18"/>
                      <w:szCs w:val="18"/>
                    </w:rPr>
                    <w:t xml:space="preserve">一级 □；二级 □；三级A □；三级B </w:t>
                  </w:r>
                  <w:r>
                    <w:rPr>
                      <w:color w:val="auto"/>
                      <w:sz w:val="18"/>
                      <w:szCs w:val="18"/>
                    </w:rPr>
                    <w:sym w:font="Wingdings 2" w:char="0052"/>
                  </w:r>
                </w:p>
              </w:tc>
              <w:tc>
                <w:tcPr>
                  <w:tcW w:w="3124" w:type="dxa"/>
                  <w:gridSpan w:val="6"/>
                  <w:tcBorders>
                    <w:tl2br w:val="nil"/>
                    <w:tr2bl w:val="nil"/>
                  </w:tcBorders>
                  <w:vAlign w:val="center"/>
                </w:tcPr>
                <w:p>
                  <w:pPr>
                    <w:jc w:val="left"/>
                    <w:rPr>
                      <w:color w:val="auto"/>
                      <w:sz w:val="18"/>
                      <w:szCs w:val="18"/>
                    </w:rPr>
                  </w:pPr>
                  <w:r>
                    <w:rPr>
                      <w:rFonts w:hint="eastAsia"/>
                      <w:color w:val="auto"/>
                      <w:sz w:val="18"/>
                      <w:szCs w:val="18"/>
                    </w:rPr>
                    <w:t>一级 □；二级 □；三级 □</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871" w:type="dxa"/>
                  <w:vMerge w:val="restart"/>
                  <w:tcBorders>
                    <w:tl2br w:val="nil"/>
                    <w:tr2bl w:val="nil"/>
                  </w:tcBorders>
                  <w:vAlign w:val="center"/>
                </w:tcPr>
                <w:p>
                  <w:pPr>
                    <w:jc w:val="center"/>
                    <w:rPr>
                      <w:color w:val="auto"/>
                      <w:sz w:val="18"/>
                      <w:szCs w:val="18"/>
                    </w:rPr>
                  </w:pPr>
                  <w:r>
                    <w:rPr>
                      <w:rFonts w:hint="eastAsia"/>
                      <w:color w:val="auto"/>
                      <w:sz w:val="18"/>
                      <w:szCs w:val="18"/>
                    </w:rPr>
                    <w:t>现</w:t>
                  </w:r>
                </w:p>
                <w:p>
                  <w:pPr>
                    <w:jc w:val="center"/>
                    <w:rPr>
                      <w:color w:val="auto"/>
                      <w:sz w:val="18"/>
                      <w:szCs w:val="18"/>
                    </w:rPr>
                  </w:pPr>
                  <w:r>
                    <w:rPr>
                      <w:rFonts w:hint="eastAsia"/>
                      <w:color w:val="auto"/>
                      <w:sz w:val="18"/>
                      <w:szCs w:val="18"/>
                    </w:rPr>
                    <w:t>状</w:t>
                  </w:r>
                </w:p>
                <w:p>
                  <w:pPr>
                    <w:jc w:val="center"/>
                    <w:rPr>
                      <w:color w:val="auto"/>
                      <w:sz w:val="18"/>
                      <w:szCs w:val="18"/>
                    </w:rPr>
                  </w:pPr>
                  <w:r>
                    <w:rPr>
                      <w:rFonts w:hint="eastAsia"/>
                      <w:color w:val="auto"/>
                      <w:sz w:val="18"/>
                      <w:szCs w:val="18"/>
                    </w:rPr>
                    <w:t>调</w:t>
                  </w:r>
                </w:p>
                <w:p>
                  <w:pPr>
                    <w:jc w:val="center"/>
                    <w:rPr>
                      <w:color w:val="auto"/>
                      <w:sz w:val="18"/>
                      <w:szCs w:val="18"/>
                    </w:rPr>
                  </w:pPr>
                  <w:r>
                    <w:rPr>
                      <w:rFonts w:hint="eastAsia"/>
                      <w:color w:val="auto"/>
                      <w:sz w:val="18"/>
                      <w:szCs w:val="18"/>
                    </w:rPr>
                    <w:t>查</w:t>
                  </w:r>
                </w:p>
              </w:tc>
              <w:tc>
                <w:tcPr>
                  <w:tcW w:w="1404" w:type="dxa"/>
                  <w:vMerge w:val="restart"/>
                  <w:tcBorders>
                    <w:tl2br w:val="nil"/>
                    <w:tr2bl w:val="nil"/>
                  </w:tcBorders>
                  <w:vAlign w:val="center"/>
                </w:tcPr>
                <w:p>
                  <w:pPr>
                    <w:jc w:val="center"/>
                    <w:rPr>
                      <w:color w:val="auto"/>
                      <w:sz w:val="18"/>
                      <w:szCs w:val="18"/>
                    </w:rPr>
                  </w:pPr>
                  <w:r>
                    <w:rPr>
                      <w:rFonts w:hint="eastAsia"/>
                      <w:color w:val="auto"/>
                      <w:sz w:val="18"/>
                      <w:szCs w:val="18"/>
                    </w:rPr>
                    <w:t>区域污染源</w:t>
                  </w:r>
                </w:p>
              </w:tc>
              <w:tc>
                <w:tcPr>
                  <w:tcW w:w="3123" w:type="dxa"/>
                  <w:gridSpan w:val="6"/>
                  <w:tcBorders>
                    <w:tl2br w:val="nil"/>
                    <w:tr2bl w:val="nil"/>
                  </w:tcBorders>
                  <w:vAlign w:val="center"/>
                </w:tcPr>
                <w:p>
                  <w:pPr>
                    <w:jc w:val="center"/>
                    <w:rPr>
                      <w:color w:val="auto"/>
                      <w:sz w:val="18"/>
                      <w:szCs w:val="18"/>
                    </w:rPr>
                  </w:pPr>
                  <w:r>
                    <w:rPr>
                      <w:rFonts w:hint="eastAsia"/>
                      <w:color w:val="auto"/>
                      <w:sz w:val="18"/>
                      <w:szCs w:val="18"/>
                    </w:rPr>
                    <w:t>调查项目</w:t>
                  </w:r>
                </w:p>
              </w:tc>
              <w:tc>
                <w:tcPr>
                  <w:tcW w:w="3124" w:type="dxa"/>
                  <w:gridSpan w:val="6"/>
                  <w:tcBorders>
                    <w:tl2br w:val="nil"/>
                    <w:tr2bl w:val="nil"/>
                  </w:tcBorders>
                  <w:vAlign w:val="center"/>
                </w:tcPr>
                <w:p>
                  <w:pPr>
                    <w:jc w:val="center"/>
                    <w:rPr>
                      <w:color w:val="auto"/>
                      <w:sz w:val="18"/>
                      <w:szCs w:val="18"/>
                    </w:rPr>
                  </w:pPr>
                  <w:r>
                    <w:rPr>
                      <w:rFonts w:hint="eastAsia"/>
                      <w:color w:val="auto"/>
                      <w:sz w:val="18"/>
                      <w:szCs w:val="18"/>
                    </w:rPr>
                    <w:t>数据来源</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871" w:type="dxa"/>
                  <w:vMerge w:val="continue"/>
                  <w:tcBorders>
                    <w:tl2br w:val="nil"/>
                    <w:tr2bl w:val="nil"/>
                  </w:tcBorders>
                  <w:vAlign w:val="center"/>
                </w:tcPr>
                <w:p>
                  <w:pPr>
                    <w:jc w:val="center"/>
                    <w:rPr>
                      <w:color w:val="auto"/>
                      <w:sz w:val="18"/>
                      <w:szCs w:val="18"/>
                    </w:rPr>
                  </w:pPr>
                </w:p>
              </w:tc>
              <w:tc>
                <w:tcPr>
                  <w:tcW w:w="1404" w:type="dxa"/>
                  <w:vMerge w:val="continue"/>
                  <w:tcBorders>
                    <w:tl2br w:val="nil"/>
                    <w:tr2bl w:val="nil"/>
                  </w:tcBorders>
                  <w:vAlign w:val="center"/>
                </w:tcPr>
                <w:p>
                  <w:pPr>
                    <w:jc w:val="center"/>
                    <w:rPr>
                      <w:color w:val="auto"/>
                      <w:sz w:val="18"/>
                      <w:szCs w:val="18"/>
                    </w:rPr>
                  </w:pPr>
                </w:p>
              </w:tc>
              <w:tc>
                <w:tcPr>
                  <w:tcW w:w="1561" w:type="dxa"/>
                  <w:gridSpan w:val="2"/>
                  <w:tcBorders>
                    <w:tl2br w:val="nil"/>
                    <w:tr2bl w:val="nil"/>
                  </w:tcBorders>
                  <w:vAlign w:val="center"/>
                </w:tcPr>
                <w:p>
                  <w:pPr>
                    <w:jc w:val="left"/>
                    <w:rPr>
                      <w:color w:val="auto"/>
                      <w:sz w:val="18"/>
                      <w:szCs w:val="18"/>
                    </w:rPr>
                  </w:pPr>
                  <w:r>
                    <w:rPr>
                      <w:rFonts w:hint="eastAsia"/>
                      <w:color w:val="auto"/>
                      <w:sz w:val="18"/>
                      <w:szCs w:val="18"/>
                    </w:rPr>
                    <w:t>已建 □；在建 □；拟建 □；其他 □</w:t>
                  </w:r>
                </w:p>
              </w:tc>
              <w:tc>
                <w:tcPr>
                  <w:tcW w:w="1562" w:type="dxa"/>
                  <w:gridSpan w:val="4"/>
                  <w:tcBorders>
                    <w:tl2br w:val="nil"/>
                    <w:tr2bl w:val="nil"/>
                  </w:tcBorders>
                  <w:vAlign w:val="center"/>
                </w:tcPr>
                <w:p>
                  <w:pPr>
                    <w:jc w:val="left"/>
                    <w:rPr>
                      <w:color w:val="auto"/>
                      <w:sz w:val="18"/>
                      <w:szCs w:val="18"/>
                    </w:rPr>
                  </w:pPr>
                  <w:r>
                    <w:rPr>
                      <w:rFonts w:hint="eastAsia"/>
                      <w:color w:val="auto"/>
                      <w:sz w:val="18"/>
                      <w:szCs w:val="18"/>
                    </w:rPr>
                    <w:t>拟替代的污染源□</w:t>
                  </w:r>
                </w:p>
              </w:tc>
              <w:tc>
                <w:tcPr>
                  <w:tcW w:w="3124" w:type="dxa"/>
                  <w:gridSpan w:val="6"/>
                  <w:tcBorders>
                    <w:tl2br w:val="nil"/>
                    <w:tr2bl w:val="nil"/>
                  </w:tcBorders>
                  <w:vAlign w:val="center"/>
                </w:tcPr>
                <w:p>
                  <w:pPr>
                    <w:jc w:val="center"/>
                    <w:rPr>
                      <w:color w:val="auto"/>
                      <w:sz w:val="18"/>
                      <w:szCs w:val="18"/>
                    </w:rPr>
                  </w:pPr>
                  <w:r>
                    <w:rPr>
                      <w:rFonts w:hint="eastAsia"/>
                      <w:color w:val="auto"/>
                      <w:sz w:val="18"/>
                      <w:szCs w:val="18"/>
                    </w:rPr>
                    <w:t>排污许可证 □；环评 □；环保验收 □；既有实测 □；现场监测 □；入河排放口数据 □；其他 □</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PrEx>
              <w:trPr>
                <w:jc w:val="center"/>
              </w:trPr>
              <w:tc>
                <w:tcPr>
                  <w:tcW w:w="871" w:type="dxa"/>
                  <w:vMerge w:val="continue"/>
                  <w:tcBorders>
                    <w:tl2br w:val="nil"/>
                    <w:tr2bl w:val="nil"/>
                  </w:tcBorders>
                  <w:vAlign w:val="center"/>
                </w:tcPr>
                <w:p>
                  <w:pPr>
                    <w:jc w:val="center"/>
                    <w:rPr>
                      <w:color w:val="auto"/>
                      <w:sz w:val="18"/>
                      <w:szCs w:val="18"/>
                    </w:rPr>
                  </w:pPr>
                </w:p>
              </w:tc>
              <w:tc>
                <w:tcPr>
                  <w:tcW w:w="1404" w:type="dxa"/>
                  <w:vMerge w:val="restart"/>
                  <w:tcBorders>
                    <w:tl2br w:val="nil"/>
                    <w:tr2bl w:val="nil"/>
                  </w:tcBorders>
                  <w:vAlign w:val="center"/>
                </w:tcPr>
                <w:p>
                  <w:pPr>
                    <w:jc w:val="center"/>
                    <w:rPr>
                      <w:color w:val="auto"/>
                      <w:sz w:val="18"/>
                      <w:szCs w:val="18"/>
                    </w:rPr>
                  </w:pPr>
                  <w:r>
                    <w:rPr>
                      <w:rFonts w:hint="eastAsia"/>
                      <w:color w:val="auto"/>
                      <w:sz w:val="18"/>
                      <w:szCs w:val="18"/>
                    </w:rPr>
                    <w:t>受影响水体水环境质量</w:t>
                  </w:r>
                </w:p>
              </w:tc>
              <w:tc>
                <w:tcPr>
                  <w:tcW w:w="3123" w:type="dxa"/>
                  <w:gridSpan w:val="6"/>
                  <w:tcBorders>
                    <w:tl2br w:val="nil"/>
                    <w:tr2bl w:val="nil"/>
                  </w:tcBorders>
                  <w:vAlign w:val="center"/>
                </w:tcPr>
                <w:p>
                  <w:pPr>
                    <w:jc w:val="center"/>
                    <w:rPr>
                      <w:color w:val="auto"/>
                      <w:sz w:val="18"/>
                      <w:szCs w:val="18"/>
                    </w:rPr>
                  </w:pPr>
                  <w:r>
                    <w:rPr>
                      <w:rFonts w:hint="eastAsia"/>
                      <w:color w:val="auto"/>
                      <w:sz w:val="18"/>
                      <w:szCs w:val="18"/>
                    </w:rPr>
                    <w:t>调查时期</w:t>
                  </w:r>
                </w:p>
              </w:tc>
              <w:tc>
                <w:tcPr>
                  <w:tcW w:w="3124" w:type="dxa"/>
                  <w:gridSpan w:val="6"/>
                  <w:tcBorders>
                    <w:tl2br w:val="nil"/>
                    <w:tr2bl w:val="nil"/>
                  </w:tcBorders>
                  <w:vAlign w:val="center"/>
                </w:tcPr>
                <w:p>
                  <w:pPr>
                    <w:jc w:val="center"/>
                    <w:rPr>
                      <w:color w:val="auto"/>
                      <w:sz w:val="18"/>
                      <w:szCs w:val="18"/>
                    </w:rPr>
                  </w:pPr>
                  <w:r>
                    <w:rPr>
                      <w:rFonts w:hint="eastAsia"/>
                      <w:color w:val="auto"/>
                      <w:sz w:val="18"/>
                      <w:szCs w:val="18"/>
                    </w:rPr>
                    <w:t>数据来源</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PrEx>
              <w:trPr>
                <w:jc w:val="center"/>
              </w:trPr>
              <w:tc>
                <w:tcPr>
                  <w:tcW w:w="871" w:type="dxa"/>
                  <w:vMerge w:val="continue"/>
                  <w:tcBorders>
                    <w:tl2br w:val="nil"/>
                    <w:tr2bl w:val="nil"/>
                  </w:tcBorders>
                  <w:vAlign w:val="center"/>
                </w:tcPr>
                <w:p>
                  <w:pPr>
                    <w:jc w:val="center"/>
                    <w:rPr>
                      <w:color w:val="auto"/>
                      <w:sz w:val="18"/>
                      <w:szCs w:val="18"/>
                    </w:rPr>
                  </w:pPr>
                </w:p>
              </w:tc>
              <w:tc>
                <w:tcPr>
                  <w:tcW w:w="1404" w:type="dxa"/>
                  <w:vMerge w:val="continue"/>
                  <w:tcBorders>
                    <w:tl2br w:val="nil"/>
                    <w:tr2bl w:val="nil"/>
                  </w:tcBorders>
                  <w:vAlign w:val="center"/>
                </w:tcPr>
                <w:p>
                  <w:pPr>
                    <w:jc w:val="center"/>
                    <w:rPr>
                      <w:color w:val="auto"/>
                      <w:sz w:val="18"/>
                      <w:szCs w:val="18"/>
                    </w:rPr>
                  </w:pPr>
                </w:p>
              </w:tc>
              <w:tc>
                <w:tcPr>
                  <w:tcW w:w="3123" w:type="dxa"/>
                  <w:gridSpan w:val="6"/>
                  <w:tcBorders>
                    <w:tl2br w:val="nil"/>
                    <w:tr2bl w:val="nil"/>
                  </w:tcBorders>
                  <w:vAlign w:val="center"/>
                </w:tcPr>
                <w:p>
                  <w:pPr>
                    <w:jc w:val="left"/>
                    <w:rPr>
                      <w:color w:val="auto"/>
                      <w:sz w:val="18"/>
                      <w:szCs w:val="18"/>
                    </w:rPr>
                  </w:pPr>
                  <w:r>
                    <w:rPr>
                      <w:rFonts w:hint="eastAsia"/>
                      <w:color w:val="auto"/>
                      <w:sz w:val="18"/>
                      <w:szCs w:val="18"/>
                    </w:rPr>
                    <w:t>丰水期 □；平水期 □；枯水期 □；冰封期 □</w:t>
                  </w:r>
                </w:p>
                <w:p>
                  <w:pPr>
                    <w:jc w:val="left"/>
                    <w:rPr>
                      <w:color w:val="auto"/>
                      <w:sz w:val="18"/>
                      <w:szCs w:val="18"/>
                    </w:rPr>
                  </w:pPr>
                  <w:r>
                    <w:rPr>
                      <w:rFonts w:hint="eastAsia"/>
                      <w:color w:val="auto"/>
                      <w:sz w:val="18"/>
                      <w:szCs w:val="18"/>
                    </w:rPr>
                    <w:t xml:space="preserve">春季 □；夏季 □；秋季 □；冬季 □ </w:t>
                  </w:r>
                </w:p>
              </w:tc>
              <w:tc>
                <w:tcPr>
                  <w:tcW w:w="3124" w:type="dxa"/>
                  <w:gridSpan w:val="6"/>
                  <w:tcBorders>
                    <w:tl2br w:val="nil"/>
                    <w:tr2bl w:val="nil"/>
                  </w:tcBorders>
                  <w:vAlign w:val="center"/>
                </w:tcPr>
                <w:p>
                  <w:pPr>
                    <w:rPr>
                      <w:color w:val="auto"/>
                      <w:sz w:val="18"/>
                      <w:szCs w:val="18"/>
                    </w:rPr>
                  </w:pPr>
                  <w:r>
                    <w:rPr>
                      <w:rFonts w:hint="eastAsia"/>
                      <w:color w:val="auto"/>
                      <w:sz w:val="18"/>
                      <w:szCs w:val="18"/>
                    </w:rPr>
                    <w:t>生态环境保护主管部门 □；补充监测 □；其他 □</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PrEx>
              <w:trPr>
                <w:jc w:val="center"/>
              </w:trPr>
              <w:tc>
                <w:tcPr>
                  <w:tcW w:w="871" w:type="dxa"/>
                  <w:vMerge w:val="continue"/>
                  <w:tcBorders>
                    <w:tl2br w:val="nil"/>
                    <w:tr2bl w:val="nil"/>
                  </w:tcBorders>
                  <w:vAlign w:val="center"/>
                </w:tcPr>
                <w:p>
                  <w:pPr>
                    <w:jc w:val="center"/>
                    <w:rPr>
                      <w:color w:val="auto"/>
                      <w:sz w:val="18"/>
                      <w:szCs w:val="18"/>
                    </w:rPr>
                  </w:pPr>
                </w:p>
              </w:tc>
              <w:tc>
                <w:tcPr>
                  <w:tcW w:w="1404" w:type="dxa"/>
                  <w:tcBorders>
                    <w:tl2br w:val="nil"/>
                    <w:tr2bl w:val="nil"/>
                  </w:tcBorders>
                  <w:vAlign w:val="center"/>
                </w:tcPr>
                <w:p>
                  <w:pPr>
                    <w:jc w:val="center"/>
                    <w:rPr>
                      <w:color w:val="auto"/>
                      <w:sz w:val="18"/>
                      <w:szCs w:val="18"/>
                    </w:rPr>
                  </w:pPr>
                  <w:r>
                    <w:rPr>
                      <w:rFonts w:hint="eastAsia"/>
                      <w:color w:val="auto"/>
                      <w:sz w:val="18"/>
                      <w:szCs w:val="18"/>
                    </w:rPr>
                    <w:t>区域水资源开发利用状况</w:t>
                  </w:r>
                </w:p>
              </w:tc>
              <w:tc>
                <w:tcPr>
                  <w:tcW w:w="6247" w:type="dxa"/>
                  <w:gridSpan w:val="12"/>
                  <w:tcBorders>
                    <w:tl2br w:val="nil"/>
                    <w:tr2bl w:val="nil"/>
                  </w:tcBorders>
                  <w:vAlign w:val="center"/>
                </w:tcPr>
                <w:p>
                  <w:pPr>
                    <w:jc w:val="left"/>
                    <w:rPr>
                      <w:color w:val="auto"/>
                      <w:sz w:val="18"/>
                      <w:szCs w:val="18"/>
                    </w:rPr>
                  </w:pPr>
                  <w:r>
                    <w:rPr>
                      <w:rFonts w:hint="eastAsia"/>
                      <w:color w:val="auto"/>
                      <w:sz w:val="18"/>
                      <w:szCs w:val="18"/>
                    </w:rPr>
                    <w:t>未开发 □；开发量 40%以下 □；开发量 40%以上 □</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PrEx>
              <w:trPr>
                <w:jc w:val="center"/>
              </w:trPr>
              <w:tc>
                <w:tcPr>
                  <w:tcW w:w="871" w:type="dxa"/>
                  <w:vMerge w:val="continue"/>
                  <w:tcBorders>
                    <w:tl2br w:val="nil"/>
                    <w:tr2bl w:val="nil"/>
                  </w:tcBorders>
                  <w:vAlign w:val="center"/>
                </w:tcPr>
                <w:p>
                  <w:pPr>
                    <w:jc w:val="center"/>
                    <w:rPr>
                      <w:color w:val="auto"/>
                      <w:sz w:val="18"/>
                      <w:szCs w:val="18"/>
                    </w:rPr>
                  </w:pPr>
                </w:p>
              </w:tc>
              <w:tc>
                <w:tcPr>
                  <w:tcW w:w="1404" w:type="dxa"/>
                  <w:vMerge w:val="restart"/>
                  <w:tcBorders>
                    <w:tl2br w:val="nil"/>
                    <w:tr2bl w:val="nil"/>
                  </w:tcBorders>
                  <w:vAlign w:val="center"/>
                </w:tcPr>
                <w:p>
                  <w:pPr>
                    <w:jc w:val="center"/>
                    <w:rPr>
                      <w:color w:val="auto"/>
                      <w:sz w:val="18"/>
                      <w:szCs w:val="18"/>
                    </w:rPr>
                  </w:pPr>
                  <w:r>
                    <w:rPr>
                      <w:rFonts w:hint="eastAsia"/>
                      <w:color w:val="auto"/>
                      <w:sz w:val="18"/>
                      <w:szCs w:val="18"/>
                    </w:rPr>
                    <w:t>水文情势调查</w:t>
                  </w:r>
                </w:p>
              </w:tc>
              <w:tc>
                <w:tcPr>
                  <w:tcW w:w="3123" w:type="dxa"/>
                  <w:gridSpan w:val="6"/>
                  <w:tcBorders>
                    <w:tl2br w:val="nil"/>
                    <w:tr2bl w:val="nil"/>
                  </w:tcBorders>
                  <w:vAlign w:val="center"/>
                </w:tcPr>
                <w:p>
                  <w:pPr>
                    <w:jc w:val="center"/>
                    <w:rPr>
                      <w:color w:val="auto"/>
                      <w:sz w:val="18"/>
                      <w:szCs w:val="18"/>
                    </w:rPr>
                  </w:pPr>
                  <w:r>
                    <w:rPr>
                      <w:rFonts w:hint="eastAsia"/>
                      <w:color w:val="auto"/>
                      <w:sz w:val="18"/>
                      <w:szCs w:val="18"/>
                    </w:rPr>
                    <w:t>调查时期</w:t>
                  </w:r>
                </w:p>
              </w:tc>
              <w:tc>
                <w:tcPr>
                  <w:tcW w:w="3124" w:type="dxa"/>
                  <w:gridSpan w:val="6"/>
                  <w:tcBorders>
                    <w:tl2br w:val="nil"/>
                    <w:tr2bl w:val="nil"/>
                  </w:tcBorders>
                  <w:vAlign w:val="center"/>
                </w:tcPr>
                <w:p>
                  <w:pPr>
                    <w:jc w:val="center"/>
                    <w:rPr>
                      <w:color w:val="auto"/>
                      <w:sz w:val="18"/>
                      <w:szCs w:val="18"/>
                    </w:rPr>
                  </w:pPr>
                  <w:r>
                    <w:rPr>
                      <w:rFonts w:hint="eastAsia"/>
                      <w:color w:val="auto"/>
                      <w:sz w:val="18"/>
                      <w:szCs w:val="18"/>
                    </w:rPr>
                    <w:t>数据来源</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PrEx>
              <w:trPr>
                <w:jc w:val="center"/>
              </w:trPr>
              <w:tc>
                <w:tcPr>
                  <w:tcW w:w="871" w:type="dxa"/>
                  <w:vMerge w:val="continue"/>
                  <w:tcBorders>
                    <w:tl2br w:val="nil"/>
                    <w:tr2bl w:val="nil"/>
                  </w:tcBorders>
                  <w:vAlign w:val="center"/>
                </w:tcPr>
                <w:p>
                  <w:pPr>
                    <w:jc w:val="center"/>
                    <w:rPr>
                      <w:color w:val="auto"/>
                      <w:sz w:val="18"/>
                      <w:szCs w:val="18"/>
                    </w:rPr>
                  </w:pPr>
                </w:p>
              </w:tc>
              <w:tc>
                <w:tcPr>
                  <w:tcW w:w="1404" w:type="dxa"/>
                  <w:vMerge w:val="continue"/>
                  <w:tcBorders>
                    <w:tl2br w:val="nil"/>
                    <w:tr2bl w:val="nil"/>
                  </w:tcBorders>
                  <w:vAlign w:val="center"/>
                </w:tcPr>
                <w:p>
                  <w:pPr>
                    <w:jc w:val="center"/>
                    <w:rPr>
                      <w:color w:val="auto"/>
                      <w:sz w:val="18"/>
                      <w:szCs w:val="18"/>
                    </w:rPr>
                  </w:pPr>
                </w:p>
              </w:tc>
              <w:tc>
                <w:tcPr>
                  <w:tcW w:w="3123" w:type="dxa"/>
                  <w:gridSpan w:val="6"/>
                  <w:tcBorders>
                    <w:tl2br w:val="nil"/>
                    <w:tr2bl w:val="nil"/>
                  </w:tcBorders>
                  <w:vAlign w:val="center"/>
                </w:tcPr>
                <w:p>
                  <w:pPr>
                    <w:jc w:val="left"/>
                    <w:rPr>
                      <w:color w:val="auto"/>
                      <w:sz w:val="18"/>
                      <w:szCs w:val="18"/>
                    </w:rPr>
                  </w:pPr>
                  <w:r>
                    <w:rPr>
                      <w:rFonts w:hint="eastAsia"/>
                      <w:color w:val="auto"/>
                      <w:sz w:val="18"/>
                      <w:szCs w:val="18"/>
                    </w:rPr>
                    <w:t>丰水期 □；平水期 □；枯水期 □；冰封期</w:t>
                  </w:r>
                </w:p>
                <w:p>
                  <w:pPr>
                    <w:jc w:val="left"/>
                    <w:rPr>
                      <w:color w:val="auto"/>
                      <w:sz w:val="18"/>
                      <w:szCs w:val="18"/>
                    </w:rPr>
                  </w:pPr>
                  <w:r>
                    <w:rPr>
                      <w:rFonts w:hint="eastAsia"/>
                      <w:color w:val="auto"/>
                      <w:sz w:val="18"/>
                      <w:szCs w:val="18"/>
                    </w:rPr>
                    <w:t xml:space="preserve">春季 □；夏季 □；秋季 </w:t>
                  </w:r>
                  <w:r>
                    <w:rPr>
                      <w:rFonts w:hint="eastAsia"/>
                      <w:color w:val="auto"/>
                      <w:sz w:val="18"/>
                      <w:szCs w:val="18"/>
                    </w:rPr>
                    <w:sym w:font="Wingdings 2" w:char="00A3"/>
                  </w:r>
                  <w:r>
                    <w:rPr>
                      <w:rFonts w:hint="eastAsia"/>
                      <w:color w:val="auto"/>
                      <w:sz w:val="18"/>
                      <w:szCs w:val="18"/>
                    </w:rPr>
                    <w:t>；冬季 □</w:t>
                  </w:r>
                </w:p>
              </w:tc>
              <w:tc>
                <w:tcPr>
                  <w:tcW w:w="3124" w:type="dxa"/>
                  <w:gridSpan w:val="6"/>
                  <w:tcBorders>
                    <w:tl2br w:val="nil"/>
                    <w:tr2bl w:val="nil"/>
                  </w:tcBorders>
                  <w:vAlign w:val="center"/>
                </w:tcPr>
                <w:p>
                  <w:pPr>
                    <w:jc w:val="left"/>
                    <w:rPr>
                      <w:color w:val="auto"/>
                      <w:sz w:val="18"/>
                      <w:szCs w:val="18"/>
                    </w:rPr>
                  </w:pPr>
                  <w:r>
                    <w:rPr>
                      <w:rFonts w:hint="eastAsia"/>
                      <w:color w:val="auto"/>
                      <w:sz w:val="18"/>
                      <w:szCs w:val="18"/>
                    </w:rPr>
                    <w:t xml:space="preserve">水行政主管部门 □；补充监测 □；其他 </w:t>
                  </w:r>
                  <w:r>
                    <w:rPr>
                      <w:color w:val="auto"/>
                      <w:sz w:val="18"/>
                      <w:szCs w:val="18"/>
                    </w:rPr>
                    <w:sym w:font="Wingdings 2" w:char="0052"/>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PrEx>
              <w:trPr>
                <w:jc w:val="center"/>
              </w:trPr>
              <w:tc>
                <w:tcPr>
                  <w:tcW w:w="871" w:type="dxa"/>
                  <w:vMerge w:val="continue"/>
                  <w:tcBorders>
                    <w:tl2br w:val="nil"/>
                    <w:tr2bl w:val="nil"/>
                  </w:tcBorders>
                  <w:vAlign w:val="center"/>
                </w:tcPr>
                <w:p>
                  <w:pPr>
                    <w:jc w:val="center"/>
                    <w:rPr>
                      <w:color w:val="auto"/>
                      <w:sz w:val="18"/>
                      <w:szCs w:val="18"/>
                    </w:rPr>
                  </w:pPr>
                </w:p>
              </w:tc>
              <w:tc>
                <w:tcPr>
                  <w:tcW w:w="1404" w:type="dxa"/>
                  <w:vMerge w:val="restart"/>
                  <w:tcBorders>
                    <w:tl2br w:val="nil"/>
                    <w:tr2bl w:val="nil"/>
                  </w:tcBorders>
                  <w:vAlign w:val="center"/>
                </w:tcPr>
                <w:p>
                  <w:pPr>
                    <w:jc w:val="center"/>
                    <w:rPr>
                      <w:color w:val="auto"/>
                      <w:sz w:val="18"/>
                      <w:szCs w:val="18"/>
                    </w:rPr>
                  </w:pPr>
                  <w:r>
                    <w:rPr>
                      <w:rFonts w:hint="eastAsia"/>
                      <w:color w:val="auto"/>
                      <w:sz w:val="18"/>
                      <w:szCs w:val="18"/>
                    </w:rPr>
                    <w:t>补充监测</w:t>
                  </w:r>
                </w:p>
              </w:tc>
              <w:tc>
                <w:tcPr>
                  <w:tcW w:w="2081" w:type="dxa"/>
                  <w:gridSpan w:val="4"/>
                  <w:tcBorders>
                    <w:tl2br w:val="nil"/>
                    <w:tr2bl w:val="nil"/>
                  </w:tcBorders>
                  <w:vAlign w:val="center"/>
                </w:tcPr>
                <w:p>
                  <w:pPr>
                    <w:jc w:val="center"/>
                    <w:rPr>
                      <w:color w:val="auto"/>
                      <w:sz w:val="18"/>
                      <w:szCs w:val="18"/>
                    </w:rPr>
                  </w:pPr>
                  <w:r>
                    <w:rPr>
                      <w:rFonts w:hint="eastAsia"/>
                      <w:color w:val="auto"/>
                      <w:sz w:val="18"/>
                      <w:szCs w:val="18"/>
                    </w:rPr>
                    <w:t>监测时期</w:t>
                  </w:r>
                </w:p>
              </w:tc>
              <w:tc>
                <w:tcPr>
                  <w:tcW w:w="2082" w:type="dxa"/>
                  <w:gridSpan w:val="5"/>
                  <w:tcBorders>
                    <w:tl2br w:val="nil"/>
                    <w:tr2bl w:val="nil"/>
                  </w:tcBorders>
                  <w:vAlign w:val="center"/>
                </w:tcPr>
                <w:p>
                  <w:pPr>
                    <w:jc w:val="center"/>
                    <w:rPr>
                      <w:color w:val="auto"/>
                      <w:sz w:val="18"/>
                      <w:szCs w:val="18"/>
                    </w:rPr>
                  </w:pPr>
                  <w:r>
                    <w:rPr>
                      <w:rFonts w:hint="eastAsia"/>
                      <w:color w:val="auto"/>
                      <w:sz w:val="18"/>
                      <w:szCs w:val="18"/>
                    </w:rPr>
                    <w:t>监测因子</w:t>
                  </w:r>
                </w:p>
              </w:tc>
              <w:tc>
                <w:tcPr>
                  <w:tcW w:w="2084" w:type="dxa"/>
                  <w:gridSpan w:val="3"/>
                  <w:tcBorders>
                    <w:tl2br w:val="nil"/>
                    <w:tr2bl w:val="nil"/>
                  </w:tcBorders>
                  <w:vAlign w:val="center"/>
                </w:tcPr>
                <w:p>
                  <w:pPr>
                    <w:jc w:val="center"/>
                    <w:rPr>
                      <w:color w:val="auto"/>
                      <w:sz w:val="18"/>
                      <w:szCs w:val="18"/>
                    </w:rPr>
                  </w:pPr>
                  <w:r>
                    <w:rPr>
                      <w:rFonts w:hint="eastAsia"/>
                      <w:color w:val="auto"/>
                      <w:sz w:val="18"/>
                      <w:szCs w:val="18"/>
                    </w:rPr>
                    <w:t>监测断面或点位</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871" w:type="dxa"/>
                  <w:vMerge w:val="continue"/>
                  <w:tcBorders>
                    <w:tl2br w:val="nil"/>
                    <w:tr2bl w:val="nil"/>
                  </w:tcBorders>
                  <w:vAlign w:val="center"/>
                </w:tcPr>
                <w:p>
                  <w:pPr>
                    <w:jc w:val="center"/>
                    <w:rPr>
                      <w:color w:val="auto"/>
                      <w:sz w:val="18"/>
                      <w:szCs w:val="18"/>
                    </w:rPr>
                  </w:pPr>
                </w:p>
              </w:tc>
              <w:tc>
                <w:tcPr>
                  <w:tcW w:w="1404" w:type="dxa"/>
                  <w:vMerge w:val="continue"/>
                  <w:tcBorders>
                    <w:tl2br w:val="nil"/>
                    <w:tr2bl w:val="nil"/>
                  </w:tcBorders>
                  <w:vAlign w:val="center"/>
                </w:tcPr>
                <w:p>
                  <w:pPr>
                    <w:jc w:val="center"/>
                    <w:rPr>
                      <w:color w:val="auto"/>
                      <w:sz w:val="18"/>
                      <w:szCs w:val="18"/>
                    </w:rPr>
                  </w:pPr>
                </w:p>
              </w:tc>
              <w:tc>
                <w:tcPr>
                  <w:tcW w:w="2081" w:type="dxa"/>
                  <w:gridSpan w:val="4"/>
                  <w:tcBorders>
                    <w:tl2br w:val="nil"/>
                    <w:tr2bl w:val="nil"/>
                  </w:tcBorders>
                  <w:vAlign w:val="center"/>
                </w:tcPr>
                <w:p>
                  <w:pPr>
                    <w:jc w:val="left"/>
                    <w:rPr>
                      <w:color w:val="auto"/>
                      <w:sz w:val="18"/>
                      <w:szCs w:val="18"/>
                    </w:rPr>
                  </w:pPr>
                  <w:r>
                    <w:rPr>
                      <w:rFonts w:hint="eastAsia"/>
                      <w:color w:val="auto"/>
                      <w:sz w:val="18"/>
                      <w:szCs w:val="18"/>
                    </w:rPr>
                    <w:t xml:space="preserve">丰水期 □；平水期 □；枯水期 □；冰封期 □ </w:t>
                  </w:r>
                </w:p>
                <w:p>
                  <w:pPr>
                    <w:jc w:val="left"/>
                    <w:rPr>
                      <w:color w:val="auto"/>
                      <w:sz w:val="18"/>
                      <w:szCs w:val="18"/>
                    </w:rPr>
                  </w:pPr>
                  <w:r>
                    <w:rPr>
                      <w:rFonts w:hint="eastAsia"/>
                      <w:color w:val="auto"/>
                      <w:sz w:val="18"/>
                      <w:szCs w:val="18"/>
                    </w:rPr>
                    <w:t xml:space="preserve">春季 </w:t>
                  </w:r>
                  <w:r>
                    <w:rPr>
                      <w:rFonts w:hint="eastAsia"/>
                      <w:color w:val="auto"/>
                      <w:sz w:val="18"/>
                      <w:szCs w:val="18"/>
                    </w:rPr>
                    <w:sym w:font="Wingdings 2" w:char="00A3"/>
                  </w:r>
                  <w:r>
                    <w:rPr>
                      <w:rFonts w:hint="eastAsia"/>
                      <w:color w:val="auto"/>
                      <w:sz w:val="18"/>
                      <w:szCs w:val="18"/>
                    </w:rPr>
                    <w:t xml:space="preserve">；夏季 □；秋季 </w:t>
                  </w:r>
                  <w:r>
                    <w:rPr>
                      <w:rFonts w:hint="eastAsia"/>
                      <w:color w:val="auto"/>
                      <w:sz w:val="18"/>
                      <w:szCs w:val="18"/>
                    </w:rPr>
                    <w:sym w:font="Wingdings 2" w:char="0052"/>
                  </w:r>
                  <w:r>
                    <w:rPr>
                      <w:rFonts w:hint="eastAsia"/>
                      <w:color w:val="auto"/>
                      <w:sz w:val="18"/>
                      <w:szCs w:val="18"/>
                    </w:rPr>
                    <w:t xml:space="preserve">；冬季 </w:t>
                  </w:r>
                  <w:r>
                    <w:rPr>
                      <w:color w:val="auto"/>
                      <w:sz w:val="18"/>
                      <w:szCs w:val="18"/>
                    </w:rPr>
                    <w:sym w:font="Wingdings 2" w:char="00A3"/>
                  </w:r>
                </w:p>
              </w:tc>
              <w:tc>
                <w:tcPr>
                  <w:tcW w:w="2082" w:type="dxa"/>
                  <w:gridSpan w:val="5"/>
                  <w:tcBorders>
                    <w:tl2br w:val="nil"/>
                    <w:tr2bl w:val="nil"/>
                  </w:tcBorders>
                  <w:vAlign w:val="center"/>
                </w:tcPr>
                <w:p>
                  <w:pPr>
                    <w:jc w:val="center"/>
                    <w:rPr>
                      <w:color w:val="auto"/>
                      <w:sz w:val="18"/>
                      <w:szCs w:val="18"/>
                    </w:rPr>
                  </w:pPr>
                  <w:r>
                    <w:rPr>
                      <w:rFonts w:hint="eastAsia"/>
                      <w:color w:val="auto"/>
                      <w:sz w:val="18"/>
                      <w:szCs w:val="18"/>
                    </w:rPr>
                    <w:t>（</w:t>
                  </w:r>
                  <w:r>
                    <w:rPr>
                      <w:rFonts w:hint="eastAsia"/>
                      <w:color w:val="auto"/>
                      <w:sz w:val="18"/>
                      <w:szCs w:val="18"/>
                      <w:lang w:val="en-GB"/>
                    </w:rPr>
                    <w:t>pH、COD、氨氮、总磷、</w:t>
                  </w:r>
                  <w:r>
                    <w:rPr>
                      <w:color w:val="auto"/>
                      <w:sz w:val="18"/>
                      <w:szCs w:val="18"/>
                      <w:lang w:val="en-GB"/>
                    </w:rPr>
                    <w:t>石油类</w:t>
                  </w:r>
                  <w:r>
                    <w:rPr>
                      <w:rFonts w:hint="eastAsia"/>
                      <w:color w:val="auto"/>
                      <w:sz w:val="18"/>
                      <w:szCs w:val="18"/>
                    </w:rPr>
                    <w:t>）</w:t>
                  </w:r>
                </w:p>
              </w:tc>
              <w:tc>
                <w:tcPr>
                  <w:tcW w:w="2084" w:type="dxa"/>
                  <w:gridSpan w:val="3"/>
                  <w:tcBorders>
                    <w:tl2br w:val="nil"/>
                    <w:tr2bl w:val="nil"/>
                  </w:tcBorders>
                  <w:vAlign w:val="center"/>
                </w:tcPr>
                <w:p>
                  <w:pPr>
                    <w:jc w:val="center"/>
                    <w:rPr>
                      <w:color w:val="auto"/>
                      <w:sz w:val="18"/>
                      <w:szCs w:val="18"/>
                    </w:rPr>
                  </w:pPr>
                  <w:r>
                    <w:rPr>
                      <w:rFonts w:hint="eastAsia"/>
                      <w:color w:val="auto"/>
                      <w:sz w:val="18"/>
                      <w:szCs w:val="18"/>
                    </w:rPr>
                    <w:t>监测断面或点位个数</w:t>
                  </w:r>
                </w:p>
                <w:p>
                  <w:pPr>
                    <w:jc w:val="center"/>
                    <w:rPr>
                      <w:color w:val="auto"/>
                      <w:sz w:val="18"/>
                      <w:szCs w:val="18"/>
                    </w:rPr>
                  </w:pPr>
                  <w:r>
                    <w:rPr>
                      <w:rFonts w:hint="eastAsia"/>
                      <w:color w:val="auto"/>
                      <w:sz w:val="18"/>
                      <w:szCs w:val="18"/>
                    </w:rPr>
                    <w:t xml:space="preserve">（2）个 </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871" w:type="dxa"/>
                  <w:vMerge w:val="restart"/>
                  <w:tcBorders>
                    <w:tl2br w:val="nil"/>
                    <w:tr2bl w:val="nil"/>
                  </w:tcBorders>
                  <w:vAlign w:val="center"/>
                </w:tcPr>
                <w:p>
                  <w:pPr>
                    <w:jc w:val="center"/>
                    <w:rPr>
                      <w:color w:val="auto"/>
                      <w:sz w:val="18"/>
                      <w:szCs w:val="18"/>
                    </w:rPr>
                  </w:pPr>
                  <w:r>
                    <w:rPr>
                      <w:rFonts w:hint="eastAsia"/>
                      <w:color w:val="auto"/>
                      <w:sz w:val="18"/>
                      <w:szCs w:val="18"/>
                    </w:rPr>
                    <w:t>现</w:t>
                  </w:r>
                </w:p>
                <w:p>
                  <w:pPr>
                    <w:jc w:val="center"/>
                    <w:rPr>
                      <w:color w:val="auto"/>
                      <w:sz w:val="18"/>
                      <w:szCs w:val="18"/>
                    </w:rPr>
                  </w:pPr>
                  <w:r>
                    <w:rPr>
                      <w:rFonts w:hint="eastAsia"/>
                      <w:color w:val="auto"/>
                      <w:sz w:val="18"/>
                      <w:szCs w:val="18"/>
                    </w:rPr>
                    <w:t>状</w:t>
                  </w:r>
                </w:p>
                <w:p>
                  <w:pPr>
                    <w:jc w:val="center"/>
                    <w:rPr>
                      <w:color w:val="auto"/>
                      <w:sz w:val="18"/>
                      <w:szCs w:val="18"/>
                    </w:rPr>
                  </w:pPr>
                  <w:r>
                    <w:rPr>
                      <w:rFonts w:hint="eastAsia"/>
                      <w:color w:val="auto"/>
                      <w:sz w:val="18"/>
                      <w:szCs w:val="18"/>
                    </w:rPr>
                    <w:t>评</w:t>
                  </w:r>
                </w:p>
                <w:p>
                  <w:pPr>
                    <w:jc w:val="center"/>
                    <w:rPr>
                      <w:color w:val="auto"/>
                      <w:sz w:val="18"/>
                      <w:szCs w:val="18"/>
                    </w:rPr>
                  </w:pPr>
                  <w:r>
                    <w:rPr>
                      <w:rFonts w:hint="eastAsia"/>
                      <w:color w:val="auto"/>
                      <w:sz w:val="18"/>
                      <w:szCs w:val="18"/>
                    </w:rPr>
                    <w:t>价</w:t>
                  </w:r>
                </w:p>
              </w:tc>
              <w:tc>
                <w:tcPr>
                  <w:tcW w:w="1404" w:type="dxa"/>
                  <w:tcBorders>
                    <w:tl2br w:val="nil"/>
                    <w:tr2bl w:val="nil"/>
                  </w:tcBorders>
                  <w:vAlign w:val="center"/>
                </w:tcPr>
                <w:p>
                  <w:pPr>
                    <w:jc w:val="center"/>
                    <w:rPr>
                      <w:color w:val="auto"/>
                      <w:sz w:val="18"/>
                      <w:szCs w:val="18"/>
                    </w:rPr>
                  </w:pPr>
                  <w:r>
                    <w:rPr>
                      <w:rFonts w:hint="eastAsia"/>
                      <w:color w:val="auto"/>
                      <w:sz w:val="18"/>
                      <w:szCs w:val="18"/>
                    </w:rPr>
                    <w:t>评价范围</w:t>
                  </w:r>
                </w:p>
              </w:tc>
              <w:tc>
                <w:tcPr>
                  <w:tcW w:w="6247" w:type="dxa"/>
                  <w:gridSpan w:val="12"/>
                  <w:tcBorders>
                    <w:tl2br w:val="nil"/>
                    <w:tr2bl w:val="nil"/>
                  </w:tcBorders>
                  <w:vAlign w:val="center"/>
                </w:tcPr>
                <w:p>
                  <w:pPr>
                    <w:jc w:val="left"/>
                    <w:rPr>
                      <w:color w:val="auto"/>
                      <w:sz w:val="18"/>
                      <w:szCs w:val="18"/>
                    </w:rPr>
                  </w:pPr>
                  <w:r>
                    <w:rPr>
                      <w:rFonts w:hint="eastAsia"/>
                      <w:color w:val="auto"/>
                      <w:sz w:val="18"/>
                      <w:szCs w:val="18"/>
                    </w:rPr>
                    <w:t>河流：长度（1.5）km；湖库、河口及近岸海域：面积（/）km</w:t>
                  </w:r>
                  <w:r>
                    <w:rPr>
                      <w:rFonts w:hint="eastAsia"/>
                      <w:color w:val="auto"/>
                      <w:sz w:val="18"/>
                      <w:szCs w:val="18"/>
                      <w:vertAlign w:val="superscript"/>
                    </w:rPr>
                    <w:t>2</w:t>
                  </w:r>
                  <w:r>
                    <w:rPr>
                      <w:rFonts w:hint="eastAsia"/>
                      <w:color w:val="auto"/>
                      <w:sz w:val="18"/>
                      <w:szCs w:val="18"/>
                    </w:rPr>
                    <w:t xml:space="preserve"> </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871" w:type="dxa"/>
                  <w:vMerge w:val="continue"/>
                  <w:tcBorders>
                    <w:tl2br w:val="nil"/>
                    <w:tr2bl w:val="nil"/>
                  </w:tcBorders>
                  <w:vAlign w:val="center"/>
                </w:tcPr>
                <w:p>
                  <w:pPr>
                    <w:jc w:val="center"/>
                    <w:rPr>
                      <w:color w:val="auto"/>
                      <w:sz w:val="18"/>
                      <w:szCs w:val="18"/>
                    </w:rPr>
                  </w:pPr>
                </w:p>
              </w:tc>
              <w:tc>
                <w:tcPr>
                  <w:tcW w:w="1404" w:type="dxa"/>
                  <w:tcBorders>
                    <w:tl2br w:val="nil"/>
                    <w:tr2bl w:val="nil"/>
                  </w:tcBorders>
                  <w:vAlign w:val="center"/>
                </w:tcPr>
                <w:p>
                  <w:pPr>
                    <w:jc w:val="center"/>
                    <w:rPr>
                      <w:color w:val="auto"/>
                      <w:sz w:val="18"/>
                      <w:szCs w:val="18"/>
                    </w:rPr>
                  </w:pPr>
                  <w:r>
                    <w:rPr>
                      <w:rFonts w:hint="eastAsia"/>
                      <w:color w:val="auto"/>
                      <w:sz w:val="18"/>
                      <w:szCs w:val="18"/>
                    </w:rPr>
                    <w:t>评价因子</w:t>
                  </w:r>
                </w:p>
              </w:tc>
              <w:tc>
                <w:tcPr>
                  <w:tcW w:w="6247" w:type="dxa"/>
                  <w:gridSpan w:val="12"/>
                  <w:tcBorders>
                    <w:tl2br w:val="nil"/>
                    <w:tr2bl w:val="nil"/>
                  </w:tcBorders>
                  <w:vAlign w:val="center"/>
                </w:tcPr>
                <w:p>
                  <w:pPr>
                    <w:jc w:val="center"/>
                    <w:rPr>
                      <w:color w:val="auto"/>
                      <w:sz w:val="18"/>
                      <w:szCs w:val="18"/>
                    </w:rPr>
                  </w:pPr>
                  <w:r>
                    <w:rPr>
                      <w:rFonts w:hint="eastAsia"/>
                      <w:color w:val="auto"/>
                      <w:sz w:val="18"/>
                      <w:szCs w:val="18"/>
                    </w:rPr>
                    <w:t>（/）</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871" w:type="dxa"/>
                  <w:vMerge w:val="continue"/>
                  <w:tcBorders>
                    <w:tl2br w:val="nil"/>
                    <w:tr2bl w:val="nil"/>
                  </w:tcBorders>
                  <w:vAlign w:val="center"/>
                </w:tcPr>
                <w:p>
                  <w:pPr>
                    <w:jc w:val="center"/>
                    <w:rPr>
                      <w:color w:val="auto"/>
                      <w:sz w:val="18"/>
                      <w:szCs w:val="18"/>
                    </w:rPr>
                  </w:pPr>
                </w:p>
              </w:tc>
              <w:tc>
                <w:tcPr>
                  <w:tcW w:w="1404" w:type="dxa"/>
                  <w:tcBorders>
                    <w:tl2br w:val="nil"/>
                    <w:tr2bl w:val="nil"/>
                  </w:tcBorders>
                  <w:vAlign w:val="center"/>
                </w:tcPr>
                <w:p>
                  <w:pPr>
                    <w:jc w:val="center"/>
                    <w:rPr>
                      <w:color w:val="auto"/>
                      <w:sz w:val="18"/>
                      <w:szCs w:val="18"/>
                    </w:rPr>
                  </w:pPr>
                  <w:r>
                    <w:rPr>
                      <w:rFonts w:hint="eastAsia"/>
                      <w:color w:val="auto"/>
                      <w:sz w:val="18"/>
                      <w:szCs w:val="18"/>
                    </w:rPr>
                    <w:t>评价标准</w:t>
                  </w:r>
                </w:p>
              </w:tc>
              <w:tc>
                <w:tcPr>
                  <w:tcW w:w="6247" w:type="dxa"/>
                  <w:gridSpan w:val="12"/>
                  <w:tcBorders>
                    <w:tl2br w:val="nil"/>
                    <w:tr2bl w:val="nil"/>
                  </w:tcBorders>
                  <w:vAlign w:val="center"/>
                </w:tcPr>
                <w:p>
                  <w:pPr>
                    <w:jc w:val="left"/>
                    <w:rPr>
                      <w:color w:val="auto"/>
                      <w:sz w:val="18"/>
                      <w:szCs w:val="18"/>
                    </w:rPr>
                  </w:pPr>
                  <w:r>
                    <w:rPr>
                      <w:rFonts w:hint="eastAsia"/>
                      <w:color w:val="auto"/>
                      <w:sz w:val="18"/>
                      <w:szCs w:val="18"/>
                    </w:rPr>
                    <w:t xml:space="preserve">河流、湖库、河口：Ⅰ类 □；Ⅱ类 □；Ⅲ类 □；Ⅳ类 </w:t>
                  </w:r>
                  <w:r>
                    <w:rPr>
                      <w:rFonts w:hint="eastAsia"/>
                      <w:color w:val="auto"/>
                      <w:sz w:val="18"/>
                      <w:szCs w:val="18"/>
                    </w:rPr>
                    <w:sym w:font="Wingdings 2" w:char="0052"/>
                  </w:r>
                  <w:r>
                    <w:rPr>
                      <w:rFonts w:hint="eastAsia"/>
                      <w:color w:val="auto"/>
                      <w:sz w:val="18"/>
                      <w:szCs w:val="18"/>
                    </w:rPr>
                    <w:t xml:space="preserve">；Ⅴ类 □ </w:t>
                  </w:r>
                </w:p>
                <w:p>
                  <w:pPr>
                    <w:jc w:val="left"/>
                    <w:rPr>
                      <w:color w:val="auto"/>
                      <w:sz w:val="18"/>
                      <w:szCs w:val="18"/>
                    </w:rPr>
                  </w:pPr>
                  <w:r>
                    <w:rPr>
                      <w:rFonts w:hint="eastAsia"/>
                      <w:color w:val="auto"/>
                      <w:sz w:val="18"/>
                      <w:szCs w:val="18"/>
                    </w:rPr>
                    <w:t xml:space="preserve">近岸海域：第一类 □；第二类 □；第三类 □；第四类 □ </w:t>
                  </w:r>
                </w:p>
                <w:p>
                  <w:pPr>
                    <w:jc w:val="left"/>
                    <w:rPr>
                      <w:color w:val="auto"/>
                      <w:sz w:val="18"/>
                      <w:szCs w:val="18"/>
                    </w:rPr>
                  </w:pPr>
                  <w:r>
                    <w:rPr>
                      <w:rFonts w:hint="eastAsia"/>
                      <w:color w:val="auto"/>
                      <w:sz w:val="18"/>
                      <w:szCs w:val="18"/>
                    </w:rPr>
                    <w:t xml:space="preserve">规划年评价标准（/） </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PrEx>
              <w:trPr>
                <w:jc w:val="center"/>
              </w:trPr>
              <w:tc>
                <w:tcPr>
                  <w:tcW w:w="871" w:type="dxa"/>
                  <w:vMerge w:val="continue"/>
                  <w:tcBorders>
                    <w:tl2br w:val="nil"/>
                    <w:tr2bl w:val="nil"/>
                  </w:tcBorders>
                  <w:vAlign w:val="center"/>
                </w:tcPr>
                <w:p>
                  <w:pPr>
                    <w:jc w:val="center"/>
                    <w:rPr>
                      <w:color w:val="auto"/>
                      <w:sz w:val="18"/>
                      <w:szCs w:val="18"/>
                    </w:rPr>
                  </w:pPr>
                </w:p>
              </w:tc>
              <w:tc>
                <w:tcPr>
                  <w:tcW w:w="1404" w:type="dxa"/>
                  <w:tcBorders>
                    <w:tl2br w:val="nil"/>
                    <w:tr2bl w:val="nil"/>
                  </w:tcBorders>
                  <w:vAlign w:val="center"/>
                </w:tcPr>
                <w:p>
                  <w:pPr>
                    <w:jc w:val="center"/>
                    <w:rPr>
                      <w:color w:val="auto"/>
                      <w:sz w:val="18"/>
                      <w:szCs w:val="18"/>
                    </w:rPr>
                  </w:pPr>
                  <w:r>
                    <w:rPr>
                      <w:rFonts w:hint="eastAsia"/>
                      <w:color w:val="auto"/>
                      <w:sz w:val="18"/>
                      <w:szCs w:val="18"/>
                    </w:rPr>
                    <w:t>评价时期</w:t>
                  </w:r>
                </w:p>
              </w:tc>
              <w:tc>
                <w:tcPr>
                  <w:tcW w:w="6247" w:type="dxa"/>
                  <w:gridSpan w:val="12"/>
                  <w:tcBorders>
                    <w:tl2br w:val="nil"/>
                    <w:tr2bl w:val="nil"/>
                  </w:tcBorders>
                  <w:vAlign w:val="center"/>
                </w:tcPr>
                <w:p>
                  <w:pPr>
                    <w:jc w:val="left"/>
                    <w:rPr>
                      <w:color w:val="auto"/>
                      <w:sz w:val="18"/>
                      <w:szCs w:val="18"/>
                    </w:rPr>
                  </w:pPr>
                  <w:r>
                    <w:rPr>
                      <w:rFonts w:hint="eastAsia"/>
                      <w:color w:val="auto"/>
                      <w:sz w:val="18"/>
                      <w:szCs w:val="18"/>
                    </w:rPr>
                    <w:t xml:space="preserve">丰水期 □；平水期 □；枯水期 □；冰封期 □ </w:t>
                  </w:r>
                </w:p>
                <w:p>
                  <w:pPr>
                    <w:jc w:val="left"/>
                    <w:rPr>
                      <w:color w:val="auto"/>
                      <w:sz w:val="18"/>
                      <w:szCs w:val="18"/>
                    </w:rPr>
                  </w:pPr>
                  <w:r>
                    <w:rPr>
                      <w:rFonts w:hint="eastAsia"/>
                      <w:color w:val="auto"/>
                      <w:sz w:val="18"/>
                      <w:szCs w:val="18"/>
                    </w:rPr>
                    <w:t xml:space="preserve">春季 </w:t>
                  </w:r>
                  <w:r>
                    <w:rPr>
                      <w:rFonts w:hint="eastAsia"/>
                      <w:color w:val="auto"/>
                      <w:sz w:val="18"/>
                      <w:szCs w:val="18"/>
                    </w:rPr>
                    <w:sym w:font="Wingdings 2" w:char="00A3"/>
                  </w:r>
                  <w:r>
                    <w:rPr>
                      <w:rFonts w:hint="eastAsia"/>
                      <w:color w:val="auto"/>
                      <w:sz w:val="18"/>
                      <w:szCs w:val="18"/>
                    </w:rPr>
                    <w:t xml:space="preserve">；夏季 □；秋季 </w:t>
                  </w:r>
                  <w:r>
                    <w:rPr>
                      <w:rFonts w:hint="eastAsia"/>
                      <w:color w:val="auto"/>
                      <w:sz w:val="18"/>
                      <w:szCs w:val="18"/>
                    </w:rPr>
                    <w:sym w:font="Wingdings 2" w:char="0052"/>
                  </w:r>
                  <w:r>
                    <w:rPr>
                      <w:rFonts w:hint="eastAsia"/>
                      <w:color w:val="auto"/>
                      <w:sz w:val="18"/>
                      <w:szCs w:val="18"/>
                    </w:rPr>
                    <w:t xml:space="preserve">；冬季 </w:t>
                  </w:r>
                  <w:r>
                    <w:rPr>
                      <w:color w:val="auto"/>
                      <w:sz w:val="18"/>
                      <w:szCs w:val="18"/>
                    </w:rPr>
                    <w:sym w:font="Wingdings 2" w:char="00A3"/>
                  </w:r>
                  <w:r>
                    <w:rPr>
                      <w:rFonts w:hint="eastAsia"/>
                      <w:color w:val="auto"/>
                      <w:sz w:val="18"/>
                      <w:szCs w:val="18"/>
                    </w:rPr>
                    <w:t xml:space="preserve"> </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PrEx>
              <w:trPr>
                <w:jc w:val="center"/>
              </w:trPr>
              <w:tc>
                <w:tcPr>
                  <w:tcW w:w="871" w:type="dxa"/>
                  <w:vMerge w:val="continue"/>
                  <w:tcBorders>
                    <w:tl2br w:val="nil"/>
                    <w:tr2bl w:val="nil"/>
                  </w:tcBorders>
                  <w:vAlign w:val="center"/>
                </w:tcPr>
                <w:p>
                  <w:pPr>
                    <w:jc w:val="center"/>
                    <w:rPr>
                      <w:color w:val="auto"/>
                      <w:sz w:val="18"/>
                      <w:szCs w:val="18"/>
                    </w:rPr>
                  </w:pPr>
                </w:p>
              </w:tc>
              <w:tc>
                <w:tcPr>
                  <w:tcW w:w="1404" w:type="dxa"/>
                  <w:tcBorders>
                    <w:tl2br w:val="nil"/>
                    <w:tr2bl w:val="nil"/>
                  </w:tcBorders>
                  <w:vAlign w:val="center"/>
                </w:tcPr>
                <w:p>
                  <w:pPr>
                    <w:jc w:val="center"/>
                    <w:rPr>
                      <w:color w:val="auto"/>
                      <w:sz w:val="18"/>
                      <w:szCs w:val="18"/>
                    </w:rPr>
                  </w:pPr>
                  <w:r>
                    <w:rPr>
                      <w:rFonts w:hint="eastAsia"/>
                      <w:color w:val="auto"/>
                      <w:sz w:val="18"/>
                      <w:szCs w:val="18"/>
                    </w:rPr>
                    <w:t>评价结论</w:t>
                  </w:r>
                </w:p>
              </w:tc>
              <w:tc>
                <w:tcPr>
                  <w:tcW w:w="4949" w:type="dxa"/>
                  <w:gridSpan w:val="10"/>
                  <w:tcBorders>
                    <w:tl2br w:val="nil"/>
                    <w:tr2bl w:val="nil"/>
                  </w:tcBorders>
                  <w:vAlign w:val="center"/>
                </w:tcPr>
                <w:p>
                  <w:pPr>
                    <w:jc w:val="left"/>
                    <w:rPr>
                      <w:color w:val="auto"/>
                      <w:sz w:val="18"/>
                      <w:szCs w:val="18"/>
                    </w:rPr>
                  </w:pPr>
                  <w:r>
                    <w:rPr>
                      <w:rFonts w:hint="eastAsia"/>
                      <w:color w:val="auto"/>
                      <w:sz w:val="18"/>
                      <w:szCs w:val="18"/>
                    </w:rPr>
                    <w:t xml:space="preserve">水环境功能区或水功能区、近岸海域环境功能区水质达标状况 □：达标 </w:t>
                  </w:r>
                  <w:r>
                    <w:rPr>
                      <w:color w:val="auto"/>
                      <w:sz w:val="18"/>
                      <w:szCs w:val="18"/>
                    </w:rPr>
                    <w:sym w:font="Wingdings 2" w:char="0052"/>
                  </w:r>
                  <w:r>
                    <w:rPr>
                      <w:rFonts w:hint="eastAsia"/>
                      <w:color w:val="auto"/>
                      <w:sz w:val="18"/>
                      <w:szCs w:val="18"/>
                    </w:rPr>
                    <w:t xml:space="preserve">；不达标 □ </w:t>
                  </w:r>
                </w:p>
                <w:p>
                  <w:pPr>
                    <w:jc w:val="left"/>
                    <w:rPr>
                      <w:color w:val="auto"/>
                      <w:sz w:val="18"/>
                      <w:szCs w:val="18"/>
                    </w:rPr>
                  </w:pPr>
                  <w:r>
                    <w:rPr>
                      <w:rFonts w:hint="eastAsia"/>
                      <w:color w:val="auto"/>
                      <w:sz w:val="18"/>
                      <w:szCs w:val="18"/>
                    </w:rPr>
                    <w:t xml:space="preserve">水环境控制单元或断面水质达标状况 □：达标 </w:t>
                  </w:r>
                  <w:r>
                    <w:rPr>
                      <w:color w:val="auto"/>
                      <w:sz w:val="18"/>
                      <w:szCs w:val="18"/>
                    </w:rPr>
                    <w:sym w:font="Wingdings 2" w:char="0052"/>
                  </w:r>
                  <w:r>
                    <w:rPr>
                      <w:rFonts w:hint="eastAsia"/>
                      <w:color w:val="auto"/>
                      <w:sz w:val="18"/>
                      <w:szCs w:val="18"/>
                    </w:rPr>
                    <w:t>；不达标 □</w:t>
                  </w:r>
                </w:p>
                <w:p>
                  <w:pPr>
                    <w:jc w:val="left"/>
                    <w:rPr>
                      <w:color w:val="auto"/>
                      <w:sz w:val="18"/>
                      <w:szCs w:val="18"/>
                    </w:rPr>
                  </w:pPr>
                  <w:r>
                    <w:rPr>
                      <w:rFonts w:hint="eastAsia"/>
                      <w:color w:val="auto"/>
                      <w:sz w:val="18"/>
                      <w:szCs w:val="18"/>
                    </w:rPr>
                    <w:t xml:space="preserve">水环境保护目标质量状况 □：达标 □；不达标 □ </w:t>
                  </w:r>
                </w:p>
                <w:p>
                  <w:pPr>
                    <w:jc w:val="left"/>
                    <w:rPr>
                      <w:color w:val="auto"/>
                      <w:sz w:val="18"/>
                      <w:szCs w:val="18"/>
                    </w:rPr>
                  </w:pPr>
                  <w:r>
                    <w:rPr>
                      <w:rFonts w:hint="eastAsia"/>
                      <w:color w:val="auto"/>
                      <w:sz w:val="18"/>
                      <w:szCs w:val="18"/>
                    </w:rPr>
                    <w:t xml:space="preserve">对照断面、控制断面等代表性断面的水质状况 □：达标 </w:t>
                  </w:r>
                  <w:r>
                    <w:rPr>
                      <w:color w:val="auto"/>
                      <w:sz w:val="18"/>
                      <w:szCs w:val="18"/>
                    </w:rPr>
                    <w:sym w:font="Wingdings 2" w:char="0052"/>
                  </w:r>
                  <w:r>
                    <w:rPr>
                      <w:rFonts w:hint="eastAsia"/>
                      <w:color w:val="auto"/>
                      <w:sz w:val="18"/>
                      <w:szCs w:val="18"/>
                    </w:rPr>
                    <w:t>；不达标 □</w:t>
                  </w:r>
                </w:p>
                <w:p>
                  <w:pPr>
                    <w:jc w:val="left"/>
                    <w:rPr>
                      <w:color w:val="auto"/>
                      <w:sz w:val="18"/>
                      <w:szCs w:val="18"/>
                    </w:rPr>
                  </w:pPr>
                  <w:r>
                    <w:rPr>
                      <w:rFonts w:hint="eastAsia"/>
                      <w:color w:val="auto"/>
                      <w:sz w:val="18"/>
                      <w:szCs w:val="18"/>
                    </w:rPr>
                    <w:t xml:space="preserve">底泥污染评价 □ </w:t>
                  </w:r>
                </w:p>
                <w:p>
                  <w:pPr>
                    <w:jc w:val="left"/>
                    <w:rPr>
                      <w:color w:val="auto"/>
                      <w:sz w:val="18"/>
                      <w:szCs w:val="18"/>
                    </w:rPr>
                  </w:pPr>
                  <w:r>
                    <w:rPr>
                      <w:rFonts w:hint="eastAsia"/>
                      <w:color w:val="auto"/>
                      <w:sz w:val="18"/>
                      <w:szCs w:val="18"/>
                    </w:rPr>
                    <w:t xml:space="preserve">水资源与开发利用程度及其水文情势评价 □ </w:t>
                  </w:r>
                </w:p>
                <w:p>
                  <w:pPr>
                    <w:jc w:val="left"/>
                    <w:rPr>
                      <w:color w:val="auto"/>
                      <w:sz w:val="18"/>
                      <w:szCs w:val="18"/>
                    </w:rPr>
                  </w:pPr>
                  <w:r>
                    <w:rPr>
                      <w:rFonts w:hint="eastAsia"/>
                      <w:color w:val="auto"/>
                      <w:sz w:val="18"/>
                      <w:szCs w:val="18"/>
                    </w:rPr>
                    <w:t xml:space="preserve">水环境质量回顾评价 □ </w:t>
                  </w:r>
                </w:p>
                <w:p>
                  <w:pPr>
                    <w:jc w:val="left"/>
                    <w:rPr>
                      <w:color w:val="auto"/>
                      <w:sz w:val="18"/>
                      <w:szCs w:val="18"/>
                    </w:rPr>
                  </w:pPr>
                  <w:r>
                    <w:rPr>
                      <w:rFonts w:hint="eastAsia"/>
                      <w:color w:val="auto"/>
                      <w:sz w:val="18"/>
                      <w:szCs w:val="18"/>
                    </w:rPr>
                    <w:t>流域（区域）水资源（包括水能资源）与开发利用总体状况、生态流量管理要求与现状满足程度、建设项目占用水域空间的水流状况与河湖演变状况 □</w:t>
                  </w:r>
                </w:p>
              </w:tc>
              <w:tc>
                <w:tcPr>
                  <w:tcW w:w="1298" w:type="dxa"/>
                  <w:gridSpan w:val="2"/>
                  <w:tcBorders>
                    <w:tl2br w:val="nil"/>
                    <w:tr2bl w:val="nil"/>
                  </w:tcBorders>
                  <w:vAlign w:val="center"/>
                </w:tcPr>
                <w:p>
                  <w:pPr>
                    <w:jc w:val="center"/>
                    <w:rPr>
                      <w:color w:val="auto"/>
                      <w:sz w:val="18"/>
                      <w:szCs w:val="18"/>
                    </w:rPr>
                  </w:pPr>
                  <w:r>
                    <w:rPr>
                      <w:rFonts w:hint="eastAsia"/>
                      <w:color w:val="auto"/>
                      <w:sz w:val="18"/>
                      <w:szCs w:val="18"/>
                    </w:rPr>
                    <w:t xml:space="preserve">达标区 </w:t>
                  </w:r>
                  <w:r>
                    <w:rPr>
                      <w:color w:val="auto"/>
                      <w:sz w:val="18"/>
                      <w:szCs w:val="18"/>
                    </w:rPr>
                    <w:sym w:font="Wingdings 2" w:char="0052"/>
                  </w:r>
                  <w:r>
                    <w:rPr>
                      <w:rFonts w:hint="eastAsia"/>
                      <w:color w:val="auto"/>
                      <w:sz w:val="18"/>
                      <w:szCs w:val="18"/>
                    </w:rPr>
                    <w:t xml:space="preserve"> </w:t>
                  </w:r>
                </w:p>
                <w:p>
                  <w:pPr>
                    <w:jc w:val="center"/>
                    <w:rPr>
                      <w:color w:val="auto"/>
                      <w:sz w:val="18"/>
                      <w:szCs w:val="18"/>
                    </w:rPr>
                  </w:pPr>
                  <w:r>
                    <w:rPr>
                      <w:rFonts w:hint="eastAsia"/>
                      <w:color w:val="auto"/>
                      <w:sz w:val="18"/>
                      <w:szCs w:val="18"/>
                    </w:rPr>
                    <w:t>不达标区 □</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871" w:type="dxa"/>
                  <w:vMerge w:val="restart"/>
                  <w:tcBorders>
                    <w:tl2br w:val="nil"/>
                    <w:tr2bl w:val="nil"/>
                  </w:tcBorders>
                  <w:vAlign w:val="center"/>
                </w:tcPr>
                <w:p>
                  <w:pPr>
                    <w:jc w:val="center"/>
                    <w:rPr>
                      <w:color w:val="auto"/>
                      <w:sz w:val="18"/>
                      <w:szCs w:val="18"/>
                    </w:rPr>
                  </w:pPr>
                  <w:r>
                    <w:rPr>
                      <w:rFonts w:hint="eastAsia"/>
                      <w:color w:val="auto"/>
                      <w:sz w:val="18"/>
                      <w:szCs w:val="18"/>
                    </w:rPr>
                    <w:t>影</w:t>
                  </w:r>
                </w:p>
                <w:p>
                  <w:pPr>
                    <w:jc w:val="center"/>
                    <w:rPr>
                      <w:color w:val="auto"/>
                      <w:sz w:val="18"/>
                      <w:szCs w:val="18"/>
                    </w:rPr>
                  </w:pPr>
                  <w:r>
                    <w:rPr>
                      <w:rFonts w:hint="eastAsia"/>
                      <w:color w:val="auto"/>
                      <w:sz w:val="18"/>
                      <w:szCs w:val="18"/>
                    </w:rPr>
                    <w:t>响</w:t>
                  </w:r>
                </w:p>
                <w:p>
                  <w:pPr>
                    <w:jc w:val="center"/>
                    <w:rPr>
                      <w:color w:val="auto"/>
                      <w:sz w:val="18"/>
                      <w:szCs w:val="18"/>
                    </w:rPr>
                  </w:pPr>
                  <w:r>
                    <w:rPr>
                      <w:rFonts w:hint="eastAsia"/>
                      <w:color w:val="auto"/>
                      <w:sz w:val="18"/>
                      <w:szCs w:val="18"/>
                    </w:rPr>
                    <w:t>预</w:t>
                  </w:r>
                </w:p>
                <w:p>
                  <w:pPr>
                    <w:jc w:val="center"/>
                    <w:rPr>
                      <w:color w:val="auto"/>
                      <w:sz w:val="18"/>
                      <w:szCs w:val="18"/>
                    </w:rPr>
                  </w:pPr>
                  <w:r>
                    <w:rPr>
                      <w:rFonts w:hint="eastAsia"/>
                      <w:color w:val="auto"/>
                      <w:sz w:val="18"/>
                      <w:szCs w:val="18"/>
                    </w:rPr>
                    <w:t>测</w:t>
                  </w:r>
                </w:p>
              </w:tc>
              <w:tc>
                <w:tcPr>
                  <w:tcW w:w="1404" w:type="dxa"/>
                  <w:tcBorders>
                    <w:tl2br w:val="nil"/>
                    <w:tr2bl w:val="nil"/>
                  </w:tcBorders>
                  <w:vAlign w:val="center"/>
                </w:tcPr>
                <w:p>
                  <w:pPr>
                    <w:jc w:val="center"/>
                    <w:rPr>
                      <w:color w:val="auto"/>
                      <w:sz w:val="18"/>
                      <w:szCs w:val="18"/>
                    </w:rPr>
                  </w:pPr>
                  <w:r>
                    <w:rPr>
                      <w:rFonts w:hint="eastAsia"/>
                      <w:color w:val="auto"/>
                      <w:sz w:val="18"/>
                      <w:szCs w:val="18"/>
                    </w:rPr>
                    <w:t>预测范围</w:t>
                  </w:r>
                </w:p>
              </w:tc>
              <w:tc>
                <w:tcPr>
                  <w:tcW w:w="6247" w:type="dxa"/>
                  <w:gridSpan w:val="12"/>
                  <w:tcBorders>
                    <w:tl2br w:val="nil"/>
                    <w:tr2bl w:val="nil"/>
                  </w:tcBorders>
                  <w:vAlign w:val="center"/>
                </w:tcPr>
                <w:p>
                  <w:pPr>
                    <w:jc w:val="left"/>
                    <w:rPr>
                      <w:color w:val="auto"/>
                      <w:sz w:val="18"/>
                      <w:szCs w:val="18"/>
                    </w:rPr>
                  </w:pPr>
                  <w:r>
                    <w:rPr>
                      <w:rFonts w:hint="eastAsia"/>
                      <w:color w:val="auto"/>
                      <w:sz w:val="18"/>
                      <w:szCs w:val="18"/>
                    </w:rPr>
                    <w:t>河流：长度（/）km；湖库、河口及近岸海域：面积（/）km</w:t>
                  </w:r>
                  <w:r>
                    <w:rPr>
                      <w:rFonts w:hint="eastAsia"/>
                      <w:color w:val="auto"/>
                      <w:sz w:val="18"/>
                      <w:szCs w:val="18"/>
                      <w:vertAlign w:val="superscript"/>
                    </w:rPr>
                    <w:t>2</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871" w:type="dxa"/>
                  <w:vMerge w:val="continue"/>
                  <w:tcBorders>
                    <w:tl2br w:val="nil"/>
                    <w:tr2bl w:val="nil"/>
                  </w:tcBorders>
                  <w:vAlign w:val="center"/>
                </w:tcPr>
                <w:p>
                  <w:pPr>
                    <w:jc w:val="center"/>
                    <w:rPr>
                      <w:color w:val="auto"/>
                      <w:sz w:val="18"/>
                      <w:szCs w:val="18"/>
                    </w:rPr>
                  </w:pPr>
                </w:p>
              </w:tc>
              <w:tc>
                <w:tcPr>
                  <w:tcW w:w="1404" w:type="dxa"/>
                  <w:tcBorders>
                    <w:tl2br w:val="nil"/>
                    <w:tr2bl w:val="nil"/>
                  </w:tcBorders>
                  <w:vAlign w:val="center"/>
                </w:tcPr>
                <w:p>
                  <w:pPr>
                    <w:jc w:val="center"/>
                    <w:rPr>
                      <w:color w:val="auto"/>
                      <w:sz w:val="18"/>
                      <w:szCs w:val="18"/>
                    </w:rPr>
                  </w:pPr>
                  <w:r>
                    <w:rPr>
                      <w:rFonts w:hint="eastAsia"/>
                      <w:color w:val="auto"/>
                      <w:sz w:val="18"/>
                      <w:szCs w:val="18"/>
                    </w:rPr>
                    <w:t>预测因子</w:t>
                  </w:r>
                </w:p>
              </w:tc>
              <w:tc>
                <w:tcPr>
                  <w:tcW w:w="6247" w:type="dxa"/>
                  <w:gridSpan w:val="12"/>
                  <w:tcBorders>
                    <w:tl2br w:val="nil"/>
                    <w:tr2bl w:val="nil"/>
                  </w:tcBorders>
                  <w:vAlign w:val="center"/>
                </w:tcPr>
                <w:p>
                  <w:pPr>
                    <w:jc w:val="left"/>
                    <w:rPr>
                      <w:color w:val="auto"/>
                      <w:sz w:val="18"/>
                      <w:szCs w:val="18"/>
                    </w:rPr>
                  </w:pPr>
                  <w:r>
                    <w:rPr>
                      <w:rFonts w:hint="eastAsia"/>
                      <w:color w:val="auto"/>
                      <w:sz w:val="18"/>
                      <w:szCs w:val="18"/>
                    </w:rPr>
                    <w:t>（/）</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871" w:type="dxa"/>
                  <w:vMerge w:val="continue"/>
                  <w:tcBorders>
                    <w:tl2br w:val="nil"/>
                    <w:tr2bl w:val="nil"/>
                  </w:tcBorders>
                  <w:vAlign w:val="center"/>
                </w:tcPr>
                <w:p>
                  <w:pPr>
                    <w:jc w:val="center"/>
                    <w:rPr>
                      <w:color w:val="auto"/>
                      <w:sz w:val="18"/>
                      <w:szCs w:val="18"/>
                    </w:rPr>
                  </w:pPr>
                </w:p>
              </w:tc>
              <w:tc>
                <w:tcPr>
                  <w:tcW w:w="1404" w:type="dxa"/>
                  <w:tcBorders>
                    <w:tl2br w:val="nil"/>
                    <w:tr2bl w:val="nil"/>
                  </w:tcBorders>
                  <w:vAlign w:val="center"/>
                </w:tcPr>
                <w:p>
                  <w:pPr>
                    <w:jc w:val="center"/>
                    <w:rPr>
                      <w:color w:val="auto"/>
                      <w:sz w:val="18"/>
                      <w:szCs w:val="18"/>
                    </w:rPr>
                  </w:pPr>
                  <w:r>
                    <w:rPr>
                      <w:rFonts w:hint="eastAsia"/>
                      <w:color w:val="auto"/>
                      <w:sz w:val="18"/>
                      <w:szCs w:val="18"/>
                    </w:rPr>
                    <w:t>预测时期</w:t>
                  </w:r>
                </w:p>
              </w:tc>
              <w:tc>
                <w:tcPr>
                  <w:tcW w:w="6247" w:type="dxa"/>
                  <w:gridSpan w:val="12"/>
                  <w:tcBorders>
                    <w:tl2br w:val="nil"/>
                    <w:tr2bl w:val="nil"/>
                  </w:tcBorders>
                  <w:vAlign w:val="center"/>
                </w:tcPr>
                <w:p>
                  <w:pPr>
                    <w:jc w:val="left"/>
                    <w:rPr>
                      <w:color w:val="auto"/>
                      <w:sz w:val="18"/>
                      <w:szCs w:val="18"/>
                    </w:rPr>
                  </w:pPr>
                  <w:r>
                    <w:rPr>
                      <w:rFonts w:hint="eastAsia"/>
                      <w:color w:val="auto"/>
                      <w:sz w:val="18"/>
                      <w:szCs w:val="18"/>
                    </w:rPr>
                    <w:t>丰水期 □；平水期 □；枯水期 □；冰封期 □</w:t>
                  </w:r>
                </w:p>
                <w:p>
                  <w:pPr>
                    <w:jc w:val="left"/>
                    <w:rPr>
                      <w:color w:val="auto"/>
                      <w:sz w:val="18"/>
                      <w:szCs w:val="18"/>
                    </w:rPr>
                  </w:pPr>
                  <w:r>
                    <w:rPr>
                      <w:rFonts w:hint="eastAsia"/>
                      <w:color w:val="auto"/>
                      <w:sz w:val="18"/>
                      <w:szCs w:val="18"/>
                    </w:rPr>
                    <w:t xml:space="preserve">春季 □；夏季 □；秋季 □；冬季 □ </w:t>
                  </w:r>
                </w:p>
                <w:p>
                  <w:pPr>
                    <w:jc w:val="left"/>
                    <w:rPr>
                      <w:color w:val="auto"/>
                      <w:sz w:val="18"/>
                      <w:szCs w:val="18"/>
                    </w:rPr>
                  </w:pPr>
                  <w:r>
                    <w:rPr>
                      <w:rFonts w:hint="eastAsia"/>
                      <w:color w:val="auto"/>
                      <w:sz w:val="18"/>
                      <w:szCs w:val="18"/>
                    </w:rPr>
                    <w:t>设计水文条件 □</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871" w:type="dxa"/>
                  <w:vMerge w:val="continue"/>
                  <w:tcBorders>
                    <w:tl2br w:val="nil"/>
                    <w:tr2bl w:val="nil"/>
                  </w:tcBorders>
                  <w:vAlign w:val="center"/>
                </w:tcPr>
                <w:p>
                  <w:pPr>
                    <w:jc w:val="center"/>
                    <w:rPr>
                      <w:color w:val="auto"/>
                      <w:sz w:val="18"/>
                      <w:szCs w:val="18"/>
                    </w:rPr>
                  </w:pPr>
                </w:p>
              </w:tc>
              <w:tc>
                <w:tcPr>
                  <w:tcW w:w="1404" w:type="dxa"/>
                  <w:tcBorders>
                    <w:tl2br w:val="nil"/>
                    <w:tr2bl w:val="nil"/>
                  </w:tcBorders>
                  <w:vAlign w:val="center"/>
                </w:tcPr>
                <w:p>
                  <w:pPr>
                    <w:jc w:val="center"/>
                    <w:rPr>
                      <w:color w:val="auto"/>
                      <w:sz w:val="18"/>
                      <w:szCs w:val="18"/>
                    </w:rPr>
                  </w:pPr>
                  <w:r>
                    <w:rPr>
                      <w:rFonts w:hint="eastAsia"/>
                      <w:color w:val="auto"/>
                      <w:sz w:val="18"/>
                      <w:szCs w:val="18"/>
                    </w:rPr>
                    <w:t>预测情景</w:t>
                  </w:r>
                </w:p>
              </w:tc>
              <w:tc>
                <w:tcPr>
                  <w:tcW w:w="6247" w:type="dxa"/>
                  <w:gridSpan w:val="12"/>
                  <w:tcBorders>
                    <w:tl2br w:val="nil"/>
                    <w:tr2bl w:val="nil"/>
                  </w:tcBorders>
                  <w:vAlign w:val="center"/>
                </w:tcPr>
                <w:p>
                  <w:pPr>
                    <w:jc w:val="left"/>
                    <w:rPr>
                      <w:color w:val="auto"/>
                      <w:sz w:val="18"/>
                      <w:szCs w:val="18"/>
                    </w:rPr>
                  </w:pPr>
                  <w:r>
                    <w:rPr>
                      <w:rFonts w:hint="eastAsia"/>
                      <w:color w:val="auto"/>
                      <w:sz w:val="18"/>
                      <w:szCs w:val="18"/>
                    </w:rPr>
                    <w:t xml:space="preserve">建设期 □；生产运行期 □；服务期满后 □ </w:t>
                  </w:r>
                </w:p>
                <w:p>
                  <w:pPr>
                    <w:jc w:val="left"/>
                    <w:rPr>
                      <w:color w:val="auto"/>
                      <w:sz w:val="18"/>
                      <w:szCs w:val="18"/>
                    </w:rPr>
                  </w:pPr>
                  <w:r>
                    <w:rPr>
                      <w:rFonts w:hint="eastAsia"/>
                      <w:color w:val="auto"/>
                      <w:sz w:val="18"/>
                      <w:szCs w:val="18"/>
                    </w:rPr>
                    <w:t xml:space="preserve">正常工况 □；非正常工况 □ </w:t>
                  </w:r>
                </w:p>
                <w:p>
                  <w:pPr>
                    <w:jc w:val="left"/>
                    <w:rPr>
                      <w:color w:val="auto"/>
                      <w:sz w:val="18"/>
                      <w:szCs w:val="18"/>
                    </w:rPr>
                  </w:pPr>
                  <w:r>
                    <w:rPr>
                      <w:rFonts w:hint="eastAsia"/>
                      <w:color w:val="auto"/>
                      <w:sz w:val="18"/>
                      <w:szCs w:val="18"/>
                    </w:rPr>
                    <w:t xml:space="preserve">污染控制和减缓措施方案 □ </w:t>
                  </w:r>
                </w:p>
                <w:p>
                  <w:pPr>
                    <w:jc w:val="left"/>
                    <w:rPr>
                      <w:color w:val="auto"/>
                      <w:sz w:val="18"/>
                      <w:szCs w:val="18"/>
                    </w:rPr>
                  </w:pPr>
                  <w:r>
                    <w:rPr>
                      <w:rFonts w:hint="eastAsia"/>
                      <w:color w:val="auto"/>
                      <w:sz w:val="18"/>
                      <w:szCs w:val="18"/>
                    </w:rPr>
                    <w:t>区（流）域环境质量改善目标要求情景 □</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871" w:type="dxa"/>
                  <w:vMerge w:val="continue"/>
                  <w:tcBorders>
                    <w:tl2br w:val="nil"/>
                    <w:tr2bl w:val="nil"/>
                  </w:tcBorders>
                  <w:vAlign w:val="center"/>
                </w:tcPr>
                <w:p>
                  <w:pPr>
                    <w:jc w:val="center"/>
                    <w:rPr>
                      <w:color w:val="auto"/>
                      <w:sz w:val="18"/>
                      <w:szCs w:val="18"/>
                    </w:rPr>
                  </w:pPr>
                </w:p>
              </w:tc>
              <w:tc>
                <w:tcPr>
                  <w:tcW w:w="1404" w:type="dxa"/>
                  <w:tcBorders>
                    <w:tl2br w:val="nil"/>
                    <w:tr2bl w:val="nil"/>
                  </w:tcBorders>
                  <w:vAlign w:val="center"/>
                </w:tcPr>
                <w:p>
                  <w:pPr>
                    <w:jc w:val="center"/>
                    <w:rPr>
                      <w:color w:val="auto"/>
                      <w:sz w:val="18"/>
                      <w:szCs w:val="18"/>
                    </w:rPr>
                  </w:pPr>
                  <w:r>
                    <w:rPr>
                      <w:rFonts w:hint="eastAsia"/>
                      <w:color w:val="auto"/>
                      <w:sz w:val="18"/>
                      <w:szCs w:val="18"/>
                    </w:rPr>
                    <w:t>预测方法</w:t>
                  </w:r>
                </w:p>
              </w:tc>
              <w:tc>
                <w:tcPr>
                  <w:tcW w:w="6247" w:type="dxa"/>
                  <w:gridSpan w:val="12"/>
                  <w:tcBorders>
                    <w:tl2br w:val="nil"/>
                    <w:tr2bl w:val="nil"/>
                  </w:tcBorders>
                  <w:vAlign w:val="center"/>
                </w:tcPr>
                <w:p>
                  <w:pPr>
                    <w:jc w:val="left"/>
                    <w:rPr>
                      <w:color w:val="auto"/>
                      <w:sz w:val="18"/>
                      <w:szCs w:val="18"/>
                    </w:rPr>
                  </w:pPr>
                  <w:r>
                    <w:rPr>
                      <w:rFonts w:hint="eastAsia"/>
                      <w:color w:val="auto"/>
                      <w:sz w:val="18"/>
                      <w:szCs w:val="18"/>
                    </w:rPr>
                    <w:t xml:space="preserve">数值解 □：解析解 □；其他 □ </w:t>
                  </w:r>
                </w:p>
                <w:p>
                  <w:pPr>
                    <w:jc w:val="left"/>
                    <w:rPr>
                      <w:color w:val="auto"/>
                      <w:sz w:val="18"/>
                      <w:szCs w:val="18"/>
                    </w:rPr>
                  </w:pPr>
                  <w:r>
                    <w:rPr>
                      <w:rFonts w:hint="eastAsia"/>
                      <w:color w:val="auto"/>
                      <w:sz w:val="18"/>
                      <w:szCs w:val="18"/>
                    </w:rPr>
                    <w:t>导则推荐模式 □：其他 □</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871" w:type="dxa"/>
                  <w:vMerge w:val="restart"/>
                  <w:tcBorders>
                    <w:tl2br w:val="nil"/>
                    <w:tr2bl w:val="nil"/>
                  </w:tcBorders>
                  <w:vAlign w:val="center"/>
                </w:tcPr>
                <w:p>
                  <w:pPr>
                    <w:jc w:val="center"/>
                    <w:rPr>
                      <w:color w:val="auto"/>
                      <w:sz w:val="18"/>
                      <w:szCs w:val="18"/>
                    </w:rPr>
                  </w:pPr>
                  <w:r>
                    <w:rPr>
                      <w:rFonts w:hint="eastAsia"/>
                      <w:color w:val="auto"/>
                      <w:sz w:val="18"/>
                      <w:szCs w:val="18"/>
                    </w:rPr>
                    <w:t>影</w:t>
                  </w:r>
                </w:p>
                <w:p>
                  <w:pPr>
                    <w:jc w:val="center"/>
                    <w:rPr>
                      <w:color w:val="auto"/>
                      <w:sz w:val="18"/>
                      <w:szCs w:val="18"/>
                    </w:rPr>
                  </w:pPr>
                  <w:r>
                    <w:rPr>
                      <w:rFonts w:hint="eastAsia"/>
                      <w:color w:val="auto"/>
                      <w:sz w:val="18"/>
                      <w:szCs w:val="18"/>
                    </w:rPr>
                    <w:t>响</w:t>
                  </w:r>
                </w:p>
                <w:p>
                  <w:pPr>
                    <w:jc w:val="center"/>
                    <w:rPr>
                      <w:color w:val="auto"/>
                      <w:sz w:val="18"/>
                      <w:szCs w:val="18"/>
                    </w:rPr>
                  </w:pPr>
                  <w:r>
                    <w:rPr>
                      <w:rFonts w:hint="eastAsia"/>
                      <w:color w:val="auto"/>
                      <w:sz w:val="18"/>
                      <w:szCs w:val="18"/>
                    </w:rPr>
                    <w:t>评</w:t>
                  </w:r>
                </w:p>
                <w:p>
                  <w:pPr>
                    <w:jc w:val="center"/>
                    <w:rPr>
                      <w:color w:val="auto"/>
                      <w:sz w:val="18"/>
                      <w:szCs w:val="18"/>
                    </w:rPr>
                  </w:pPr>
                  <w:r>
                    <w:rPr>
                      <w:rFonts w:hint="eastAsia"/>
                      <w:color w:val="auto"/>
                      <w:sz w:val="18"/>
                      <w:szCs w:val="18"/>
                    </w:rPr>
                    <w:t>价</w:t>
                  </w:r>
                </w:p>
              </w:tc>
              <w:tc>
                <w:tcPr>
                  <w:tcW w:w="1404" w:type="dxa"/>
                  <w:tcBorders>
                    <w:tl2br w:val="nil"/>
                    <w:tr2bl w:val="nil"/>
                  </w:tcBorders>
                  <w:vAlign w:val="center"/>
                </w:tcPr>
                <w:p>
                  <w:pPr>
                    <w:jc w:val="center"/>
                    <w:rPr>
                      <w:color w:val="auto"/>
                      <w:sz w:val="18"/>
                      <w:szCs w:val="18"/>
                    </w:rPr>
                  </w:pPr>
                  <w:r>
                    <w:rPr>
                      <w:rFonts w:hint="eastAsia"/>
                      <w:color w:val="auto"/>
                      <w:sz w:val="18"/>
                      <w:szCs w:val="18"/>
                    </w:rPr>
                    <w:t>水污染控制和水环境影响减缓措</w:t>
                  </w:r>
                </w:p>
                <w:p>
                  <w:pPr>
                    <w:jc w:val="center"/>
                    <w:rPr>
                      <w:color w:val="auto"/>
                      <w:sz w:val="18"/>
                      <w:szCs w:val="18"/>
                    </w:rPr>
                  </w:pPr>
                  <w:r>
                    <w:rPr>
                      <w:rFonts w:hint="eastAsia"/>
                      <w:color w:val="auto"/>
                      <w:sz w:val="18"/>
                      <w:szCs w:val="18"/>
                    </w:rPr>
                    <w:t>施有效性评价</w:t>
                  </w:r>
                </w:p>
              </w:tc>
              <w:tc>
                <w:tcPr>
                  <w:tcW w:w="6247" w:type="dxa"/>
                  <w:gridSpan w:val="12"/>
                  <w:tcBorders>
                    <w:tl2br w:val="nil"/>
                    <w:tr2bl w:val="nil"/>
                  </w:tcBorders>
                  <w:vAlign w:val="center"/>
                </w:tcPr>
                <w:p>
                  <w:pPr>
                    <w:jc w:val="left"/>
                    <w:rPr>
                      <w:color w:val="auto"/>
                      <w:sz w:val="18"/>
                      <w:szCs w:val="18"/>
                    </w:rPr>
                  </w:pPr>
                  <w:r>
                    <w:rPr>
                      <w:rFonts w:hint="eastAsia"/>
                      <w:color w:val="auto"/>
                      <w:sz w:val="18"/>
                      <w:szCs w:val="18"/>
                    </w:rPr>
                    <w:t xml:space="preserve">区（流）域水环境质量改善目标 □；替代削减源 □ </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PrEx>
              <w:trPr>
                <w:jc w:val="center"/>
              </w:trPr>
              <w:tc>
                <w:tcPr>
                  <w:tcW w:w="871" w:type="dxa"/>
                  <w:vMerge w:val="continue"/>
                  <w:tcBorders>
                    <w:tl2br w:val="nil"/>
                    <w:tr2bl w:val="nil"/>
                  </w:tcBorders>
                  <w:vAlign w:val="center"/>
                </w:tcPr>
                <w:p>
                  <w:pPr>
                    <w:jc w:val="center"/>
                    <w:rPr>
                      <w:color w:val="auto"/>
                      <w:sz w:val="18"/>
                      <w:szCs w:val="18"/>
                    </w:rPr>
                  </w:pPr>
                </w:p>
              </w:tc>
              <w:tc>
                <w:tcPr>
                  <w:tcW w:w="1404" w:type="dxa"/>
                  <w:tcBorders>
                    <w:tl2br w:val="nil"/>
                    <w:tr2bl w:val="nil"/>
                  </w:tcBorders>
                  <w:vAlign w:val="center"/>
                </w:tcPr>
                <w:p>
                  <w:pPr>
                    <w:jc w:val="center"/>
                    <w:rPr>
                      <w:color w:val="auto"/>
                      <w:sz w:val="18"/>
                      <w:szCs w:val="18"/>
                    </w:rPr>
                  </w:pPr>
                  <w:r>
                    <w:rPr>
                      <w:rFonts w:hint="eastAsia"/>
                      <w:color w:val="auto"/>
                      <w:sz w:val="18"/>
                      <w:szCs w:val="18"/>
                    </w:rPr>
                    <w:t>水环境影响评价</w:t>
                  </w:r>
                </w:p>
              </w:tc>
              <w:tc>
                <w:tcPr>
                  <w:tcW w:w="6247" w:type="dxa"/>
                  <w:gridSpan w:val="12"/>
                  <w:tcBorders>
                    <w:tl2br w:val="nil"/>
                    <w:tr2bl w:val="nil"/>
                  </w:tcBorders>
                  <w:vAlign w:val="center"/>
                </w:tcPr>
                <w:p>
                  <w:pPr>
                    <w:jc w:val="left"/>
                    <w:rPr>
                      <w:color w:val="auto"/>
                      <w:sz w:val="18"/>
                      <w:szCs w:val="18"/>
                    </w:rPr>
                  </w:pPr>
                  <w:r>
                    <w:rPr>
                      <w:rFonts w:hint="eastAsia"/>
                      <w:color w:val="auto"/>
                      <w:sz w:val="18"/>
                      <w:szCs w:val="18"/>
                    </w:rPr>
                    <w:t xml:space="preserve">排放口混合区外满足水环境管理要求 </w:t>
                  </w:r>
                  <w:r>
                    <w:rPr>
                      <w:color w:val="auto"/>
                      <w:sz w:val="18"/>
                      <w:szCs w:val="18"/>
                    </w:rPr>
                    <w:sym w:font="Wingdings 2" w:char="0052"/>
                  </w:r>
                  <w:r>
                    <w:rPr>
                      <w:rFonts w:hint="eastAsia"/>
                      <w:color w:val="auto"/>
                      <w:sz w:val="18"/>
                      <w:szCs w:val="18"/>
                    </w:rPr>
                    <w:t xml:space="preserve"> </w:t>
                  </w:r>
                </w:p>
                <w:p>
                  <w:pPr>
                    <w:jc w:val="left"/>
                    <w:rPr>
                      <w:color w:val="auto"/>
                      <w:sz w:val="18"/>
                      <w:szCs w:val="18"/>
                    </w:rPr>
                  </w:pPr>
                  <w:r>
                    <w:rPr>
                      <w:rFonts w:hint="eastAsia"/>
                      <w:color w:val="auto"/>
                      <w:sz w:val="18"/>
                      <w:szCs w:val="18"/>
                    </w:rPr>
                    <w:t xml:space="preserve">水环境功能区或水功能区、近岸海域环境功能区水质达标 □ </w:t>
                  </w:r>
                </w:p>
                <w:p>
                  <w:pPr>
                    <w:jc w:val="left"/>
                    <w:rPr>
                      <w:color w:val="auto"/>
                      <w:sz w:val="18"/>
                      <w:szCs w:val="18"/>
                    </w:rPr>
                  </w:pPr>
                  <w:r>
                    <w:rPr>
                      <w:rFonts w:hint="eastAsia"/>
                      <w:color w:val="auto"/>
                      <w:sz w:val="18"/>
                      <w:szCs w:val="18"/>
                    </w:rPr>
                    <w:t xml:space="preserve">满足水环境保护目标水域水环境质量要求 □ </w:t>
                  </w:r>
                </w:p>
                <w:p>
                  <w:pPr>
                    <w:jc w:val="left"/>
                    <w:rPr>
                      <w:color w:val="auto"/>
                      <w:sz w:val="18"/>
                      <w:szCs w:val="18"/>
                    </w:rPr>
                  </w:pPr>
                  <w:r>
                    <w:rPr>
                      <w:rFonts w:hint="eastAsia"/>
                      <w:color w:val="auto"/>
                      <w:sz w:val="18"/>
                      <w:szCs w:val="18"/>
                    </w:rPr>
                    <w:t xml:space="preserve">水环境控制单元或断面水质达标 □ </w:t>
                  </w:r>
                </w:p>
                <w:p>
                  <w:pPr>
                    <w:jc w:val="left"/>
                    <w:rPr>
                      <w:color w:val="auto"/>
                      <w:sz w:val="18"/>
                      <w:szCs w:val="18"/>
                    </w:rPr>
                  </w:pPr>
                  <w:r>
                    <w:rPr>
                      <w:rFonts w:hint="eastAsia"/>
                      <w:color w:val="auto"/>
                      <w:sz w:val="18"/>
                      <w:szCs w:val="18"/>
                    </w:rPr>
                    <w:t xml:space="preserve">满足重点水污染物排放总量控制指标要求，重点行业建设项目， 主要污染物排放满足等量或减量替代要求 □ </w:t>
                  </w:r>
                </w:p>
                <w:p>
                  <w:pPr>
                    <w:jc w:val="left"/>
                    <w:rPr>
                      <w:color w:val="auto"/>
                      <w:sz w:val="18"/>
                      <w:szCs w:val="18"/>
                    </w:rPr>
                  </w:pPr>
                  <w:r>
                    <w:rPr>
                      <w:rFonts w:hint="eastAsia"/>
                      <w:color w:val="auto"/>
                      <w:sz w:val="18"/>
                      <w:szCs w:val="18"/>
                    </w:rPr>
                    <w:t xml:space="preserve">满足区（流）域水环境质量改善目标要求 □ </w:t>
                  </w:r>
                </w:p>
                <w:p>
                  <w:pPr>
                    <w:jc w:val="left"/>
                    <w:rPr>
                      <w:color w:val="auto"/>
                      <w:sz w:val="18"/>
                      <w:szCs w:val="18"/>
                    </w:rPr>
                  </w:pPr>
                  <w:r>
                    <w:rPr>
                      <w:rFonts w:hint="eastAsia"/>
                      <w:color w:val="auto"/>
                      <w:sz w:val="18"/>
                      <w:szCs w:val="18"/>
                    </w:rPr>
                    <w:t xml:space="preserve">水文要素影响型建设项目同时应包括水文情势变化评价、主要水文特征值影响评价、生态流量符合性评价 □ </w:t>
                  </w:r>
                </w:p>
                <w:p>
                  <w:pPr>
                    <w:jc w:val="left"/>
                    <w:rPr>
                      <w:color w:val="auto"/>
                      <w:sz w:val="18"/>
                      <w:szCs w:val="18"/>
                    </w:rPr>
                  </w:pPr>
                  <w:r>
                    <w:rPr>
                      <w:rFonts w:hint="eastAsia"/>
                      <w:color w:val="auto"/>
                      <w:sz w:val="18"/>
                      <w:szCs w:val="18"/>
                    </w:rPr>
                    <w:t xml:space="preserve">对于新设或调整入河（湖库、近岸海域）排放口的建设项目，应包括排放口设置的环境合理性评价 □ </w:t>
                  </w:r>
                </w:p>
                <w:p>
                  <w:pPr>
                    <w:jc w:val="left"/>
                    <w:rPr>
                      <w:color w:val="auto"/>
                      <w:sz w:val="18"/>
                      <w:szCs w:val="18"/>
                    </w:rPr>
                  </w:pPr>
                  <w:r>
                    <w:rPr>
                      <w:rFonts w:hint="eastAsia"/>
                      <w:color w:val="auto"/>
                      <w:sz w:val="18"/>
                      <w:szCs w:val="18"/>
                    </w:rPr>
                    <w:t>满足生态保护红线、水环境质量底线、资源利用上线和环境准入清单管理要求 □</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PrEx>
              <w:trPr>
                <w:jc w:val="center"/>
              </w:trPr>
              <w:tc>
                <w:tcPr>
                  <w:tcW w:w="871" w:type="dxa"/>
                  <w:vMerge w:val="continue"/>
                  <w:tcBorders>
                    <w:tl2br w:val="nil"/>
                    <w:tr2bl w:val="nil"/>
                  </w:tcBorders>
                  <w:vAlign w:val="center"/>
                </w:tcPr>
                <w:p>
                  <w:pPr>
                    <w:jc w:val="center"/>
                    <w:rPr>
                      <w:color w:val="auto"/>
                      <w:sz w:val="18"/>
                      <w:szCs w:val="18"/>
                    </w:rPr>
                  </w:pPr>
                </w:p>
              </w:tc>
              <w:tc>
                <w:tcPr>
                  <w:tcW w:w="1404" w:type="dxa"/>
                  <w:vMerge w:val="restart"/>
                  <w:tcBorders>
                    <w:tl2br w:val="nil"/>
                    <w:tr2bl w:val="nil"/>
                  </w:tcBorders>
                  <w:vAlign w:val="center"/>
                </w:tcPr>
                <w:p>
                  <w:pPr>
                    <w:jc w:val="center"/>
                    <w:rPr>
                      <w:color w:val="auto"/>
                      <w:sz w:val="18"/>
                      <w:szCs w:val="18"/>
                    </w:rPr>
                  </w:pPr>
                  <w:r>
                    <w:rPr>
                      <w:rFonts w:hint="eastAsia"/>
                      <w:color w:val="auto"/>
                      <w:sz w:val="18"/>
                      <w:szCs w:val="18"/>
                    </w:rPr>
                    <w:t>污染源排放量核算</w:t>
                  </w:r>
                </w:p>
              </w:tc>
              <w:tc>
                <w:tcPr>
                  <w:tcW w:w="2081" w:type="dxa"/>
                  <w:gridSpan w:val="4"/>
                  <w:tcBorders>
                    <w:tl2br w:val="nil"/>
                    <w:tr2bl w:val="nil"/>
                  </w:tcBorders>
                  <w:vAlign w:val="center"/>
                </w:tcPr>
                <w:p>
                  <w:pPr>
                    <w:jc w:val="center"/>
                    <w:rPr>
                      <w:color w:val="auto"/>
                      <w:sz w:val="18"/>
                      <w:szCs w:val="18"/>
                    </w:rPr>
                  </w:pPr>
                  <w:r>
                    <w:rPr>
                      <w:rFonts w:hint="eastAsia"/>
                      <w:color w:val="auto"/>
                      <w:sz w:val="18"/>
                      <w:szCs w:val="18"/>
                    </w:rPr>
                    <w:t>污染物名称</w:t>
                  </w:r>
                </w:p>
              </w:tc>
              <w:tc>
                <w:tcPr>
                  <w:tcW w:w="2082" w:type="dxa"/>
                  <w:gridSpan w:val="5"/>
                  <w:tcBorders>
                    <w:tl2br w:val="nil"/>
                    <w:tr2bl w:val="nil"/>
                  </w:tcBorders>
                  <w:vAlign w:val="center"/>
                </w:tcPr>
                <w:p>
                  <w:pPr>
                    <w:jc w:val="center"/>
                    <w:rPr>
                      <w:color w:val="auto"/>
                      <w:sz w:val="18"/>
                      <w:szCs w:val="18"/>
                    </w:rPr>
                  </w:pPr>
                  <w:r>
                    <w:rPr>
                      <w:rFonts w:hint="eastAsia"/>
                      <w:color w:val="auto"/>
                      <w:sz w:val="18"/>
                      <w:szCs w:val="18"/>
                    </w:rPr>
                    <w:t>排放量/（t/a）</w:t>
                  </w:r>
                </w:p>
              </w:tc>
              <w:tc>
                <w:tcPr>
                  <w:tcW w:w="2084" w:type="dxa"/>
                  <w:gridSpan w:val="3"/>
                  <w:tcBorders>
                    <w:tl2br w:val="nil"/>
                    <w:tr2bl w:val="nil"/>
                  </w:tcBorders>
                  <w:vAlign w:val="center"/>
                </w:tcPr>
                <w:p>
                  <w:pPr>
                    <w:jc w:val="center"/>
                    <w:rPr>
                      <w:color w:val="auto"/>
                      <w:sz w:val="18"/>
                      <w:szCs w:val="18"/>
                    </w:rPr>
                  </w:pPr>
                  <w:r>
                    <w:rPr>
                      <w:rFonts w:hint="eastAsia"/>
                      <w:color w:val="auto"/>
                      <w:sz w:val="18"/>
                      <w:szCs w:val="18"/>
                    </w:rPr>
                    <w:t>排放浓度/（mg/L）</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PrEx>
              <w:trPr>
                <w:jc w:val="center"/>
              </w:trPr>
              <w:tc>
                <w:tcPr>
                  <w:tcW w:w="871" w:type="dxa"/>
                  <w:vMerge w:val="continue"/>
                  <w:tcBorders>
                    <w:tl2br w:val="nil"/>
                    <w:tr2bl w:val="nil"/>
                  </w:tcBorders>
                  <w:vAlign w:val="center"/>
                </w:tcPr>
                <w:p>
                  <w:pPr>
                    <w:jc w:val="center"/>
                    <w:rPr>
                      <w:color w:val="auto"/>
                      <w:sz w:val="18"/>
                      <w:szCs w:val="18"/>
                    </w:rPr>
                  </w:pPr>
                </w:p>
              </w:tc>
              <w:tc>
                <w:tcPr>
                  <w:tcW w:w="1404" w:type="dxa"/>
                  <w:vMerge w:val="continue"/>
                  <w:tcBorders>
                    <w:tl2br w:val="nil"/>
                    <w:tr2bl w:val="nil"/>
                  </w:tcBorders>
                  <w:vAlign w:val="center"/>
                </w:tcPr>
                <w:p>
                  <w:pPr>
                    <w:jc w:val="center"/>
                    <w:rPr>
                      <w:color w:val="auto"/>
                      <w:sz w:val="18"/>
                      <w:szCs w:val="18"/>
                    </w:rPr>
                  </w:pPr>
                </w:p>
              </w:tc>
              <w:tc>
                <w:tcPr>
                  <w:tcW w:w="2081" w:type="dxa"/>
                  <w:gridSpan w:val="4"/>
                  <w:tcBorders>
                    <w:tl2br w:val="nil"/>
                    <w:tr2bl w:val="nil"/>
                  </w:tcBorders>
                  <w:vAlign w:val="center"/>
                </w:tcPr>
                <w:p>
                  <w:pPr>
                    <w:jc w:val="center"/>
                    <w:rPr>
                      <w:color w:val="auto"/>
                      <w:szCs w:val="21"/>
                    </w:rPr>
                  </w:pPr>
                  <w:r>
                    <w:rPr>
                      <w:color w:val="auto"/>
                      <w:szCs w:val="21"/>
                    </w:rPr>
                    <w:t>COD</w:t>
                  </w:r>
                </w:p>
              </w:tc>
              <w:tc>
                <w:tcPr>
                  <w:tcW w:w="2082" w:type="dxa"/>
                  <w:gridSpan w:val="5"/>
                  <w:tcBorders>
                    <w:tl2br w:val="nil"/>
                    <w:tr2bl w:val="nil"/>
                  </w:tcBorders>
                  <w:vAlign w:val="center"/>
                </w:tcPr>
                <w:p>
                  <w:pPr>
                    <w:jc w:val="center"/>
                    <w:rPr>
                      <w:rFonts w:hint="eastAsia"/>
                      <w:color w:val="auto"/>
                      <w:szCs w:val="21"/>
                    </w:rPr>
                  </w:pPr>
                  <w:r>
                    <w:rPr>
                      <w:rFonts w:hint="eastAsia"/>
                      <w:color w:val="auto"/>
                      <w:szCs w:val="21"/>
                      <w:lang w:val="en-US" w:eastAsia="zh-CN"/>
                    </w:rPr>
                    <w:t>0.122</w:t>
                  </w:r>
                </w:p>
              </w:tc>
              <w:tc>
                <w:tcPr>
                  <w:tcW w:w="2084" w:type="dxa"/>
                  <w:gridSpan w:val="3"/>
                  <w:tcBorders>
                    <w:tl2br w:val="nil"/>
                    <w:tr2bl w:val="nil"/>
                  </w:tcBorders>
                  <w:vAlign w:val="center"/>
                </w:tcPr>
                <w:p>
                  <w:pPr>
                    <w:jc w:val="center"/>
                    <w:rPr>
                      <w:color w:val="auto"/>
                      <w:szCs w:val="21"/>
                    </w:rPr>
                  </w:pPr>
                  <w:r>
                    <w:rPr>
                      <w:rFonts w:hint="eastAsia"/>
                      <w:color w:val="auto"/>
                      <w:szCs w:val="21"/>
                    </w:rPr>
                    <w:t>340</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PrEx>
              <w:trPr>
                <w:jc w:val="center"/>
              </w:trPr>
              <w:tc>
                <w:tcPr>
                  <w:tcW w:w="871" w:type="dxa"/>
                  <w:vMerge w:val="continue"/>
                  <w:tcBorders>
                    <w:tl2br w:val="nil"/>
                    <w:tr2bl w:val="nil"/>
                  </w:tcBorders>
                  <w:vAlign w:val="center"/>
                </w:tcPr>
                <w:p>
                  <w:pPr>
                    <w:jc w:val="center"/>
                    <w:rPr>
                      <w:color w:val="auto"/>
                      <w:sz w:val="18"/>
                      <w:szCs w:val="18"/>
                    </w:rPr>
                  </w:pPr>
                </w:p>
              </w:tc>
              <w:tc>
                <w:tcPr>
                  <w:tcW w:w="1404" w:type="dxa"/>
                  <w:vMerge w:val="continue"/>
                  <w:tcBorders>
                    <w:tl2br w:val="nil"/>
                    <w:tr2bl w:val="nil"/>
                  </w:tcBorders>
                  <w:vAlign w:val="center"/>
                </w:tcPr>
                <w:p>
                  <w:pPr>
                    <w:jc w:val="center"/>
                    <w:rPr>
                      <w:color w:val="auto"/>
                      <w:sz w:val="18"/>
                      <w:szCs w:val="18"/>
                    </w:rPr>
                  </w:pPr>
                </w:p>
              </w:tc>
              <w:tc>
                <w:tcPr>
                  <w:tcW w:w="2081" w:type="dxa"/>
                  <w:gridSpan w:val="4"/>
                  <w:tcBorders>
                    <w:tl2br w:val="nil"/>
                    <w:tr2bl w:val="nil"/>
                  </w:tcBorders>
                  <w:vAlign w:val="center"/>
                </w:tcPr>
                <w:p>
                  <w:pPr>
                    <w:jc w:val="center"/>
                    <w:rPr>
                      <w:color w:val="auto"/>
                      <w:szCs w:val="21"/>
                    </w:rPr>
                  </w:pPr>
                  <w:r>
                    <w:rPr>
                      <w:color w:val="auto"/>
                      <w:szCs w:val="21"/>
                    </w:rPr>
                    <w:t>SS</w:t>
                  </w:r>
                </w:p>
              </w:tc>
              <w:tc>
                <w:tcPr>
                  <w:tcW w:w="2082" w:type="dxa"/>
                  <w:gridSpan w:val="5"/>
                  <w:tcBorders>
                    <w:tl2br w:val="nil"/>
                    <w:tr2bl w:val="nil"/>
                  </w:tcBorders>
                  <w:vAlign w:val="center"/>
                </w:tcPr>
                <w:p>
                  <w:pPr>
                    <w:jc w:val="center"/>
                    <w:rPr>
                      <w:rFonts w:hint="eastAsia"/>
                      <w:color w:val="auto"/>
                      <w:szCs w:val="21"/>
                    </w:rPr>
                  </w:pPr>
                  <w:r>
                    <w:rPr>
                      <w:rFonts w:hint="eastAsia"/>
                      <w:color w:val="auto"/>
                      <w:szCs w:val="21"/>
                      <w:lang w:val="en-US" w:eastAsia="zh-CN"/>
                    </w:rPr>
                    <w:t>0.058</w:t>
                  </w:r>
                </w:p>
              </w:tc>
              <w:tc>
                <w:tcPr>
                  <w:tcW w:w="2084" w:type="dxa"/>
                  <w:gridSpan w:val="3"/>
                  <w:tcBorders>
                    <w:tl2br w:val="nil"/>
                    <w:tr2bl w:val="nil"/>
                  </w:tcBorders>
                  <w:vAlign w:val="center"/>
                </w:tcPr>
                <w:p>
                  <w:pPr>
                    <w:jc w:val="center"/>
                    <w:rPr>
                      <w:color w:val="auto"/>
                      <w:szCs w:val="21"/>
                    </w:rPr>
                  </w:pPr>
                  <w:r>
                    <w:rPr>
                      <w:rFonts w:hint="eastAsia"/>
                      <w:color w:val="auto"/>
                      <w:szCs w:val="21"/>
                    </w:rPr>
                    <w:t>160</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PrEx>
              <w:trPr>
                <w:jc w:val="center"/>
              </w:trPr>
              <w:tc>
                <w:tcPr>
                  <w:tcW w:w="871" w:type="dxa"/>
                  <w:vMerge w:val="continue"/>
                  <w:tcBorders>
                    <w:tl2br w:val="nil"/>
                    <w:tr2bl w:val="nil"/>
                  </w:tcBorders>
                  <w:vAlign w:val="center"/>
                </w:tcPr>
                <w:p>
                  <w:pPr>
                    <w:jc w:val="center"/>
                    <w:rPr>
                      <w:color w:val="auto"/>
                      <w:sz w:val="18"/>
                      <w:szCs w:val="18"/>
                    </w:rPr>
                  </w:pPr>
                </w:p>
              </w:tc>
              <w:tc>
                <w:tcPr>
                  <w:tcW w:w="1404" w:type="dxa"/>
                  <w:vMerge w:val="continue"/>
                  <w:tcBorders>
                    <w:tl2br w:val="nil"/>
                    <w:tr2bl w:val="nil"/>
                  </w:tcBorders>
                  <w:vAlign w:val="center"/>
                </w:tcPr>
                <w:p>
                  <w:pPr>
                    <w:jc w:val="center"/>
                    <w:rPr>
                      <w:color w:val="auto"/>
                      <w:sz w:val="18"/>
                      <w:szCs w:val="18"/>
                    </w:rPr>
                  </w:pPr>
                </w:p>
              </w:tc>
              <w:tc>
                <w:tcPr>
                  <w:tcW w:w="2081" w:type="dxa"/>
                  <w:gridSpan w:val="4"/>
                  <w:tcBorders>
                    <w:tl2br w:val="nil"/>
                    <w:tr2bl w:val="nil"/>
                  </w:tcBorders>
                  <w:vAlign w:val="center"/>
                </w:tcPr>
                <w:p>
                  <w:pPr>
                    <w:jc w:val="center"/>
                    <w:rPr>
                      <w:color w:val="auto"/>
                      <w:szCs w:val="21"/>
                    </w:rPr>
                  </w:pPr>
                  <w:r>
                    <w:rPr>
                      <w:color w:val="auto"/>
                      <w:szCs w:val="21"/>
                    </w:rPr>
                    <w:t>氨氮</w:t>
                  </w:r>
                </w:p>
              </w:tc>
              <w:tc>
                <w:tcPr>
                  <w:tcW w:w="2082" w:type="dxa"/>
                  <w:gridSpan w:val="5"/>
                  <w:tcBorders>
                    <w:tl2br w:val="nil"/>
                    <w:tr2bl w:val="nil"/>
                  </w:tcBorders>
                  <w:vAlign w:val="center"/>
                </w:tcPr>
                <w:p>
                  <w:pPr>
                    <w:jc w:val="center"/>
                    <w:rPr>
                      <w:rFonts w:hint="eastAsia"/>
                      <w:color w:val="auto"/>
                      <w:szCs w:val="21"/>
                    </w:rPr>
                  </w:pPr>
                  <w:r>
                    <w:rPr>
                      <w:rFonts w:hint="eastAsia"/>
                      <w:color w:val="auto"/>
                      <w:szCs w:val="21"/>
                      <w:lang w:val="en-US" w:eastAsia="zh-CN"/>
                    </w:rPr>
                    <w:t>0.0126</w:t>
                  </w:r>
                </w:p>
              </w:tc>
              <w:tc>
                <w:tcPr>
                  <w:tcW w:w="2084" w:type="dxa"/>
                  <w:gridSpan w:val="3"/>
                  <w:tcBorders>
                    <w:tl2br w:val="nil"/>
                    <w:tr2bl w:val="nil"/>
                  </w:tcBorders>
                  <w:vAlign w:val="center"/>
                </w:tcPr>
                <w:p>
                  <w:pPr>
                    <w:jc w:val="center"/>
                    <w:rPr>
                      <w:color w:val="auto"/>
                      <w:szCs w:val="21"/>
                    </w:rPr>
                  </w:pPr>
                  <w:r>
                    <w:rPr>
                      <w:color w:val="auto"/>
                      <w:szCs w:val="21"/>
                    </w:rPr>
                    <w:t>3</w:t>
                  </w:r>
                  <w:r>
                    <w:rPr>
                      <w:rFonts w:hint="eastAsia"/>
                      <w:color w:val="auto"/>
                      <w:szCs w:val="21"/>
                    </w:rPr>
                    <w:t>5</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PrEx>
              <w:trPr>
                <w:jc w:val="center"/>
              </w:trPr>
              <w:tc>
                <w:tcPr>
                  <w:tcW w:w="871" w:type="dxa"/>
                  <w:vMerge w:val="continue"/>
                  <w:tcBorders>
                    <w:tl2br w:val="nil"/>
                    <w:tr2bl w:val="nil"/>
                  </w:tcBorders>
                  <w:vAlign w:val="center"/>
                </w:tcPr>
                <w:p>
                  <w:pPr>
                    <w:jc w:val="center"/>
                    <w:rPr>
                      <w:color w:val="auto"/>
                      <w:sz w:val="18"/>
                      <w:szCs w:val="18"/>
                    </w:rPr>
                  </w:pPr>
                </w:p>
              </w:tc>
              <w:tc>
                <w:tcPr>
                  <w:tcW w:w="1404" w:type="dxa"/>
                  <w:vMerge w:val="continue"/>
                  <w:tcBorders>
                    <w:tl2br w:val="nil"/>
                    <w:tr2bl w:val="nil"/>
                  </w:tcBorders>
                  <w:vAlign w:val="center"/>
                </w:tcPr>
                <w:p>
                  <w:pPr>
                    <w:jc w:val="center"/>
                    <w:rPr>
                      <w:color w:val="auto"/>
                      <w:sz w:val="18"/>
                      <w:szCs w:val="18"/>
                    </w:rPr>
                  </w:pPr>
                </w:p>
              </w:tc>
              <w:tc>
                <w:tcPr>
                  <w:tcW w:w="2081" w:type="dxa"/>
                  <w:gridSpan w:val="4"/>
                  <w:tcBorders>
                    <w:tl2br w:val="nil"/>
                    <w:tr2bl w:val="nil"/>
                  </w:tcBorders>
                  <w:vAlign w:val="center"/>
                </w:tcPr>
                <w:p>
                  <w:pPr>
                    <w:jc w:val="center"/>
                    <w:rPr>
                      <w:color w:val="auto"/>
                      <w:szCs w:val="21"/>
                    </w:rPr>
                  </w:pPr>
                  <w:r>
                    <w:rPr>
                      <w:color w:val="auto"/>
                      <w:szCs w:val="21"/>
                    </w:rPr>
                    <w:t>TP</w:t>
                  </w:r>
                </w:p>
              </w:tc>
              <w:tc>
                <w:tcPr>
                  <w:tcW w:w="2082" w:type="dxa"/>
                  <w:gridSpan w:val="5"/>
                  <w:tcBorders>
                    <w:tl2br w:val="nil"/>
                    <w:tr2bl w:val="nil"/>
                  </w:tcBorders>
                  <w:vAlign w:val="center"/>
                </w:tcPr>
                <w:p>
                  <w:pPr>
                    <w:jc w:val="center"/>
                    <w:rPr>
                      <w:rFonts w:hint="eastAsia"/>
                      <w:color w:val="auto"/>
                      <w:szCs w:val="21"/>
                    </w:rPr>
                  </w:pPr>
                  <w:r>
                    <w:rPr>
                      <w:rFonts w:hint="eastAsia"/>
                      <w:color w:val="auto"/>
                      <w:szCs w:val="21"/>
                      <w:lang w:val="en-US" w:eastAsia="zh-CN"/>
                    </w:rPr>
                    <w:t>0.0011</w:t>
                  </w:r>
                </w:p>
              </w:tc>
              <w:tc>
                <w:tcPr>
                  <w:tcW w:w="2084" w:type="dxa"/>
                  <w:gridSpan w:val="3"/>
                  <w:tcBorders>
                    <w:tl2br w:val="nil"/>
                    <w:tr2bl w:val="nil"/>
                  </w:tcBorders>
                  <w:vAlign w:val="center"/>
                </w:tcPr>
                <w:p>
                  <w:pPr>
                    <w:jc w:val="center"/>
                    <w:rPr>
                      <w:color w:val="auto"/>
                      <w:szCs w:val="21"/>
                    </w:rPr>
                  </w:pPr>
                  <w:r>
                    <w:rPr>
                      <w:color w:val="auto"/>
                      <w:szCs w:val="21"/>
                    </w:rPr>
                    <w:t>3</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23" w:hRule="atLeast"/>
                <w:jc w:val="center"/>
              </w:trPr>
              <w:tc>
                <w:tcPr>
                  <w:tcW w:w="871" w:type="dxa"/>
                  <w:vMerge w:val="continue"/>
                  <w:tcBorders>
                    <w:tl2br w:val="nil"/>
                    <w:tr2bl w:val="nil"/>
                  </w:tcBorders>
                  <w:vAlign w:val="center"/>
                </w:tcPr>
                <w:p>
                  <w:pPr>
                    <w:jc w:val="center"/>
                    <w:rPr>
                      <w:color w:val="auto"/>
                      <w:sz w:val="18"/>
                      <w:szCs w:val="18"/>
                    </w:rPr>
                  </w:pPr>
                </w:p>
              </w:tc>
              <w:tc>
                <w:tcPr>
                  <w:tcW w:w="1404" w:type="dxa"/>
                  <w:vMerge w:val="continue"/>
                  <w:tcBorders>
                    <w:tl2br w:val="nil"/>
                    <w:tr2bl w:val="nil"/>
                  </w:tcBorders>
                  <w:vAlign w:val="center"/>
                </w:tcPr>
                <w:p>
                  <w:pPr>
                    <w:jc w:val="center"/>
                    <w:rPr>
                      <w:color w:val="auto"/>
                      <w:sz w:val="18"/>
                      <w:szCs w:val="18"/>
                    </w:rPr>
                  </w:pPr>
                </w:p>
              </w:tc>
              <w:tc>
                <w:tcPr>
                  <w:tcW w:w="2081" w:type="dxa"/>
                  <w:gridSpan w:val="4"/>
                  <w:tcBorders>
                    <w:tl2br w:val="nil"/>
                    <w:tr2bl w:val="nil"/>
                  </w:tcBorders>
                  <w:vAlign w:val="center"/>
                </w:tcPr>
                <w:p>
                  <w:pPr>
                    <w:jc w:val="center"/>
                    <w:rPr>
                      <w:color w:val="auto"/>
                      <w:szCs w:val="21"/>
                    </w:rPr>
                  </w:pPr>
                  <w:r>
                    <w:rPr>
                      <w:color w:val="auto"/>
                      <w:szCs w:val="21"/>
                    </w:rPr>
                    <w:t>TN</w:t>
                  </w:r>
                </w:p>
              </w:tc>
              <w:tc>
                <w:tcPr>
                  <w:tcW w:w="2082" w:type="dxa"/>
                  <w:gridSpan w:val="5"/>
                  <w:tcBorders>
                    <w:tl2br w:val="nil"/>
                    <w:tr2bl w:val="nil"/>
                  </w:tcBorders>
                  <w:vAlign w:val="center"/>
                </w:tcPr>
                <w:p>
                  <w:pPr>
                    <w:jc w:val="center"/>
                    <w:rPr>
                      <w:rFonts w:hint="eastAsia"/>
                      <w:color w:val="auto"/>
                      <w:szCs w:val="21"/>
                    </w:rPr>
                  </w:pPr>
                  <w:r>
                    <w:rPr>
                      <w:rFonts w:hint="eastAsia"/>
                      <w:color w:val="auto"/>
                      <w:szCs w:val="21"/>
                      <w:lang w:val="en-US" w:eastAsia="zh-CN"/>
                    </w:rPr>
                    <w:t>0.018</w:t>
                  </w:r>
                </w:p>
              </w:tc>
              <w:tc>
                <w:tcPr>
                  <w:tcW w:w="2084" w:type="dxa"/>
                  <w:gridSpan w:val="3"/>
                  <w:tcBorders>
                    <w:tl2br w:val="nil"/>
                    <w:tr2bl w:val="nil"/>
                  </w:tcBorders>
                  <w:vAlign w:val="center"/>
                </w:tcPr>
                <w:p>
                  <w:pPr>
                    <w:jc w:val="center"/>
                    <w:rPr>
                      <w:color w:val="auto"/>
                      <w:szCs w:val="21"/>
                    </w:rPr>
                  </w:pPr>
                  <w:r>
                    <w:rPr>
                      <w:rFonts w:hint="eastAsia"/>
                      <w:color w:val="auto"/>
                      <w:szCs w:val="21"/>
                    </w:rPr>
                    <w:t>50</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PrEx>
              <w:trPr>
                <w:jc w:val="center"/>
              </w:trPr>
              <w:tc>
                <w:tcPr>
                  <w:tcW w:w="871" w:type="dxa"/>
                  <w:vMerge w:val="continue"/>
                  <w:tcBorders>
                    <w:tl2br w:val="nil"/>
                    <w:tr2bl w:val="nil"/>
                  </w:tcBorders>
                  <w:vAlign w:val="center"/>
                </w:tcPr>
                <w:p>
                  <w:pPr>
                    <w:jc w:val="center"/>
                    <w:rPr>
                      <w:color w:val="auto"/>
                      <w:sz w:val="18"/>
                      <w:szCs w:val="18"/>
                    </w:rPr>
                  </w:pPr>
                </w:p>
              </w:tc>
              <w:tc>
                <w:tcPr>
                  <w:tcW w:w="1404" w:type="dxa"/>
                  <w:vMerge w:val="restart"/>
                  <w:tcBorders>
                    <w:tl2br w:val="nil"/>
                    <w:tr2bl w:val="nil"/>
                  </w:tcBorders>
                  <w:vAlign w:val="center"/>
                </w:tcPr>
                <w:p>
                  <w:pPr>
                    <w:jc w:val="center"/>
                    <w:rPr>
                      <w:color w:val="auto"/>
                      <w:sz w:val="18"/>
                      <w:szCs w:val="18"/>
                    </w:rPr>
                  </w:pPr>
                  <w:r>
                    <w:rPr>
                      <w:rFonts w:hint="eastAsia"/>
                      <w:color w:val="auto"/>
                      <w:sz w:val="18"/>
                      <w:szCs w:val="18"/>
                    </w:rPr>
                    <w:t>替代源排放情况</w:t>
                  </w:r>
                </w:p>
              </w:tc>
              <w:tc>
                <w:tcPr>
                  <w:tcW w:w="1249" w:type="dxa"/>
                  <w:tcBorders>
                    <w:tl2br w:val="nil"/>
                    <w:tr2bl w:val="nil"/>
                  </w:tcBorders>
                  <w:vAlign w:val="center"/>
                </w:tcPr>
                <w:p>
                  <w:pPr>
                    <w:jc w:val="center"/>
                    <w:rPr>
                      <w:color w:val="auto"/>
                      <w:sz w:val="18"/>
                      <w:szCs w:val="18"/>
                    </w:rPr>
                  </w:pPr>
                  <w:r>
                    <w:rPr>
                      <w:rFonts w:hint="eastAsia"/>
                      <w:color w:val="auto"/>
                      <w:sz w:val="18"/>
                      <w:szCs w:val="18"/>
                    </w:rPr>
                    <w:t>污染源名称</w:t>
                  </w:r>
                </w:p>
              </w:tc>
              <w:tc>
                <w:tcPr>
                  <w:tcW w:w="1250" w:type="dxa"/>
                  <w:gridSpan w:val="4"/>
                  <w:tcBorders>
                    <w:tl2br w:val="nil"/>
                    <w:tr2bl w:val="nil"/>
                  </w:tcBorders>
                  <w:vAlign w:val="center"/>
                </w:tcPr>
                <w:p>
                  <w:pPr>
                    <w:jc w:val="center"/>
                    <w:rPr>
                      <w:color w:val="auto"/>
                      <w:spacing w:val="-10"/>
                      <w:sz w:val="18"/>
                      <w:szCs w:val="18"/>
                    </w:rPr>
                  </w:pPr>
                  <w:r>
                    <w:rPr>
                      <w:rFonts w:hint="eastAsia"/>
                      <w:color w:val="auto"/>
                      <w:spacing w:val="-10"/>
                      <w:sz w:val="18"/>
                      <w:szCs w:val="18"/>
                    </w:rPr>
                    <w:t>排污许可证编号</w:t>
                  </w:r>
                </w:p>
              </w:tc>
              <w:tc>
                <w:tcPr>
                  <w:tcW w:w="1250" w:type="dxa"/>
                  <w:gridSpan w:val="2"/>
                  <w:tcBorders>
                    <w:tl2br w:val="nil"/>
                    <w:tr2bl w:val="nil"/>
                  </w:tcBorders>
                  <w:vAlign w:val="center"/>
                </w:tcPr>
                <w:p>
                  <w:pPr>
                    <w:jc w:val="center"/>
                    <w:rPr>
                      <w:color w:val="auto"/>
                      <w:sz w:val="18"/>
                      <w:szCs w:val="18"/>
                    </w:rPr>
                  </w:pPr>
                  <w:r>
                    <w:rPr>
                      <w:rFonts w:hint="eastAsia"/>
                      <w:color w:val="auto"/>
                      <w:sz w:val="18"/>
                      <w:szCs w:val="18"/>
                    </w:rPr>
                    <w:t>污染物名称</w:t>
                  </w:r>
                </w:p>
              </w:tc>
              <w:tc>
                <w:tcPr>
                  <w:tcW w:w="1249" w:type="dxa"/>
                  <w:gridSpan w:val="4"/>
                  <w:tcBorders>
                    <w:tl2br w:val="nil"/>
                    <w:tr2bl w:val="nil"/>
                  </w:tcBorders>
                  <w:vAlign w:val="center"/>
                </w:tcPr>
                <w:p>
                  <w:pPr>
                    <w:jc w:val="center"/>
                    <w:rPr>
                      <w:color w:val="auto"/>
                      <w:sz w:val="18"/>
                      <w:szCs w:val="18"/>
                    </w:rPr>
                  </w:pPr>
                  <w:r>
                    <w:rPr>
                      <w:rFonts w:hint="eastAsia"/>
                      <w:color w:val="auto"/>
                      <w:sz w:val="18"/>
                      <w:szCs w:val="18"/>
                    </w:rPr>
                    <w:t>排放量/（t/a）</w:t>
                  </w:r>
                </w:p>
              </w:tc>
              <w:tc>
                <w:tcPr>
                  <w:tcW w:w="1249" w:type="dxa"/>
                  <w:tcBorders>
                    <w:tl2br w:val="nil"/>
                    <w:tr2bl w:val="nil"/>
                  </w:tcBorders>
                  <w:vAlign w:val="center"/>
                </w:tcPr>
                <w:p>
                  <w:pPr>
                    <w:jc w:val="center"/>
                    <w:rPr>
                      <w:color w:val="auto"/>
                      <w:sz w:val="18"/>
                      <w:szCs w:val="18"/>
                    </w:rPr>
                  </w:pPr>
                  <w:r>
                    <w:rPr>
                      <w:rFonts w:hint="eastAsia"/>
                      <w:color w:val="auto"/>
                      <w:sz w:val="18"/>
                      <w:szCs w:val="18"/>
                    </w:rPr>
                    <w:t>排放浓度/（mg/L）</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PrEx>
              <w:trPr>
                <w:jc w:val="center"/>
              </w:trPr>
              <w:tc>
                <w:tcPr>
                  <w:tcW w:w="871" w:type="dxa"/>
                  <w:vMerge w:val="continue"/>
                  <w:tcBorders>
                    <w:tl2br w:val="nil"/>
                    <w:tr2bl w:val="nil"/>
                  </w:tcBorders>
                  <w:vAlign w:val="center"/>
                </w:tcPr>
                <w:p>
                  <w:pPr>
                    <w:jc w:val="center"/>
                    <w:rPr>
                      <w:color w:val="auto"/>
                      <w:sz w:val="18"/>
                      <w:szCs w:val="18"/>
                    </w:rPr>
                  </w:pPr>
                </w:p>
              </w:tc>
              <w:tc>
                <w:tcPr>
                  <w:tcW w:w="1404" w:type="dxa"/>
                  <w:vMerge w:val="continue"/>
                  <w:tcBorders>
                    <w:tl2br w:val="nil"/>
                    <w:tr2bl w:val="nil"/>
                  </w:tcBorders>
                  <w:vAlign w:val="center"/>
                </w:tcPr>
                <w:p>
                  <w:pPr>
                    <w:jc w:val="center"/>
                    <w:rPr>
                      <w:color w:val="auto"/>
                      <w:sz w:val="18"/>
                      <w:szCs w:val="18"/>
                    </w:rPr>
                  </w:pPr>
                </w:p>
              </w:tc>
              <w:tc>
                <w:tcPr>
                  <w:tcW w:w="1249" w:type="dxa"/>
                  <w:tcBorders>
                    <w:tl2br w:val="nil"/>
                    <w:tr2bl w:val="nil"/>
                  </w:tcBorders>
                </w:tcPr>
                <w:p>
                  <w:pPr>
                    <w:jc w:val="center"/>
                    <w:rPr>
                      <w:color w:val="auto"/>
                    </w:rPr>
                  </w:pPr>
                  <w:r>
                    <w:rPr>
                      <w:rFonts w:hint="eastAsia"/>
                      <w:color w:val="auto"/>
                      <w:sz w:val="18"/>
                      <w:szCs w:val="18"/>
                    </w:rPr>
                    <w:t>/</w:t>
                  </w:r>
                </w:p>
              </w:tc>
              <w:tc>
                <w:tcPr>
                  <w:tcW w:w="1250" w:type="dxa"/>
                  <w:gridSpan w:val="4"/>
                  <w:tcBorders>
                    <w:tl2br w:val="nil"/>
                    <w:tr2bl w:val="nil"/>
                  </w:tcBorders>
                </w:tcPr>
                <w:p>
                  <w:pPr>
                    <w:jc w:val="center"/>
                    <w:rPr>
                      <w:color w:val="auto"/>
                    </w:rPr>
                  </w:pPr>
                  <w:r>
                    <w:rPr>
                      <w:rFonts w:hint="eastAsia"/>
                      <w:color w:val="auto"/>
                      <w:sz w:val="18"/>
                      <w:szCs w:val="18"/>
                    </w:rPr>
                    <w:t>/</w:t>
                  </w:r>
                </w:p>
              </w:tc>
              <w:tc>
                <w:tcPr>
                  <w:tcW w:w="1250" w:type="dxa"/>
                  <w:gridSpan w:val="2"/>
                  <w:tcBorders>
                    <w:tl2br w:val="nil"/>
                    <w:tr2bl w:val="nil"/>
                  </w:tcBorders>
                </w:tcPr>
                <w:p>
                  <w:pPr>
                    <w:jc w:val="center"/>
                    <w:rPr>
                      <w:color w:val="auto"/>
                    </w:rPr>
                  </w:pPr>
                  <w:r>
                    <w:rPr>
                      <w:rFonts w:hint="eastAsia"/>
                      <w:color w:val="auto"/>
                      <w:sz w:val="18"/>
                      <w:szCs w:val="18"/>
                    </w:rPr>
                    <w:t>/</w:t>
                  </w:r>
                </w:p>
              </w:tc>
              <w:tc>
                <w:tcPr>
                  <w:tcW w:w="1249" w:type="dxa"/>
                  <w:gridSpan w:val="4"/>
                  <w:tcBorders>
                    <w:tl2br w:val="nil"/>
                    <w:tr2bl w:val="nil"/>
                  </w:tcBorders>
                </w:tcPr>
                <w:p>
                  <w:pPr>
                    <w:jc w:val="center"/>
                    <w:rPr>
                      <w:color w:val="auto"/>
                    </w:rPr>
                  </w:pPr>
                  <w:r>
                    <w:rPr>
                      <w:rFonts w:hint="eastAsia"/>
                      <w:color w:val="auto"/>
                      <w:sz w:val="18"/>
                      <w:szCs w:val="18"/>
                    </w:rPr>
                    <w:t>/</w:t>
                  </w:r>
                </w:p>
              </w:tc>
              <w:tc>
                <w:tcPr>
                  <w:tcW w:w="1249" w:type="dxa"/>
                  <w:tcBorders>
                    <w:tl2br w:val="nil"/>
                    <w:tr2bl w:val="nil"/>
                  </w:tcBorders>
                </w:tcPr>
                <w:p>
                  <w:pPr>
                    <w:jc w:val="center"/>
                    <w:rPr>
                      <w:color w:val="auto"/>
                    </w:rPr>
                  </w:pPr>
                  <w:r>
                    <w:rPr>
                      <w:rFonts w:hint="eastAsia"/>
                      <w:color w:val="auto"/>
                      <w:sz w:val="18"/>
                      <w:szCs w:val="18"/>
                    </w:rPr>
                    <w:t>/</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PrEx>
              <w:trPr>
                <w:jc w:val="center"/>
              </w:trPr>
              <w:tc>
                <w:tcPr>
                  <w:tcW w:w="871" w:type="dxa"/>
                  <w:vMerge w:val="continue"/>
                  <w:tcBorders>
                    <w:tl2br w:val="nil"/>
                    <w:tr2bl w:val="nil"/>
                  </w:tcBorders>
                  <w:vAlign w:val="center"/>
                </w:tcPr>
                <w:p>
                  <w:pPr>
                    <w:jc w:val="center"/>
                    <w:rPr>
                      <w:color w:val="auto"/>
                      <w:sz w:val="18"/>
                      <w:szCs w:val="18"/>
                    </w:rPr>
                  </w:pPr>
                </w:p>
              </w:tc>
              <w:tc>
                <w:tcPr>
                  <w:tcW w:w="1404" w:type="dxa"/>
                  <w:tcBorders>
                    <w:tl2br w:val="nil"/>
                    <w:tr2bl w:val="nil"/>
                  </w:tcBorders>
                  <w:vAlign w:val="center"/>
                </w:tcPr>
                <w:p>
                  <w:pPr>
                    <w:jc w:val="center"/>
                    <w:rPr>
                      <w:color w:val="auto"/>
                      <w:sz w:val="18"/>
                      <w:szCs w:val="18"/>
                    </w:rPr>
                  </w:pPr>
                  <w:r>
                    <w:rPr>
                      <w:rFonts w:hint="eastAsia"/>
                      <w:color w:val="auto"/>
                      <w:sz w:val="18"/>
                      <w:szCs w:val="18"/>
                    </w:rPr>
                    <w:t>生态流量确定</w:t>
                  </w:r>
                </w:p>
              </w:tc>
              <w:tc>
                <w:tcPr>
                  <w:tcW w:w="6247" w:type="dxa"/>
                  <w:gridSpan w:val="12"/>
                  <w:tcBorders>
                    <w:tl2br w:val="nil"/>
                    <w:tr2bl w:val="nil"/>
                  </w:tcBorders>
                  <w:vAlign w:val="center"/>
                </w:tcPr>
                <w:p>
                  <w:pPr>
                    <w:jc w:val="left"/>
                    <w:rPr>
                      <w:color w:val="auto"/>
                      <w:sz w:val="18"/>
                      <w:szCs w:val="18"/>
                    </w:rPr>
                  </w:pPr>
                  <w:r>
                    <w:rPr>
                      <w:rFonts w:hint="eastAsia"/>
                      <w:color w:val="auto"/>
                      <w:sz w:val="18"/>
                      <w:szCs w:val="18"/>
                    </w:rPr>
                    <w:t>生态流量：一般水期（ ）m</w:t>
                  </w:r>
                  <w:r>
                    <w:rPr>
                      <w:rFonts w:hint="eastAsia"/>
                      <w:color w:val="auto"/>
                      <w:sz w:val="18"/>
                      <w:szCs w:val="18"/>
                      <w:vertAlign w:val="superscript"/>
                    </w:rPr>
                    <w:t>3</w:t>
                  </w:r>
                  <w:r>
                    <w:rPr>
                      <w:rFonts w:hint="eastAsia"/>
                      <w:color w:val="auto"/>
                      <w:sz w:val="18"/>
                      <w:szCs w:val="18"/>
                    </w:rPr>
                    <w:t>/s；鱼类繁殖期（ ）m</w:t>
                  </w:r>
                  <w:r>
                    <w:rPr>
                      <w:rFonts w:hint="eastAsia"/>
                      <w:color w:val="auto"/>
                      <w:sz w:val="18"/>
                      <w:szCs w:val="18"/>
                      <w:vertAlign w:val="superscript"/>
                    </w:rPr>
                    <w:t>3</w:t>
                  </w:r>
                  <w:r>
                    <w:rPr>
                      <w:rFonts w:hint="eastAsia"/>
                      <w:color w:val="auto"/>
                      <w:sz w:val="18"/>
                      <w:szCs w:val="18"/>
                    </w:rPr>
                    <w:t>/s；其他（ ）m</w:t>
                  </w:r>
                  <w:r>
                    <w:rPr>
                      <w:rFonts w:hint="eastAsia"/>
                      <w:color w:val="auto"/>
                      <w:sz w:val="18"/>
                      <w:szCs w:val="18"/>
                      <w:vertAlign w:val="superscript"/>
                    </w:rPr>
                    <w:t>3</w:t>
                  </w:r>
                  <w:r>
                    <w:rPr>
                      <w:rFonts w:hint="eastAsia"/>
                      <w:color w:val="auto"/>
                      <w:sz w:val="18"/>
                      <w:szCs w:val="18"/>
                    </w:rPr>
                    <w:t xml:space="preserve">/s </w:t>
                  </w:r>
                </w:p>
                <w:p>
                  <w:pPr>
                    <w:jc w:val="left"/>
                    <w:rPr>
                      <w:color w:val="auto"/>
                      <w:sz w:val="18"/>
                      <w:szCs w:val="18"/>
                    </w:rPr>
                  </w:pPr>
                  <w:r>
                    <w:rPr>
                      <w:rFonts w:hint="eastAsia"/>
                      <w:color w:val="auto"/>
                      <w:sz w:val="18"/>
                      <w:szCs w:val="18"/>
                    </w:rPr>
                    <w:t>生态水位：一般水期（ ）m；鱼类繁殖期（ ）m；其他（ ）m</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PrEx>
              <w:trPr>
                <w:jc w:val="center"/>
              </w:trPr>
              <w:tc>
                <w:tcPr>
                  <w:tcW w:w="871" w:type="dxa"/>
                  <w:vMerge w:val="restart"/>
                  <w:tcBorders>
                    <w:tl2br w:val="nil"/>
                    <w:tr2bl w:val="nil"/>
                  </w:tcBorders>
                  <w:vAlign w:val="center"/>
                </w:tcPr>
                <w:p>
                  <w:pPr>
                    <w:jc w:val="center"/>
                    <w:rPr>
                      <w:color w:val="auto"/>
                      <w:sz w:val="18"/>
                      <w:szCs w:val="18"/>
                    </w:rPr>
                  </w:pPr>
                  <w:r>
                    <w:rPr>
                      <w:rFonts w:hint="eastAsia"/>
                      <w:color w:val="auto"/>
                      <w:sz w:val="18"/>
                      <w:szCs w:val="18"/>
                    </w:rPr>
                    <w:t>防</w:t>
                  </w:r>
                </w:p>
                <w:p>
                  <w:pPr>
                    <w:jc w:val="center"/>
                    <w:rPr>
                      <w:color w:val="auto"/>
                      <w:sz w:val="18"/>
                      <w:szCs w:val="18"/>
                    </w:rPr>
                  </w:pPr>
                  <w:r>
                    <w:rPr>
                      <w:rFonts w:hint="eastAsia"/>
                      <w:color w:val="auto"/>
                      <w:sz w:val="18"/>
                      <w:szCs w:val="18"/>
                    </w:rPr>
                    <w:t>治</w:t>
                  </w:r>
                </w:p>
                <w:p>
                  <w:pPr>
                    <w:jc w:val="center"/>
                    <w:rPr>
                      <w:color w:val="auto"/>
                      <w:sz w:val="18"/>
                      <w:szCs w:val="18"/>
                    </w:rPr>
                  </w:pPr>
                  <w:r>
                    <w:rPr>
                      <w:rFonts w:hint="eastAsia"/>
                      <w:color w:val="auto"/>
                      <w:sz w:val="18"/>
                      <w:szCs w:val="18"/>
                    </w:rPr>
                    <w:t>措</w:t>
                  </w:r>
                </w:p>
                <w:p>
                  <w:pPr>
                    <w:jc w:val="center"/>
                    <w:rPr>
                      <w:color w:val="auto"/>
                      <w:sz w:val="18"/>
                      <w:szCs w:val="18"/>
                    </w:rPr>
                  </w:pPr>
                  <w:r>
                    <w:rPr>
                      <w:rFonts w:hint="eastAsia"/>
                      <w:color w:val="auto"/>
                      <w:sz w:val="18"/>
                      <w:szCs w:val="18"/>
                    </w:rPr>
                    <w:t>施</w:t>
                  </w:r>
                </w:p>
              </w:tc>
              <w:tc>
                <w:tcPr>
                  <w:tcW w:w="1404" w:type="dxa"/>
                  <w:tcBorders>
                    <w:tl2br w:val="nil"/>
                    <w:tr2bl w:val="nil"/>
                  </w:tcBorders>
                  <w:vAlign w:val="center"/>
                </w:tcPr>
                <w:p>
                  <w:pPr>
                    <w:jc w:val="center"/>
                    <w:rPr>
                      <w:color w:val="auto"/>
                      <w:sz w:val="18"/>
                      <w:szCs w:val="18"/>
                    </w:rPr>
                  </w:pPr>
                  <w:r>
                    <w:rPr>
                      <w:rFonts w:hint="eastAsia"/>
                      <w:color w:val="auto"/>
                      <w:sz w:val="18"/>
                      <w:szCs w:val="18"/>
                    </w:rPr>
                    <w:t>环保措施</w:t>
                  </w:r>
                </w:p>
              </w:tc>
              <w:tc>
                <w:tcPr>
                  <w:tcW w:w="6247" w:type="dxa"/>
                  <w:gridSpan w:val="12"/>
                  <w:tcBorders>
                    <w:tl2br w:val="nil"/>
                    <w:tr2bl w:val="nil"/>
                  </w:tcBorders>
                  <w:vAlign w:val="center"/>
                </w:tcPr>
                <w:p>
                  <w:pPr>
                    <w:jc w:val="center"/>
                    <w:rPr>
                      <w:color w:val="auto"/>
                      <w:sz w:val="18"/>
                      <w:szCs w:val="18"/>
                    </w:rPr>
                  </w:pPr>
                  <w:r>
                    <w:rPr>
                      <w:rFonts w:hint="eastAsia"/>
                      <w:color w:val="auto"/>
                      <w:sz w:val="18"/>
                      <w:szCs w:val="18"/>
                    </w:rPr>
                    <w:t xml:space="preserve">污水处理设施 </w:t>
                  </w:r>
                  <w:r>
                    <w:rPr>
                      <w:color w:val="auto"/>
                      <w:sz w:val="18"/>
                      <w:szCs w:val="18"/>
                    </w:rPr>
                    <w:sym w:font="Wingdings 2" w:char="0052"/>
                  </w:r>
                  <w:r>
                    <w:rPr>
                      <w:rFonts w:hint="eastAsia"/>
                      <w:color w:val="auto"/>
                      <w:sz w:val="18"/>
                      <w:szCs w:val="18"/>
                    </w:rPr>
                    <w:t xml:space="preserve">；水文减缓设施 □；生态流量保障设施 □；区域削减 □；依托其他工程措施 □；其他 □ </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871" w:type="dxa"/>
                  <w:vMerge w:val="continue"/>
                  <w:tcBorders>
                    <w:tl2br w:val="nil"/>
                    <w:tr2bl w:val="nil"/>
                  </w:tcBorders>
                  <w:vAlign w:val="center"/>
                </w:tcPr>
                <w:p>
                  <w:pPr>
                    <w:jc w:val="center"/>
                    <w:rPr>
                      <w:color w:val="auto"/>
                      <w:sz w:val="18"/>
                      <w:szCs w:val="18"/>
                    </w:rPr>
                  </w:pPr>
                </w:p>
              </w:tc>
              <w:tc>
                <w:tcPr>
                  <w:tcW w:w="1404" w:type="dxa"/>
                  <w:vMerge w:val="restart"/>
                  <w:tcBorders>
                    <w:tl2br w:val="nil"/>
                    <w:tr2bl w:val="nil"/>
                  </w:tcBorders>
                  <w:vAlign w:val="center"/>
                </w:tcPr>
                <w:p>
                  <w:pPr>
                    <w:jc w:val="center"/>
                    <w:rPr>
                      <w:color w:val="auto"/>
                      <w:sz w:val="18"/>
                      <w:szCs w:val="18"/>
                    </w:rPr>
                  </w:pPr>
                  <w:r>
                    <w:rPr>
                      <w:rFonts w:hint="eastAsia"/>
                      <w:color w:val="auto"/>
                      <w:sz w:val="18"/>
                      <w:szCs w:val="18"/>
                    </w:rPr>
                    <w:t>监测计划</w:t>
                  </w:r>
                </w:p>
              </w:tc>
              <w:tc>
                <w:tcPr>
                  <w:tcW w:w="1614" w:type="dxa"/>
                  <w:gridSpan w:val="3"/>
                  <w:tcBorders>
                    <w:tl2br w:val="nil"/>
                    <w:tr2bl w:val="nil"/>
                  </w:tcBorders>
                  <w:vAlign w:val="center"/>
                </w:tcPr>
                <w:p>
                  <w:pPr>
                    <w:jc w:val="left"/>
                    <w:rPr>
                      <w:color w:val="auto"/>
                      <w:sz w:val="18"/>
                      <w:szCs w:val="18"/>
                    </w:rPr>
                  </w:pPr>
                </w:p>
              </w:tc>
              <w:tc>
                <w:tcPr>
                  <w:tcW w:w="2317" w:type="dxa"/>
                  <w:gridSpan w:val="5"/>
                  <w:tcBorders>
                    <w:tl2br w:val="nil"/>
                    <w:tr2bl w:val="nil"/>
                  </w:tcBorders>
                  <w:vAlign w:val="center"/>
                </w:tcPr>
                <w:p>
                  <w:pPr>
                    <w:jc w:val="center"/>
                    <w:rPr>
                      <w:color w:val="auto"/>
                      <w:sz w:val="18"/>
                      <w:szCs w:val="18"/>
                    </w:rPr>
                  </w:pPr>
                  <w:r>
                    <w:rPr>
                      <w:rFonts w:hint="eastAsia"/>
                      <w:color w:val="auto"/>
                      <w:sz w:val="18"/>
                      <w:szCs w:val="18"/>
                    </w:rPr>
                    <w:t>环境质量</w:t>
                  </w:r>
                </w:p>
              </w:tc>
              <w:tc>
                <w:tcPr>
                  <w:tcW w:w="2316" w:type="dxa"/>
                  <w:gridSpan w:val="4"/>
                  <w:tcBorders>
                    <w:tl2br w:val="nil"/>
                    <w:tr2bl w:val="nil"/>
                  </w:tcBorders>
                  <w:vAlign w:val="center"/>
                </w:tcPr>
                <w:p>
                  <w:pPr>
                    <w:jc w:val="center"/>
                    <w:rPr>
                      <w:color w:val="auto"/>
                      <w:sz w:val="18"/>
                      <w:szCs w:val="18"/>
                    </w:rPr>
                  </w:pPr>
                  <w:r>
                    <w:rPr>
                      <w:rFonts w:hint="eastAsia"/>
                      <w:color w:val="auto"/>
                      <w:sz w:val="18"/>
                      <w:szCs w:val="18"/>
                    </w:rPr>
                    <w:t>污染源</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PrEx>
              <w:trPr>
                <w:jc w:val="center"/>
              </w:trPr>
              <w:tc>
                <w:tcPr>
                  <w:tcW w:w="871" w:type="dxa"/>
                  <w:vMerge w:val="continue"/>
                  <w:tcBorders>
                    <w:tl2br w:val="nil"/>
                    <w:tr2bl w:val="nil"/>
                  </w:tcBorders>
                  <w:vAlign w:val="center"/>
                </w:tcPr>
                <w:p>
                  <w:pPr>
                    <w:jc w:val="center"/>
                    <w:rPr>
                      <w:color w:val="auto"/>
                      <w:sz w:val="18"/>
                      <w:szCs w:val="18"/>
                    </w:rPr>
                  </w:pPr>
                </w:p>
              </w:tc>
              <w:tc>
                <w:tcPr>
                  <w:tcW w:w="1404" w:type="dxa"/>
                  <w:vMerge w:val="continue"/>
                  <w:tcBorders>
                    <w:tl2br w:val="nil"/>
                    <w:tr2bl w:val="nil"/>
                  </w:tcBorders>
                  <w:vAlign w:val="center"/>
                </w:tcPr>
                <w:p>
                  <w:pPr>
                    <w:jc w:val="center"/>
                    <w:rPr>
                      <w:color w:val="auto"/>
                      <w:sz w:val="18"/>
                      <w:szCs w:val="18"/>
                    </w:rPr>
                  </w:pPr>
                </w:p>
              </w:tc>
              <w:tc>
                <w:tcPr>
                  <w:tcW w:w="1614" w:type="dxa"/>
                  <w:gridSpan w:val="3"/>
                  <w:tcBorders>
                    <w:tl2br w:val="nil"/>
                    <w:tr2bl w:val="nil"/>
                  </w:tcBorders>
                  <w:vAlign w:val="center"/>
                </w:tcPr>
                <w:p>
                  <w:pPr>
                    <w:jc w:val="center"/>
                    <w:rPr>
                      <w:color w:val="auto"/>
                      <w:sz w:val="18"/>
                      <w:szCs w:val="18"/>
                    </w:rPr>
                  </w:pPr>
                  <w:r>
                    <w:rPr>
                      <w:rFonts w:hint="eastAsia"/>
                      <w:color w:val="auto"/>
                      <w:sz w:val="18"/>
                      <w:szCs w:val="18"/>
                    </w:rPr>
                    <w:t>监测方式</w:t>
                  </w:r>
                </w:p>
              </w:tc>
              <w:tc>
                <w:tcPr>
                  <w:tcW w:w="2317" w:type="dxa"/>
                  <w:gridSpan w:val="5"/>
                  <w:tcBorders>
                    <w:tl2br w:val="nil"/>
                    <w:tr2bl w:val="nil"/>
                  </w:tcBorders>
                  <w:vAlign w:val="center"/>
                </w:tcPr>
                <w:p>
                  <w:pPr>
                    <w:jc w:val="center"/>
                    <w:rPr>
                      <w:color w:val="auto"/>
                      <w:sz w:val="18"/>
                      <w:szCs w:val="18"/>
                    </w:rPr>
                  </w:pPr>
                  <w:r>
                    <w:rPr>
                      <w:rFonts w:hint="eastAsia"/>
                      <w:color w:val="auto"/>
                      <w:sz w:val="18"/>
                      <w:szCs w:val="18"/>
                    </w:rPr>
                    <w:t>手动 □；自动 □；无监测 □</w:t>
                  </w:r>
                </w:p>
              </w:tc>
              <w:tc>
                <w:tcPr>
                  <w:tcW w:w="2316" w:type="dxa"/>
                  <w:gridSpan w:val="4"/>
                  <w:tcBorders>
                    <w:tl2br w:val="nil"/>
                    <w:tr2bl w:val="nil"/>
                  </w:tcBorders>
                  <w:vAlign w:val="center"/>
                </w:tcPr>
                <w:p>
                  <w:pPr>
                    <w:jc w:val="center"/>
                    <w:rPr>
                      <w:color w:val="auto"/>
                      <w:sz w:val="18"/>
                      <w:szCs w:val="18"/>
                    </w:rPr>
                  </w:pPr>
                  <w:r>
                    <w:rPr>
                      <w:rFonts w:hint="eastAsia"/>
                      <w:color w:val="auto"/>
                      <w:sz w:val="18"/>
                      <w:szCs w:val="18"/>
                    </w:rPr>
                    <w:t xml:space="preserve">手动 </w:t>
                  </w:r>
                  <w:r>
                    <w:rPr>
                      <w:color w:val="auto"/>
                      <w:sz w:val="18"/>
                      <w:szCs w:val="18"/>
                    </w:rPr>
                    <w:sym w:font="Wingdings 2" w:char="0052"/>
                  </w:r>
                  <w:r>
                    <w:rPr>
                      <w:rFonts w:hint="eastAsia"/>
                      <w:color w:val="auto"/>
                      <w:sz w:val="18"/>
                      <w:szCs w:val="18"/>
                    </w:rPr>
                    <w:t>；自动 □；无监测 □</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PrEx>
              <w:trPr>
                <w:jc w:val="center"/>
              </w:trPr>
              <w:tc>
                <w:tcPr>
                  <w:tcW w:w="871" w:type="dxa"/>
                  <w:vMerge w:val="continue"/>
                  <w:tcBorders>
                    <w:tl2br w:val="nil"/>
                    <w:tr2bl w:val="nil"/>
                  </w:tcBorders>
                  <w:vAlign w:val="center"/>
                </w:tcPr>
                <w:p>
                  <w:pPr>
                    <w:jc w:val="center"/>
                    <w:rPr>
                      <w:color w:val="auto"/>
                      <w:sz w:val="18"/>
                      <w:szCs w:val="18"/>
                    </w:rPr>
                  </w:pPr>
                </w:p>
              </w:tc>
              <w:tc>
                <w:tcPr>
                  <w:tcW w:w="1404" w:type="dxa"/>
                  <w:vMerge w:val="continue"/>
                  <w:tcBorders>
                    <w:tl2br w:val="nil"/>
                    <w:tr2bl w:val="nil"/>
                  </w:tcBorders>
                  <w:vAlign w:val="center"/>
                </w:tcPr>
                <w:p>
                  <w:pPr>
                    <w:jc w:val="center"/>
                    <w:rPr>
                      <w:color w:val="auto"/>
                      <w:sz w:val="18"/>
                      <w:szCs w:val="18"/>
                    </w:rPr>
                  </w:pPr>
                </w:p>
              </w:tc>
              <w:tc>
                <w:tcPr>
                  <w:tcW w:w="1614" w:type="dxa"/>
                  <w:gridSpan w:val="3"/>
                  <w:tcBorders>
                    <w:tl2br w:val="nil"/>
                    <w:tr2bl w:val="nil"/>
                  </w:tcBorders>
                  <w:vAlign w:val="center"/>
                </w:tcPr>
                <w:p>
                  <w:pPr>
                    <w:jc w:val="center"/>
                    <w:rPr>
                      <w:color w:val="auto"/>
                      <w:sz w:val="18"/>
                      <w:szCs w:val="18"/>
                    </w:rPr>
                  </w:pPr>
                  <w:r>
                    <w:rPr>
                      <w:rFonts w:hint="eastAsia"/>
                      <w:color w:val="auto"/>
                      <w:sz w:val="18"/>
                      <w:szCs w:val="18"/>
                    </w:rPr>
                    <w:t>监测点位</w:t>
                  </w:r>
                </w:p>
              </w:tc>
              <w:tc>
                <w:tcPr>
                  <w:tcW w:w="2317" w:type="dxa"/>
                  <w:gridSpan w:val="5"/>
                  <w:tcBorders>
                    <w:tl2br w:val="nil"/>
                    <w:tr2bl w:val="nil"/>
                  </w:tcBorders>
                  <w:vAlign w:val="center"/>
                </w:tcPr>
                <w:p>
                  <w:pPr>
                    <w:jc w:val="center"/>
                    <w:rPr>
                      <w:color w:val="auto"/>
                      <w:sz w:val="18"/>
                      <w:szCs w:val="18"/>
                    </w:rPr>
                  </w:pPr>
                  <w:r>
                    <w:rPr>
                      <w:rFonts w:hint="eastAsia"/>
                      <w:color w:val="auto"/>
                      <w:sz w:val="18"/>
                      <w:szCs w:val="18"/>
                    </w:rPr>
                    <w:t>/</w:t>
                  </w:r>
                </w:p>
              </w:tc>
              <w:tc>
                <w:tcPr>
                  <w:tcW w:w="2316" w:type="dxa"/>
                  <w:gridSpan w:val="4"/>
                  <w:tcBorders>
                    <w:tl2br w:val="nil"/>
                    <w:tr2bl w:val="nil"/>
                  </w:tcBorders>
                  <w:vAlign w:val="center"/>
                </w:tcPr>
                <w:p>
                  <w:pPr>
                    <w:jc w:val="center"/>
                    <w:rPr>
                      <w:color w:val="auto"/>
                      <w:sz w:val="18"/>
                      <w:szCs w:val="18"/>
                    </w:rPr>
                  </w:pPr>
                  <w:r>
                    <w:rPr>
                      <w:rFonts w:hint="eastAsia"/>
                      <w:color w:val="auto"/>
                      <w:sz w:val="18"/>
                      <w:szCs w:val="18"/>
                    </w:rPr>
                    <w:t>厂区污水总排口</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871" w:type="dxa"/>
                  <w:vMerge w:val="continue"/>
                  <w:tcBorders>
                    <w:tl2br w:val="nil"/>
                    <w:tr2bl w:val="nil"/>
                  </w:tcBorders>
                  <w:vAlign w:val="center"/>
                </w:tcPr>
                <w:p>
                  <w:pPr>
                    <w:jc w:val="center"/>
                    <w:rPr>
                      <w:color w:val="auto"/>
                      <w:sz w:val="18"/>
                      <w:szCs w:val="18"/>
                    </w:rPr>
                  </w:pPr>
                </w:p>
              </w:tc>
              <w:tc>
                <w:tcPr>
                  <w:tcW w:w="1404" w:type="dxa"/>
                  <w:vMerge w:val="continue"/>
                  <w:tcBorders>
                    <w:tl2br w:val="nil"/>
                    <w:tr2bl w:val="nil"/>
                  </w:tcBorders>
                  <w:vAlign w:val="center"/>
                </w:tcPr>
                <w:p>
                  <w:pPr>
                    <w:jc w:val="center"/>
                    <w:rPr>
                      <w:color w:val="auto"/>
                      <w:sz w:val="18"/>
                      <w:szCs w:val="18"/>
                    </w:rPr>
                  </w:pPr>
                </w:p>
              </w:tc>
              <w:tc>
                <w:tcPr>
                  <w:tcW w:w="1614" w:type="dxa"/>
                  <w:gridSpan w:val="3"/>
                  <w:tcBorders>
                    <w:tl2br w:val="nil"/>
                    <w:tr2bl w:val="nil"/>
                  </w:tcBorders>
                  <w:vAlign w:val="center"/>
                </w:tcPr>
                <w:p>
                  <w:pPr>
                    <w:jc w:val="center"/>
                    <w:rPr>
                      <w:color w:val="auto"/>
                      <w:sz w:val="18"/>
                      <w:szCs w:val="18"/>
                    </w:rPr>
                  </w:pPr>
                  <w:r>
                    <w:rPr>
                      <w:rFonts w:hint="eastAsia"/>
                      <w:color w:val="auto"/>
                      <w:sz w:val="18"/>
                      <w:szCs w:val="18"/>
                    </w:rPr>
                    <w:t>监测因子</w:t>
                  </w:r>
                </w:p>
              </w:tc>
              <w:tc>
                <w:tcPr>
                  <w:tcW w:w="2317" w:type="dxa"/>
                  <w:gridSpan w:val="5"/>
                  <w:tcBorders>
                    <w:tl2br w:val="nil"/>
                    <w:tr2bl w:val="nil"/>
                  </w:tcBorders>
                  <w:vAlign w:val="center"/>
                </w:tcPr>
                <w:p>
                  <w:pPr>
                    <w:jc w:val="center"/>
                    <w:rPr>
                      <w:color w:val="auto"/>
                      <w:sz w:val="18"/>
                      <w:szCs w:val="18"/>
                    </w:rPr>
                  </w:pPr>
                  <w:r>
                    <w:rPr>
                      <w:rFonts w:hint="eastAsia"/>
                      <w:color w:val="auto"/>
                      <w:sz w:val="18"/>
                      <w:szCs w:val="18"/>
                    </w:rPr>
                    <w:t>/</w:t>
                  </w:r>
                </w:p>
              </w:tc>
              <w:tc>
                <w:tcPr>
                  <w:tcW w:w="2316" w:type="dxa"/>
                  <w:gridSpan w:val="4"/>
                  <w:tcBorders>
                    <w:tl2br w:val="nil"/>
                    <w:tr2bl w:val="nil"/>
                  </w:tcBorders>
                  <w:vAlign w:val="center"/>
                </w:tcPr>
                <w:p>
                  <w:pPr>
                    <w:jc w:val="center"/>
                    <w:rPr>
                      <w:color w:val="auto"/>
                      <w:sz w:val="18"/>
                      <w:szCs w:val="18"/>
                    </w:rPr>
                  </w:pPr>
                  <w:r>
                    <w:rPr>
                      <w:rFonts w:hint="eastAsia"/>
                      <w:color w:val="auto"/>
                      <w:sz w:val="18"/>
                      <w:szCs w:val="18"/>
                    </w:rPr>
                    <w:t>水量、C</w:t>
                  </w:r>
                  <w:r>
                    <w:rPr>
                      <w:color w:val="auto"/>
                      <w:sz w:val="18"/>
                      <w:szCs w:val="18"/>
                    </w:rPr>
                    <w:t>OD</w:t>
                  </w:r>
                  <w:r>
                    <w:rPr>
                      <w:rFonts w:hint="eastAsia"/>
                      <w:color w:val="auto"/>
                      <w:sz w:val="18"/>
                      <w:szCs w:val="18"/>
                    </w:rPr>
                    <w:t>、S</w:t>
                  </w:r>
                  <w:r>
                    <w:rPr>
                      <w:color w:val="auto"/>
                      <w:sz w:val="18"/>
                      <w:szCs w:val="18"/>
                    </w:rPr>
                    <w:t>S</w:t>
                  </w:r>
                  <w:r>
                    <w:rPr>
                      <w:rFonts w:hint="eastAsia"/>
                      <w:color w:val="auto"/>
                      <w:sz w:val="18"/>
                      <w:szCs w:val="18"/>
                    </w:rPr>
                    <w:t>、</w:t>
                  </w:r>
                  <w:r>
                    <w:rPr>
                      <w:color w:val="auto"/>
                      <w:sz w:val="18"/>
                      <w:szCs w:val="18"/>
                    </w:rPr>
                    <w:t>氨氮</w:t>
                  </w:r>
                  <w:r>
                    <w:rPr>
                      <w:rFonts w:hint="eastAsia"/>
                      <w:color w:val="auto"/>
                      <w:sz w:val="18"/>
                      <w:szCs w:val="18"/>
                    </w:rPr>
                    <w:t>、T</w:t>
                  </w:r>
                  <w:r>
                    <w:rPr>
                      <w:color w:val="auto"/>
                      <w:sz w:val="18"/>
                      <w:szCs w:val="18"/>
                    </w:rPr>
                    <w:t>P</w:t>
                  </w:r>
                  <w:r>
                    <w:rPr>
                      <w:rFonts w:hint="eastAsia"/>
                      <w:color w:val="auto"/>
                      <w:sz w:val="18"/>
                      <w:szCs w:val="18"/>
                    </w:rPr>
                    <w:t>、T</w:t>
                  </w:r>
                  <w:r>
                    <w:rPr>
                      <w:color w:val="auto"/>
                      <w:sz w:val="18"/>
                      <w:szCs w:val="18"/>
                    </w:rPr>
                    <w:t>N</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871" w:type="dxa"/>
                  <w:vMerge w:val="continue"/>
                  <w:tcBorders>
                    <w:tl2br w:val="nil"/>
                    <w:tr2bl w:val="nil"/>
                  </w:tcBorders>
                  <w:vAlign w:val="center"/>
                </w:tcPr>
                <w:p>
                  <w:pPr>
                    <w:jc w:val="center"/>
                    <w:rPr>
                      <w:color w:val="auto"/>
                      <w:sz w:val="18"/>
                      <w:szCs w:val="18"/>
                    </w:rPr>
                  </w:pPr>
                </w:p>
              </w:tc>
              <w:tc>
                <w:tcPr>
                  <w:tcW w:w="1404" w:type="dxa"/>
                  <w:tcBorders>
                    <w:tl2br w:val="nil"/>
                    <w:tr2bl w:val="nil"/>
                  </w:tcBorders>
                  <w:vAlign w:val="center"/>
                </w:tcPr>
                <w:p>
                  <w:pPr>
                    <w:jc w:val="center"/>
                    <w:rPr>
                      <w:color w:val="auto"/>
                      <w:sz w:val="18"/>
                      <w:szCs w:val="18"/>
                    </w:rPr>
                  </w:pPr>
                  <w:r>
                    <w:rPr>
                      <w:rFonts w:hint="eastAsia"/>
                      <w:color w:val="auto"/>
                      <w:sz w:val="18"/>
                      <w:szCs w:val="18"/>
                    </w:rPr>
                    <w:t>污染物排放清单</w:t>
                  </w:r>
                </w:p>
              </w:tc>
              <w:tc>
                <w:tcPr>
                  <w:tcW w:w="6247" w:type="dxa"/>
                  <w:gridSpan w:val="12"/>
                  <w:tcBorders>
                    <w:tl2br w:val="nil"/>
                    <w:tr2bl w:val="nil"/>
                  </w:tcBorders>
                  <w:vAlign w:val="center"/>
                </w:tcPr>
                <w:p>
                  <w:pPr>
                    <w:jc w:val="center"/>
                    <w:rPr>
                      <w:color w:val="auto"/>
                      <w:sz w:val="18"/>
                      <w:szCs w:val="18"/>
                    </w:rPr>
                  </w:pPr>
                  <w:r>
                    <w:rPr>
                      <w:rFonts w:hint="eastAsia"/>
                      <w:color w:val="auto"/>
                      <w:sz w:val="18"/>
                      <w:szCs w:val="18"/>
                    </w:rPr>
                    <w:t>详见表7-11</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275" w:type="dxa"/>
                  <w:gridSpan w:val="2"/>
                  <w:tcBorders>
                    <w:tl2br w:val="nil"/>
                    <w:tr2bl w:val="nil"/>
                  </w:tcBorders>
                  <w:vAlign w:val="center"/>
                </w:tcPr>
                <w:p>
                  <w:pPr>
                    <w:jc w:val="center"/>
                    <w:rPr>
                      <w:color w:val="auto"/>
                      <w:sz w:val="18"/>
                      <w:szCs w:val="18"/>
                    </w:rPr>
                  </w:pPr>
                  <w:r>
                    <w:rPr>
                      <w:rFonts w:hint="eastAsia"/>
                      <w:color w:val="auto"/>
                      <w:sz w:val="18"/>
                      <w:szCs w:val="18"/>
                    </w:rPr>
                    <w:t>评价结论</w:t>
                  </w:r>
                </w:p>
              </w:tc>
              <w:tc>
                <w:tcPr>
                  <w:tcW w:w="6247" w:type="dxa"/>
                  <w:gridSpan w:val="12"/>
                  <w:tcBorders>
                    <w:tl2br w:val="nil"/>
                    <w:tr2bl w:val="nil"/>
                  </w:tcBorders>
                  <w:vAlign w:val="center"/>
                </w:tcPr>
                <w:p>
                  <w:pPr>
                    <w:jc w:val="center"/>
                    <w:rPr>
                      <w:color w:val="auto"/>
                      <w:sz w:val="18"/>
                      <w:szCs w:val="18"/>
                    </w:rPr>
                  </w:pPr>
                  <w:r>
                    <w:rPr>
                      <w:rFonts w:hint="eastAsia"/>
                      <w:color w:val="auto"/>
                      <w:sz w:val="18"/>
                      <w:szCs w:val="18"/>
                    </w:rPr>
                    <w:t xml:space="preserve">可以接受 </w:t>
                  </w:r>
                  <w:r>
                    <w:rPr>
                      <w:color w:val="auto"/>
                      <w:sz w:val="18"/>
                      <w:szCs w:val="18"/>
                    </w:rPr>
                    <w:sym w:font="Wingdings 2" w:char="0052"/>
                  </w:r>
                  <w:r>
                    <w:rPr>
                      <w:rFonts w:hint="eastAsia"/>
                      <w:color w:val="auto"/>
                      <w:sz w:val="18"/>
                      <w:szCs w:val="18"/>
                    </w:rPr>
                    <w:t>；不可以接受 □</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8522" w:type="dxa"/>
                  <w:gridSpan w:val="14"/>
                  <w:tcBorders>
                    <w:tl2br w:val="nil"/>
                    <w:tr2bl w:val="nil"/>
                  </w:tcBorders>
                  <w:vAlign w:val="center"/>
                </w:tcPr>
                <w:p>
                  <w:pPr>
                    <w:rPr>
                      <w:color w:val="auto"/>
                      <w:sz w:val="18"/>
                      <w:szCs w:val="18"/>
                    </w:rPr>
                  </w:pPr>
                  <w:r>
                    <w:rPr>
                      <w:rFonts w:hint="eastAsia"/>
                      <w:color w:val="auto"/>
                      <w:sz w:val="18"/>
                      <w:szCs w:val="18"/>
                    </w:rPr>
                    <w:t xml:space="preserve">注：“□”为勾选项，可√；“（ ）”为内容填写项；“备注”为其他补充内容。 </w:t>
                  </w:r>
                </w:p>
              </w:tc>
            </w:tr>
          </w:tbl>
          <w:p>
            <w:pPr>
              <w:pStyle w:val="474"/>
              <w:spacing w:line="360" w:lineRule="auto"/>
              <w:rPr>
                <w:color w:val="auto"/>
              </w:rPr>
            </w:pPr>
          </w:p>
        </w:tc>
      </w:tr>
    </w:tbl>
    <w:p>
      <w:pPr>
        <w:spacing w:line="360" w:lineRule="auto"/>
        <w:ind w:firstLine="480" w:firstLineChars="200"/>
        <w:rPr>
          <w:b/>
          <w:sz w:val="24"/>
          <w:szCs w:val="24"/>
        </w:rPr>
        <w:sectPr>
          <w:pgSz w:w="11906" w:h="16838"/>
          <w:pgMar w:top="1599" w:right="1559" w:bottom="278" w:left="1678" w:header="851" w:footer="992" w:gutter="0"/>
          <w:pgBorders>
            <w:top w:val="none" w:sz="0" w:space="0"/>
            <w:left w:val="none" w:sz="0" w:space="0"/>
            <w:bottom w:val="none" w:sz="0" w:space="0"/>
            <w:right w:val="none" w:sz="0" w:space="0"/>
          </w:pgBorders>
          <w:cols w:space="720" w:num="1"/>
          <w:docGrid w:type="linesAndChars" w:linePitch="312" w:charSpace="0"/>
        </w:sectPr>
      </w:pPr>
    </w:p>
    <w:tbl>
      <w:tblPr>
        <w:tblStyle w:val="56"/>
        <w:tblW w:w="8414"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autofit"/>
        <w:tblCellMar>
          <w:top w:w="0" w:type="dxa"/>
          <w:left w:w="51" w:type="dxa"/>
          <w:bottom w:w="0" w:type="dxa"/>
          <w:right w:w="51" w:type="dxa"/>
        </w:tblCellMar>
      </w:tblPr>
      <w:tblGrid>
        <w:gridCol w:w="8414"/>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51" w:type="dxa"/>
            <w:bottom w:w="0" w:type="dxa"/>
            <w:right w:w="51" w:type="dxa"/>
          </w:tblCellMar>
        </w:tblPrEx>
        <w:trPr>
          <w:trHeight w:val="13426" w:hRule="atLeast"/>
          <w:jc w:val="center"/>
        </w:trPr>
        <w:tc>
          <w:tcPr>
            <w:tcW w:w="8414" w:type="dxa"/>
            <w:tcBorders>
              <w:top w:val="single" w:color="auto" w:sz="6" w:space="0"/>
              <w:bottom w:val="single" w:color="auto" w:sz="12" w:space="0"/>
            </w:tcBorders>
          </w:tcPr>
          <w:p>
            <w:pPr>
              <w:spacing w:line="360" w:lineRule="auto"/>
              <w:ind w:firstLine="480" w:firstLineChars="200"/>
              <w:rPr>
                <w:b/>
                <w:sz w:val="24"/>
              </w:rPr>
            </w:pPr>
            <w:r>
              <w:rPr>
                <w:b/>
                <w:sz w:val="24"/>
              </w:rPr>
              <w:t>3、声环境影响分析</w:t>
            </w:r>
          </w:p>
          <w:p>
            <w:pPr>
              <w:tabs>
                <w:tab w:val="left" w:pos="6962"/>
              </w:tabs>
              <w:spacing w:line="360" w:lineRule="auto"/>
              <w:ind w:firstLine="480" w:firstLineChars="200"/>
              <w:rPr>
                <w:bCs/>
                <w:sz w:val="24"/>
                <w:szCs w:val="24"/>
              </w:rPr>
            </w:pPr>
            <w:r>
              <w:rPr>
                <w:rFonts w:hint="eastAsia"/>
                <w:bCs/>
                <w:sz w:val="24"/>
                <w:szCs w:val="24"/>
              </w:rPr>
              <w:t>（1）评价等级判定</w:t>
            </w:r>
          </w:p>
          <w:p>
            <w:pPr>
              <w:spacing w:line="360" w:lineRule="auto"/>
              <w:ind w:firstLine="480"/>
              <w:rPr>
                <w:sz w:val="24"/>
                <w:szCs w:val="24"/>
              </w:rPr>
            </w:pPr>
            <w:r>
              <w:rPr>
                <w:sz w:val="24"/>
                <w:szCs w:val="24"/>
              </w:rPr>
              <w:t>根据《环境影响评价技术导则—声环境》（HJ</w:t>
            </w:r>
            <w:r>
              <w:rPr>
                <w:rFonts w:hint="eastAsia"/>
                <w:sz w:val="24"/>
                <w:szCs w:val="24"/>
              </w:rPr>
              <w:t>2.4</w:t>
            </w:r>
            <w:r>
              <w:rPr>
                <w:sz w:val="24"/>
                <w:szCs w:val="24"/>
              </w:rPr>
              <w:t>-200</w:t>
            </w:r>
            <w:r>
              <w:rPr>
                <w:rFonts w:hint="eastAsia"/>
                <w:sz w:val="24"/>
                <w:szCs w:val="24"/>
              </w:rPr>
              <w:t>9</w:t>
            </w:r>
            <w:r>
              <w:rPr>
                <w:sz w:val="24"/>
                <w:szCs w:val="24"/>
              </w:rPr>
              <w:t>）判定本项目声环境评价工作等级：</w:t>
            </w:r>
          </w:p>
          <w:p>
            <w:pPr>
              <w:spacing w:line="360" w:lineRule="auto"/>
              <w:ind w:firstLine="480"/>
              <w:rPr>
                <w:sz w:val="24"/>
                <w:szCs w:val="24"/>
              </w:rPr>
            </w:pPr>
            <w:r>
              <w:rPr>
                <w:sz w:val="24"/>
                <w:szCs w:val="24"/>
              </w:rPr>
              <w:t>建设项目</w:t>
            </w:r>
            <w:r>
              <w:rPr>
                <w:rFonts w:hint="eastAsia"/>
                <w:sz w:val="24"/>
                <w:szCs w:val="24"/>
              </w:rPr>
              <w:t>所在地属于3类声环境功能区</w:t>
            </w:r>
            <w:r>
              <w:rPr>
                <w:sz w:val="24"/>
                <w:szCs w:val="24"/>
              </w:rPr>
              <w:t>，项目建成前后噪声级增加不大（小于3dB(A)），根据环境噪声评价等级表</w:t>
            </w:r>
            <w:r>
              <w:rPr>
                <w:rFonts w:hint="eastAsia"/>
                <w:sz w:val="24"/>
                <w:szCs w:val="24"/>
              </w:rPr>
              <w:t>7-</w:t>
            </w:r>
            <w:r>
              <w:rPr>
                <w:rFonts w:hint="eastAsia"/>
                <w:sz w:val="24"/>
                <w:szCs w:val="24"/>
                <w:lang w:val="en-US" w:eastAsia="zh-CN"/>
              </w:rPr>
              <w:t>20</w:t>
            </w:r>
            <w:r>
              <w:rPr>
                <w:sz w:val="24"/>
                <w:szCs w:val="24"/>
              </w:rPr>
              <w:t>，确定声环境影响评价等级为</w:t>
            </w:r>
            <w:r>
              <w:rPr>
                <w:rFonts w:hint="eastAsia"/>
                <w:sz w:val="24"/>
                <w:szCs w:val="24"/>
              </w:rPr>
              <w:t>三</w:t>
            </w:r>
            <w:r>
              <w:rPr>
                <w:sz w:val="24"/>
                <w:szCs w:val="24"/>
              </w:rPr>
              <w:t>级</w:t>
            </w:r>
            <w:r>
              <w:rPr>
                <w:rFonts w:hint="eastAsia"/>
                <w:sz w:val="24"/>
                <w:szCs w:val="24"/>
              </w:rPr>
              <w:t>，项目需进行简单评价</w:t>
            </w:r>
            <w:r>
              <w:rPr>
                <w:sz w:val="24"/>
                <w:szCs w:val="24"/>
              </w:rPr>
              <w:t>。</w:t>
            </w:r>
          </w:p>
          <w:p>
            <w:pPr>
              <w:ind w:firstLine="422"/>
              <w:jc w:val="center"/>
              <w:rPr>
                <w:b/>
                <w:szCs w:val="21"/>
              </w:rPr>
            </w:pPr>
            <w:r>
              <w:rPr>
                <w:b/>
                <w:szCs w:val="21"/>
              </w:rPr>
              <w:t>表</w:t>
            </w:r>
            <w:r>
              <w:rPr>
                <w:rFonts w:hint="eastAsia"/>
                <w:b/>
                <w:szCs w:val="21"/>
              </w:rPr>
              <w:t>7-</w:t>
            </w:r>
            <w:r>
              <w:rPr>
                <w:rFonts w:hint="eastAsia"/>
                <w:b/>
                <w:szCs w:val="21"/>
                <w:lang w:val="en-US" w:eastAsia="zh-CN"/>
              </w:rPr>
              <w:t>20</w:t>
            </w:r>
            <w:r>
              <w:rPr>
                <w:b/>
                <w:szCs w:val="21"/>
              </w:rPr>
              <w:t xml:space="preserve"> 声环境影响评价等级表</w:t>
            </w:r>
          </w:p>
          <w:tbl>
            <w:tblPr>
              <w:tblStyle w:val="56"/>
              <w:tblW w:w="4992"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6" w:type="dxa"/>
                <w:bottom w:w="0" w:type="dxa"/>
                <w:right w:w="6" w:type="dxa"/>
              </w:tblCellMar>
            </w:tblPr>
            <w:tblGrid>
              <w:gridCol w:w="2906"/>
              <w:gridCol w:w="2199"/>
              <w:gridCol w:w="1590"/>
              <w:gridCol w:w="15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6" w:type="dxa"/>
                  <w:bottom w:w="0" w:type="dxa"/>
                  <w:right w:w="6" w:type="dxa"/>
                </w:tblCellMar>
              </w:tblPrEx>
              <w:trPr>
                <w:jc w:val="center"/>
              </w:trPr>
              <w:tc>
                <w:tcPr>
                  <w:tcW w:w="1753" w:type="pct"/>
                  <w:tcBorders>
                    <w:top w:val="single" w:color="auto" w:sz="12" w:space="0"/>
                    <w:left w:val="nil"/>
                  </w:tcBorders>
                  <w:vAlign w:val="center"/>
                </w:tcPr>
                <w:p>
                  <w:pPr>
                    <w:jc w:val="center"/>
                    <w:rPr>
                      <w:b/>
                      <w:bCs/>
                      <w:szCs w:val="21"/>
                    </w:rPr>
                  </w:pPr>
                  <w:r>
                    <w:rPr>
                      <w:b/>
                      <w:bCs/>
                      <w:szCs w:val="21"/>
                    </w:rPr>
                    <w:t>项目</w:t>
                  </w:r>
                </w:p>
              </w:tc>
              <w:tc>
                <w:tcPr>
                  <w:tcW w:w="1326" w:type="pct"/>
                  <w:tcBorders>
                    <w:top w:val="single" w:color="auto" w:sz="12" w:space="0"/>
                  </w:tcBorders>
                  <w:vAlign w:val="center"/>
                </w:tcPr>
                <w:p>
                  <w:pPr>
                    <w:jc w:val="center"/>
                    <w:rPr>
                      <w:b/>
                      <w:bCs/>
                      <w:szCs w:val="21"/>
                    </w:rPr>
                  </w:pPr>
                  <w:r>
                    <w:rPr>
                      <w:b/>
                      <w:bCs/>
                      <w:szCs w:val="21"/>
                    </w:rPr>
                    <w:t>一级</w:t>
                  </w:r>
                </w:p>
              </w:tc>
              <w:tc>
                <w:tcPr>
                  <w:tcW w:w="959" w:type="pct"/>
                  <w:tcBorders>
                    <w:top w:val="single" w:color="auto" w:sz="12" w:space="0"/>
                  </w:tcBorders>
                  <w:vAlign w:val="center"/>
                </w:tcPr>
                <w:p>
                  <w:pPr>
                    <w:jc w:val="center"/>
                    <w:rPr>
                      <w:b/>
                      <w:bCs/>
                      <w:szCs w:val="21"/>
                    </w:rPr>
                  </w:pPr>
                  <w:r>
                    <w:rPr>
                      <w:b/>
                      <w:bCs/>
                      <w:szCs w:val="21"/>
                    </w:rPr>
                    <w:t>二级</w:t>
                  </w:r>
                </w:p>
              </w:tc>
              <w:tc>
                <w:tcPr>
                  <w:tcW w:w="961" w:type="pct"/>
                  <w:tcBorders>
                    <w:top w:val="single" w:color="auto" w:sz="12" w:space="0"/>
                    <w:right w:val="nil"/>
                  </w:tcBorders>
                  <w:shd w:val="clear" w:color="auto" w:fill="auto"/>
                  <w:vAlign w:val="center"/>
                </w:tcPr>
                <w:p>
                  <w:pPr>
                    <w:jc w:val="center"/>
                    <w:rPr>
                      <w:b/>
                      <w:bCs/>
                      <w:szCs w:val="21"/>
                    </w:rPr>
                  </w:pPr>
                  <w:r>
                    <w:rPr>
                      <w:b/>
                      <w:bCs/>
                      <w:szCs w:val="21"/>
                    </w:rPr>
                    <w:t>三级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6" w:type="dxa"/>
                  <w:bottom w:w="0" w:type="dxa"/>
                  <w:right w:w="6" w:type="dxa"/>
                </w:tblCellMar>
              </w:tblPrEx>
              <w:trPr>
                <w:jc w:val="center"/>
              </w:trPr>
              <w:tc>
                <w:tcPr>
                  <w:tcW w:w="1753" w:type="pct"/>
                  <w:tcBorders>
                    <w:left w:val="nil"/>
                  </w:tcBorders>
                  <w:shd w:val="clear" w:color="auto" w:fill="auto"/>
                  <w:vAlign w:val="center"/>
                </w:tcPr>
                <w:p>
                  <w:pPr>
                    <w:jc w:val="center"/>
                    <w:rPr>
                      <w:bCs/>
                      <w:szCs w:val="21"/>
                    </w:rPr>
                  </w:pPr>
                  <w:r>
                    <w:rPr>
                      <w:bCs/>
                      <w:szCs w:val="21"/>
                    </w:rPr>
                    <w:t>项目所在地声环境功能</w:t>
                  </w:r>
                </w:p>
              </w:tc>
              <w:tc>
                <w:tcPr>
                  <w:tcW w:w="1326" w:type="pct"/>
                  <w:shd w:val="clear" w:color="auto" w:fill="auto"/>
                  <w:vAlign w:val="center"/>
                </w:tcPr>
                <w:p>
                  <w:pPr>
                    <w:jc w:val="center"/>
                    <w:rPr>
                      <w:bCs/>
                      <w:szCs w:val="21"/>
                    </w:rPr>
                  </w:pPr>
                  <w:r>
                    <w:rPr>
                      <w:bCs/>
                      <w:szCs w:val="21"/>
                    </w:rPr>
                    <w:t>0类</w:t>
                  </w:r>
                </w:p>
              </w:tc>
              <w:tc>
                <w:tcPr>
                  <w:tcW w:w="959" w:type="pct"/>
                  <w:shd w:val="clear" w:color="auto" w:fill="auto"/>
                  <w:vAlign w:val="center"/>
                </w:tcPr>
                <w:p>
                  <w:pPr>
                    <w:jc w:val="center"/>
                    <w:rPr>
                      <w:bCs/>
                      <w:szCs w:val="21"/>
                    </w:rPr>
                  </w:pPr>
                  <w:r>
                    <w:rPr>
                      <w:bCs/>
                      <w:szCs w:val="21"/>
                    </w:rPr>
                    <w:t>1类、2类</w:t>
                  </w:r>
                </w:p>
              </w:tc>
              <w:tc>
                <w:tcPr>
                  <w:tcW w:w="961" w:type="pct"/>
                  <w:tcBorders>
                    <w:right w:val="nil"/>
                  </w:tcBorders>
                  <w:shd w:val="clear" w:color="auto" w:fill="EEECE1" w:themeFill="background2"/>
                  <w:vAlign w:val="center"/>
                </w:tcPr>
                <w:p>
                  <w:pPr>
                    <w:jc w:val="center"/>
                    <w:rPr>
                      <w:bCs/>
                      <w:szCs w:val="21"/>
                    </w:rPr>
                  </w:pPr>
                  <w:r>
                    <w:rPr>
                      <w:bCs/>
                      <w:szCs w:val="21"/>
                    </w:rPr>
                    <w:t>3类、4类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17" w:hRule="atLeast"/>
                <w:jc w:val="center"/>
              </w:trPr>
              <w:tc>
                <w:tcPr>
                  <w:tcW w:w="1753" w:type="pct"/>
                  <w:tcBorders>
                    <w:left w:val="nil"/>
                  </w:tcBorders>
                  <w:shd w:val="clear" w:color="auto" w:fill="auto"/>
                  <w:vAlign w:val="center"/>
                </w:tcPr>
                <w:p>
                  <w:pPr>
                    <w:jc w:val="center"/>
                    <w:rPr>
                      <w:bCs/>
                      <w:szCs w:val="21"/>
                    </w:rPr>
                  </w:pPr>
                  <w:r>
                    <w:rPr>
                      <w:bCs/>
                      <w:szCs w:val="21"/>
                    </w:rPr>
                    <w:t>建设前后</w:t>
                  </w:r>
                  <w:r>
                    <w:rPr>
                      <w:rFonts w:hint="eastAsia"/>
                      <w:bCs/>
                      <w:szCs w:val="21"/>
                    </w:rPr>
                    <w:t>敏感目标</w:t>
                  </w:r>
                  <w:r>
                    <w:rPr>
                      <w:bCs/>
                      <w:szCs w:val="21"/>
                    </w:rPr>
                    <w:t>噪声增加量</w:t>
                  </w:r>
                </w:p>
              </w:tc>
              <w:tc>
                <w:tcPr>
                  <w:tcW w:w="1326" w:type="pct"/>
                  <w:shd w:val="clear" w:color="auto" w:fill="auto"/>
                  <w:vAlign w:val="center"/>
                </w:tcPr>
                <w:p>
                  <w:pPr>
                    <w:jc w:val="center"/>
                    <w:rPr>
                      <w:bCs/>
                      <w:szCs w:val="21"/>
                    </w:rPr>
                  </w:pPr>
                  <w:r>
                    <w:rPr>
                      <w:bCs/>
                      <w:szCs w:val="21"/>
                    </w:rPr>
                    <w:t>＞5dB(A)</w:t>
                  </w:r>
                </w:p>
              </w:tc>
              <w:tc>
                <w:tcPr>
                  <w:tcW w:w="959" w:type="pct"/>
                  <w:shd w:val="clear" w:color="auto" w:fill="auto"/>
                  <w:vAlign w:val="center"/>
                </w:tcPr>
                <w:p>
                  <w:pPr>
                    <w:jc w:val="center"/>
                    <w:rPr>
                      <w:bCs/>
                      <w:szCs w:val="21"/>
                    </w:rPr>
                  </w:pPr>
                  <w:r>
                    <w:rPr>
                      <w:bCs/>
                      <w:szCs w:val="21"/>
                    </w:rPr>
                    <w:t>3～5dB(A)</w:t>
                  </w:r>
                </w:p>
              </w:tc>
              <w:tc>
                <w:tcPr>
                  <w:tcW w:w="961" w:type="pct"/>
                  <w:tcBorders>
                    <w:right w:val="nil"/>
                  </w:tcBorders>
                  <w:shd w:val="clear" w:color="auto" w:fill="EEECE1" w:themeFill="background2"/>
                  <w:vAlign w:val="center"/>
                </w:tcPr>
                <w:p>
                  <w:pPr>
                    <w:jc w:val="center"/>
                    <w:rPr>
                      <w:bCs/>
                      <w:szCs w:val="21"/>
                    </w:rPr>
                  </w:pPr>
                  <w:r>
                    <w:rPr>
                      <w:bCs/>
                      <w:szCs w:val="21"/>
                    </w:rPr>
                    <w:t>＜3dB(A)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6" w:type="dxa"/>
                  <w:bottom w:w="0" w:type="dxa"/>
                  <w:right w:w="6" w:type="dxa"/>
                </w:tblCellMar>
              </w:tblPrEx>
              <w:trPr>
                <w:trHeight w:val="317" w:hRule="atLeast"/>
                <w:jc w:val="center"/>
              </w:trPr>
              <w:tc>
                <w:tcPr>
                  <w:tcW w:w="1753" w:type="pct"/>
                  <w:tcBorders>
                    <w:left w:val="nil"/>
                  </w:tcBorders>
                  <w:shd w:val="clear" w:color="auto" w:fill="auto"/>
                  <w:vAlign w:val="center"/>
                </w:tcPr>
                <w:p>
                  <w:pPr>
                    <w:jc w:val="center"/>
                    <w:rPr>
                      <w:bCs/>
                      <w:szCs w:val="21"/>
                    </w:rPr>
                  </w:pPr>
                  <w:r>
                    <w:rPr>
                      <w:bCs/>
                      <w:szCs w:val="21"/>
                    </w:rPr>
                    <w:t>建设前后受影响人口变化情况</w:t>
                  </w:r>
                </w:p>
              </w:tc>
              <w:tc>
                <w:tcPr>
                  <w:tcW w:w="1326" w:type="pct"/>
                  <w:shd w:val="clear" w:color="auto" w:fill="auto"/>
                  <w:vAlign w:val="center"/>
                </w:tcPr>
                <w:p>
                  <w:pPr>
                    <w:jc w:val="center"/>
                    <w:rPr>
                      <w:bCs/>
                      <w:szCs w:val="21"/>
                    </w:rPr>
                  </w:pPr>
                  <w:r>
                    <w:rPr>
                      <w:bCs/>
                      <w:szCs w:val="21"/>
                    </w:rPr>
                    <w:t>显著增多</w:t>
                  </w:r>
                </w:p>
              </w:tc>
              <w:tc>
                <w:tcPr>
                  <w:tcW w:w="959" w:type="pct"/>
                  <w:shd w:val="clear" w:color="auto" w:fill="auto"/>
                  <w:vAlign w:val="center"/>
                </w:tcPr>
                <w:p>
                  <w:pPr>
                    <w:jc w:val="center"/>
                    <w:rPr>
                      <w:bCs/>
                      <w:szCs w:val="21"/>
                    </w:rPr>
                  </w:pPr>
                  <w:r>
                    <w:rPr>
                      <w:bCs/>
                      <w:szCs w:val="21"/>
                    </w:rPr>
                    <w:t>增加较多</w:t>
                  </w:r>
                </w:p>
              </w:tc>
              <w:tc>
                <w:tcPr>
                  <w:tcW w:w="961" w:type="pct"/>
                  <w:tcBorders>
                    <w:right w:val="nil"/>
                  </w:tcBorders>
                  <w:shd w:val="clear" w:color="auto" w:fill="EEECE1" w:themeFill="background2"/>
                  <w:vAlign w:val="center"/>
                </w:tcPr>
                <w:p>
                  <w:pPr>
                    <w:jc w:val="center"/>
                    <w:rPr>
                      <w:bCs/>
                      <w:szCs w:val="21"/>
                    </w:rPr>
                  </w:pPr>
                  <w:r>
                    <w:rPr>
                      <w:bCs/>
                      <w:szCs w:val="21"/>
                    </w:rPr>
                    <w:t>变化不大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6" w:type="dxa"/>
                  <w:bottom w:w="0" w:type="dxa"/>
                  <w:right w:w="6" w:type="dxa"/>
                </w:tblCellMar>
              </w:tblPrEx>
              <w:trPr>
                <w:trHeight w:val="77" w:hRule="atLeast"/>
                <w:jc w:val="center"/>
              </w:trPr>
              <w:tc>
                <w:tcPr>
                  <w:tcW w:w="1753" w:type="pct"/>
                  <w:tcBorders>
                    <w:left w:val="nil"/>
                    <w:bottom w:val="single" w:color="auto" w:sz="12" w:space="0"/>
                  </w:tcBorders>
                  <w:vAlign w:val="center"/>
                </w:tcPr>
                <w:p>
                  <w:pPr>
                    <w:jc w:val="center"/>
                    <w:rPr>
                      <w:bCs/>
                      <w:szCs w:val="21"/>
                    </w:rPr>
                  </w:pPr>
                  <w:r>
                    <w:rPr>
                      <w:bCs/>
                      <w:szCs w:val="21"/>
                    </w:rPr>
                    <w:t>其它</w:t>
                  </w:r>
                </w:p>
              </w:tc>
              <w:tc>
                <w:tcPr>
                  <w:tcW w:w="3246" w:type="pct"/>
                  <w:gridSpan w:val="3"/>
                  <w:tcBorders>
                    <w:bottom w:val="single" w:color="auto" w:sz="12" w:space="0"/>
                    <w:right w:val="nil"/>
                  </w:tcBorders>
                  <w:vAlign w:val="center"/>
                </w:tcPr>
                <w:p>
                  <w:pPr>
                    <w:jc w:val="center"/>
                    <w:rPr>
                      <w:bCs/>
                      <w:szCs w:val="21"/>
                    </w:rPr>
                  </w:pPr>
                  <w:r>
                    <w:rPr>
                      <w:bCs/>
                      <w:szCs w:val="21"/>
                    </w:rPr>
                    <w:t>如建设项目符合两个以上级别的划分原则，按较高级别的评价等级评价</w:t>
                  </w:r>
                </w:p>
              </w:tc>
            </w:tr>
          </w:tbl>
          <w:p>
            <w:pPr>
              <w:tabs>
                <w:tab w:val="left" w:pos="6962"/>
              </w:tabs>
              <w:spacing w:line="360" w:lineRule="auto"/>
              <w:ind w:firstLine="480" w:firstLineChars="200"/>
              <w:rPr>
                <w:bCs/>
                <w:sz w:val="24"/>
              </w:rPr>
            </w:pPr>
            <w:r>
              <w:rPr>
                <w:bCs/>
                <w:sz w:val="24"/>
              </w:rPr>
              <w:t>（</w:t>
            </w:r>
            <w:r>
              <w:rPr>
                <w:rFonts w:hint="eastAsia"/>
                <w:bCs/>
                <w:sz w:val="24"/>
              </w:rPr>
              <w:t>2</w:t>
            </w:r>
            <w:r>
              <w:rPr>
                <w:bCs/>
                <w:sz w:val="24"/>
              </w:rPr>
              <w:t>）噪声源</w:t>
            </w:r>
          </w:p>
          <w:p>
            <w:pPr>
              <w:tabs>
                <w:tab w:val="left" w:pos="6962"/>
              </w:tabs>
              <w:spacing w:line="360" w:lineRule="auto"/>
              <w:ind w:firstLine="480" w:firstLineChars="200"/>
              <w:rPr>
                <w:bCs/>
                <w:sz w:val="24"/>
                <w:szCs w:val="24"/>
              </w:rPr>
            </w:pPr>
            <w:r>
              <w:rPr>
                <w:bCs/>
                <w:sz w:val="24"/>
                <w:szCs w:val="24"/>
              </w:rPr>
              <w:t>本项目主要噪声设备为本项目主要噪声设备为</w:t>
            </w:r>
            <w:r>
              <w:rPr>
                <w:rFonts w:hint="eastAsia"/>
                <w:bCs/>
                <w:sz w:val="24"/>
                <w:szCs w:val="24"/>
              </w:rPr>
              <w:t>小型不锈钢锉磨床、镍钛锉车床、注塑机、空压机组、风机</w:t>
            </w:r>
            <w:r>
              <w:rPr>
                <w:bCs/>
                <w:sz w:val="24"/>
                <w:szCs w:val="24"/>
              </w:rPr>
              <w:t>等设备运行噪声，噪声值在80~9</w:t>
            </w:r>
            <w:r>
              <w:rPr>
                <w:rFonts w:hint="eastAsia"/>
                <w:bCs/>
                <w:sz w:val="24"/>
                <w:szCs w:val="24"/>
              </w:rPr>
              <w:t>0</w:t>
            </w:r>
            <w:r>
              <w:rPr>
                <w:bCs/>
                <w:sz w:val="24"/>
                <w:szCs w:val="24"/>
              </w:rPr>
              <w:t>dB（A）之间。</w:t>
            </w:r>
          </w:p>
          <w:p>
            <w:pPr>
              <w:spacing w:line="360" w:lineRule="auto"/>
              <w:ind w:firstLine="480" w:firstLineChars="200"/>
              <w:rPr>
                <w:sz w:val="24"/>
              </w:rPr>
            </w:pPr>
            <w:r>
              <w:rPr>
                <w:sz w:val="24"/>
              </w:rPr>
              <w:t>（</w:t>
            </w:r>
            <w:r>
              <w:rPr>
                <w:rFonts w:hint="eastAsia"/>
                <w:sz w:val="24"/>
              </w:rPr>
              <w:t>3</w:t>
            </w:r>
            <w:r>
              <w:rPr>
                <w:sz w:val="24"/>
              </w:rPr>
              <w:t>）预测模式</w:t>
            </w:r>
          </w:p>
          <w:p>
            <w:pPr>
              <w:spacing w:line="360" w:lineRule="auto"/>
              <w:ind w:firstLine="480" w:firstLineChars="200"/>
              <w:rPr>
                <w:kern w:val="0"/>
                <w:sz w:val="24"/>
              </w:rPr>
            </w:pPr>
            <w:r>
              <w:rPr>
                <w:rFonts w:hint="eastAsia" w:ascii="宋体" w:hAnsi="宋体" w:cs="宋体"/>
                <w:sz w:val="24"/>
              </w:rPr>
              <w:t>①</w:t>
            </w:r>
            <w:r>
              <w:rPr>
                <w:sz w:val="24"/>
              </w:rPr>
              <w:t xml:space="preserve"> </w:t>
            </w:r>
            <w:r>
              <w:rPr>
                <w:kern w:val="0"/>
                <w:sz w:val="24"/>
              </w:rPr>
              <w:t>声级</w:t>
            </w:r>
            <w:r>
              <w:rPr>
                <w:sz w:val="24"/>
              </w:rPr>
              <w:t>计算</w:t>
            </w:r>
          </w:p>
          <w:p>
            <w:pPr>
              <w:spacing w:line="360" w:lineRule="auto"/>
              <w:ind w:firstLine="480" w:firstLineChars="200"/>
              <w:rPr>
                <w:kern w:val="0"/>
                <w:sz w:val="24"/>
              </w:rPr>
            </w:pPr>
            <w:r>
              <w:rPr>
                <w:kern w:val="0"/>
                <w:sz w:val="24"/>
              </w:rPr>
              <w:t>建设项目</w:t>
            </w:r>
            <w:r>
              <w:rPr>
                <w:sz w:val="24"/>
              </w:rPr>
              <w:t>声源</w:t>
            </w:r>
            <w:r>
              <w:rPr>
                <w:kern w:val="0"/>
                <w:sz w:val="24"/>
              </w:rPr>
              <w:t>在预测点产生的等效声级贡献值(L</w:t>
            </w:r>
            <w:r>
              <w:rPr>
                <w:i/>
                <w:iCs/>
                <w:kern w:val="0"/>
                <w:sz w:val="24"/>
              </w:rPr>
              <w:t>eq g</w:t>
            </w:r>
            <w:r>
              <w:rPr>
                <w:kern w:val="0"/>
                <w:sz w:val="24"/>
              </w:rPr>
              <w:t>)计算公式：</w:t>
            </w:r>
          </w:p>
          <w:p>
            <w:pPr>
              <w:spacing w:line="360" w:lineRule="auto"/>
              <w:jc w:val="center"/>
              <w:rPr>
                <w:sz w:val="24"/>
              </w:rPr>
            </w:pPr>
            <w:r>
              <w:rPr>
                <w:rFonts w:hint="eastAsia"/>
                <w:position w:val="-36"/>
                <w:sz w:val="24"/>
              </w:rPr>
              <w:object>
                <v:shape id="_x0000_i1028" o:spt="75" type="#_x0000_t75" style="height:30pt;width:88.9pt;" o:ole="t" filled="f" o:preferrelative="t" stroked="f" coordsize="21600,21600">
                  <v:path/>
                  <v:fill on="f" focussize="0,0"/>
                  <v:stroke on="f" joinstyle="miter"/>
                  <v:imagedata r:id="rId22" o:title=""/>
                  <o:lock v:ext="edit" aspectratio="t"/>
                  <w10:wrap type="none"/>
                  <w10:anchorlock/>
                </v:shape>
                <o:OLEObject Type="Embed" ProgID="Equation.3" ShapeID="_x0000_i1028" DrawAspect="Content" ObjectID="_1468075728" r:id="rId21">
                  <o:LockedField>false</o:LockedField>
                </o:OLEObject>
              </w:object>
            </w:r>
          </w:p>
          <w:p>
            <w:pPr>
              <w:spacing w:line="360" w:lineRule="auto"/>
              <w:ind w:firstLine="480" w:firstLineChars="200"/>
              <w:rPr>
                <w:sz w:val="24"/>
              </w:rPr>
            </w:pPr>
            <w:r>
              <w:rPr>
                <w:sz w:val="24"/>
              </w:rPr>
              <w:t>式中：</w:t>
            </w:r>
            <w:r>
              <w:rPr>
                <w:i/>
                <w:sz w:val="24"/>
              </w:rPr>
              <w:t>L</w:t>
            </w:r>
            <w:r>
              <w:rPr>
                <w:sz w:val="24"/>
                <w:vertAlign w:val="subscript"/>
              </w:rPr>
              <w:t>eqg</w:t>
            </w:r>
            <w:r>
              <w:rPr>
                <w:sz w:val="24"/>
              </w:rPr>
              <w:t>—建设项目声源在预测点的等效声级贡献值，dB(A)；</w:t>
            </w:r>
          </w:p>
          <w:p>
            <w:pPr>
              <w:spacing w:line="360" w:lineRule="auto"/>
              <w:ind w:firstLine="1200" w:firstLineChars="500"/>
              <w:rPr>
                <w:sz w:val="24"/>
              </w:rPr>
            </w:pPr>
            <w:r>
              <w:rPr>
                <w:i/>
                <w:sz w:val="24"/>
              </w:rPr>
              <w:t>L</w:t>
            </w:r>
            <w:r>
              <w:rPr>
                <w:sz w:val="24"/>
                <w:vertAlign w:val="subscript"/>
              </w:rPr>
              <w:t xml:space="preserve">Ai </w:t>
            </w:r>
            <w:r>
              <w:rPr>
                <w:sz w:val="24"/>
              </w:rPr>
              <w:t>— i声源在预测点产生的A 声级，dB(A)；</w:t>
            </w:r>
          </w:p>
          <w:p>
            <w:pPr>
              <w:spacing w:line="360" w:lineRule="auto"/>
              <w:ind w:firstLine="1200" w:firstLineChars="500"/>
              <w:rPr>
                <w:sz w:val="24"/>
              </w:rPr>
            </w:pPr>
            <w:r>
              <w:rPr>
                <w:i/>
                <w:sz w:val="24"/>
              </w:rPr>
              <w:t>T</w:t>
            </w:r>
            <w:r>
              <w:rPr>
                <w:sz w:val="24"/>
              </w:rPr>
              <w:t xml:space="preserve"> —预测计算的时间段，s；</w:t>
            </w:r>
          </w:p>
          <w:p>
            <w:pPr>
              <w:spacing w:line="360" w:lineRule="auto"/>
              <w:ind w:firstLine="1200" w:firstLineChars="500"/>
              <w:rPr>
                <w:sz w:val="24"/>
              </w:rPr>
            </w:pPr>
            <w:r>
              <w:rPr>
                <w:i/>
                <w:sz w:val="24"/>
              </w:rPr>
              <w:t>t</w:t>
            </w:r>
            <w:r>
              <w:rPr>
                <w:i/>
                <w:sz w:val="24"/>
                <w:vertAlign w:val="subscript"/>
              </w:rPr>
              <w:t>i</w:t>
            </w:r>
            <w:r>
              <w:rPr>
                <w:sz w:val="24"/>
              </w:rPr>
              <w:t>— i声源在T 时段内的运行时间，s。</w:t>
            </w:r>
          </w:p>
          <w:p>
            <w:pPr>
              <w:spacing w:line="360" w:lineRule="auto"/>
              <w:ind w:firstLine="480" w:firstLineChars="200"/>
              <w:rPr>
                <w:kern w:val="0"/>
                <w:sz w:val="24"/>
              </w:rPr>
            </w:pPr>
            <w:r>
              <w:rPr>
                <w:rFonts w:hint="eastAsia" w:ascii="宋体" w:hAnsi="宋体" w:cs="宋体"/>
                <w:sz w:val="24"/>
              </w:rPr>
              <w:t>②</w:t>
            </w:r>
            <w:r>
              <w:rPr>
                <w:sz w:val="24"/>
              </w:rPr>
              <w:t xml:space="preserve"> </w:t>
            </w:r>
            <w:r>
              <w:rPr>
                <w:kern w:val="0"/>
                <w:sz w:val="24"/>
              </w:rPr>
              <w:t>预测点的预测</w:t>
            </w:r>
            <w:r>
              <w:rPr>
                <w:sz w:val="24"/>
              </w:rPr>
              <w:t>等效</w:t>
            </w:r>
            <w:r>
              <w:rPr>
                <w:kern w:val="0"/>
                <w:sz w:val="24"/>
              </w:rPr>
              <w:t>声级(</w:t>
            </w:r>
            <w:r>
              <w:rPr>
                <w:i/>
                <w:iCs/>
                <w:kern w:val="0"/>
                <w:sz w:val="24"/>
              </w:rPr>
              <w:t xml:space="preserve">L eq </w:t>
            </w:r>
            <w:r>
              <w:rPr>
                <w:kern w:val="0"/>
                <w:sz w:val="24"/>
              </w:rPr>
              <w:t>)计算公式</w:t>
            </w:r>
          </w:p>
          <w:p>
            <w:pPr>
              <w:spacing w:line="360" w:lineRule="auto"/>
              <w:jc w:val="center"/>
              <w:rPr>
                <w:sz w:val="24"/>
              </w:rPr>
            </w:pPr>
            <w:r>
              <w:rPr>
                <w:position w:val="-14"/>
                <w:sz w:val="24"/>
              </w:rPr>
              <w:object>
                <v:shape id="_x0000_i1029" o:spt="75" type="#_x0000_t75" style="height:21.25pt;width:150.55pt;" o:ole="t" filled="f" o:preferrelative="t" stroked="f" coordsize="21600,21600">
                  <v:path/>
                  <v:fill on="f" focussize="0,0"/>
                  <v:stroke on="f" joinstyle="miter"/>
                  <v:imagedata r:id="rId24" o:title=""/>
                  <o:lock v:ext="edit" aspectratio="t"/>
                  <w10:wrap type="none"/>
                  <w10:anchorlock/>
                </v:shape>
                <o:OLEObject Type="Embed" ProgID="Equation.3" ShapeID="_x0000_i1029" DrawAspect="Content" ObjectID="_1468075729" r:id="rId23">
                  <o:LockedField>false</o:LockedField>
                </o:OLEObject>
              </w:object>
            </w:r>
          </w:p>
          <w:p>
            <w:pPr>
              <w:spacing w:line="360" w:lineRule="auto"/>
              <w:ind w:firstLine="480" w:firstLineChars="200"/>
              <w:rPr>
                <w:kern w:val="0"/>
                <w:sz w:val="24"/>
              </w:rPr>
            </w:pPr>
            <w:r>
              <w:rPr>
                <w:kern w:val="0"/>
                <w:sz w:val="24"/>
              </w:rPr>
              <w:t>式中：</w:t>
            </w:r>
            <w:r>
              <w:rPr>
                <w:i/>
                <w:iCs/>
                <w:kern w:val="0"/>
                <w:sz w:val="24"/>
              </w:rPr>
              <w:t>L</w:t>
            </w:r>
            <w:r>
              <w:rPr>
                <w:i/>
                <w:iCs/>
                <w:kern w:val="0"/>
                <w:sz w:val="24"/>
                <w:vertAlign w:val="subscript"/>
              </w:rPr>
              <w:t xml:space="preserve"> eq g</w:t>
            </w:r>
            <w:r>
              <w:rPr>
                <w:i/>
                <w:iCs/>
                <w:kern w:val="0"/>
                <w:sz w:val="24"/>
              </w:rPr>
              <w:t xml:space="preserve"> </w:t>
            </w:r>
            <w:r>
              <w:rPr>
                <w:kern w:val="0"/>
                <w:sz w:val="24"/>
              </w:rPr>
              <w:t>—建设项目声源在预测点的</w:t>
            </w:r>
            <w:r>
              <w:rPr>
                <w:sz w:val="24"/>
              </w:rPr>
              <w:t>等效</w:t>
            </w:r>
            <w:r>
              <w:rPr>
                <w:kern w:val="0"/>
                <w:sz w:val="24"/>
              </w:rPr>
              <w:t>声级贡献值，dB(A)；</w:t>
            </w:r>
          </w:p>
          <w:p>
            <w:pPr>
              <w:spacing w:line="360" w:lineRule="auto"/>
              <w:ind w:firstLine="1200" w:firstLineChars="500"/>
              <w:rPr>
                <w:kern w:val="0"/>
                <w:sz w:val="24"/>
              </w:rPr>
            </w:pPr>
            <w:r>
              <w:rPr>
                <w:i/>
                <w:iCs/>
                <w:kern w:val="0"/>
                <w:sz w:val="24"/>
              </w:rPr>
              <w:t>L</w:t>
            </w:r>
            <w:r>
              <w:rPr>
                <w:i/>
                <w:iCs/>
                <w:kern w:val="0"/>
                <w:sz w:val="24"/>
                <w:vertAlign w:val="subscript"/>
              </w:rPr>
              <w:t xml:space="preserve"> eqb</w:t>
            </w:r>
            <w:r>
              <w:rPr>
                <w:i/>
                <w:iCs/>
                <w:kern w:val="0"/>
                <w:sz w:val="24"/>
              </w:rPr>
              <w:t xml:space="preserve"> </w:t>
            </w:r>
            <w:r>
              <w:rPr>
                <w:kern w:val="0"/>
                <w:sz w:val="24"/>
              </w:rPr>
              <w:t>— 预测点的</w:t>
            </w:r>
            <w:r>
              <w:rPr>
                <w:sz w:val="24"/>
              </w:rPr>
              <w:t>背景值</w:t>
            </w:r>
            <w:r>
              <w:rPr>
                <w:kern w:val="0"/>
                <w:sz w:val="24"/>
              </w:rPr>
              <w:t>，dB(A)</w:t>
            </w:r>
          </w:p>
          <w:p>
            <w:pPr>
              <w:spacing w:line="360" w:lineRule="auto"/>
              <w:ind w:firstLine="480" w:firstLineChars="200"/>
              <w:rPr>
                <w:sz w:val="24"/>
              </w:rPr>
            </w:pPr>
            <w:r>
              <w:rPr>
                <w:rFonts w:hint="eastAsia" w:ascii="宋体" w:hAnsi="宋体" w:cs="宋体"/>
                <w:sz w:val="24"/>
              </w:rPr>
              <w:t>③</w:t>
            </w:r>
            <w:r>
              <w:rPr>
                <w:sz w:val="24"/>
              </w:rPr>
              <w:t xml:space="preserve"> 户外声传播衰减计算</w:t>
            </w:r>
          </w:p>
          <w:p>
            <w:pPr>
              <w:spacing w:line="360" w:lineRule="auto"/>
              <w:ind w:firstLine="480" w:firstLineChars="200"/>
              <w:rPr>
                <w:sz w:val="24"/>
              </w:rPr>
            </w:pPr>
            <w:r>
              <w:rPr>
                <w:sz w:val="24"/>
              </w:rPr>
              <w:t>a.户外声传播衰减包括几何发散（</w:t>
            </w:r>
            <w:r>
              <w:rPr>
                <w:i/>
                <w:sz w:val="24"/>
              </w:rPr>
              <w:t>A</w:t>
            </w:r>
            <w:r>
              <w:rPr>
                <w:sz w:val="24"/>
                <w:vertAlign w:val="subscript"/>
              </w:rPr>
              <w:t>div</w:t>
            </w:r>
            <w:r>
              <w:rPr>
                <w:sz w:val="24"/>
              </w:rPr>
              <w:t>）、大气吸收（</w:t>
            </w:r>
            <w:r>
              <w:rPr>
                <w:i/>
                <w:sz w:val="24"/>
              </w:rPr>
              <w:t>A</w:t>
            </w:r>
            <w:r>
              <w:rPr>
                <w:sz w:val="24"/>
                <w:vertAlign w:val="subscript"/>
              </w:rPr>
              <w:t>atm</w:t>
            </w:r>
            <w:r>
              <w:rPr>
                <w:sz w:val="24"/>
              </w:rPr>
              <w:t>）、地面效应（</w:t>
            </w:r>
            <w:r>
              <w:rPr>
                <w:i/>
                <w:sz w:val="24"/>
              </w:rPr>
              <w:t>A</w:t>
            </w:r>
            <w:r>
              <w:rPr>
                <w:sz w:val="24"/>
                <w:vertAlign w:val="subscript"/>
              </w:rPr>
              <w:t>gr</w:t>
            </w:r>
            <w:r>
              <w:rPr>
                <w:sz w:val="24"/>
              </w:rPr>
              <w:t>）、屏障屏蔽（</w:t>
            </w:r>
            <w:r>
              <w:rPr>
                <w:i/>
                <w:sz w:val="24"/>
              </w:rPr>
              <w:t>A</w:t>
            </w:r>
            <w:r>
              <w:rPr>
                <w:sz w:val="24"/>
                <w:vertAlign w:val="subscript"/>
              </w:rPr>
              <w:t>bar</w:t>
            </w:r>
            <w:r>
              <w:rPr>
                <w:sz w:val="24"/>
              </w:rPr>
              <w:t>）、其他多方面效应（</w:t>
            </w:r>
            <w:r>
              <w:rPr>
                <w:i/>
                <w:sz w:val="24"/>
              </w:rPr>
              <w:t>A</w:t>
            </w:r>
            <w:r>
              <w:rPr>
                <w:sz w:val="24"/>
                <w:vertAlign w:val="subscript"/>
              </w:rPr>
              <w:t>misc</w:t>
            </w:r>
            <w:r>
              <w:rPr>
                <w:sz w:val="24"/>
              </w:rPr>
              <w:t>）引起的衰减。在已知距离无指向性点声源参考点 r</w:t>
            </w:r>
            <w:r>
              <w:rPr>
                <w:sz w:val="24"/>
                <w:vertAlign w:val="subscript"/>
              </w:rPr>
              <w:t>0</w:t>
            </w:r>
            <w:r>
              <w:rPr>
                <w:sz w:val="24"/>
              </w:rPr>
              <w:t>处的倍频带（用63Hz到8KHz的8个标称倍频带中心频率）声压级</w:t>
            </w:r>
            <w:r>
              <w:rPr>
                <w:i/>
                <w:sz w:val="24"/>
              </w:rPr>
              <w:t>L</w:t>
            </w:r>
            <w:r>
              <w:rPr>
                <w:i/>
                <w:sz w:val="24"/>
                <w:vertAlign w:val="subscript"/>
              </w:rPr>
              <w:t>p</w:t>
            </w:r>
            <w:r>
              <w:rPr>
                <w:sz w:val="24"/>
              </w:rPr>
              <w:t>(r</w:t>
            </w:r>
            <w:r>
              <w:rPr>
                <w:sz w:val="24"/>
                <w:vertAlign w:val="subscript"/>
              </w:rPr>
              <w:t>0</w:t>
            </w:r>
            <w:r>
              <w:rPr>
                <w:sz w:val="24"/>
              </w:rPr>
              <w:t>)和计算出参考点(r</w:t>
            </w:r>
            <w:r>
              <w:rPr>
                <w:sz w:val="24"/>
                <w:vertAlign w:val="subscript"/>
              </w:rPr>
              <w:t>0</w:t>
            </w:r>
            <w:r>
              <w:rPr>
                <w:sz w:val="24"/>
              </w:rPr>
              <w:t>)和预测点(r)处之间的户外声传播衰减后，预测点8 个倍频带声压级可用下式计算：</w:t>
            </w:r>
          </w:p>
          <w:p>
            <w:pPr>
              <w:spacing w:before="60" w:after="60" w:line="360" w:lineRule="auto"/>
              <w:jc w:val="center"/>
              <w:rPr>
                <w:sz w:val="24"/>
              </w:rPr>
            </w:pPr>
            <w:r>
              <w:rPr>
                <w:position w:val="-14"/>
                <w:sz w:val="24"/>
              </w:rPr>
              <w:object>
                <v:shape id="_x0000_i1030" o:spt="75" type="#_x0000_t75" style="height:19.1pt;width:227.45pt;" o:ole="t" filled="f" o:preferrelative="t" stroked="f" coordsize="21600,21600">
                  <v:path/>
                  <v:fill on="f" focussize="0,0"/>
                  <v:stroke on="f" joinstyle="miter"/>
                  <v:imagedata r:id="rId26" o:title=""/>
                  <o:lock v:ext="edit" aspectratio="t"/>
                  <w10:wrap type="none"/>
                  <w10:anchorlock/>
                </v:shape>
                <o:OLEObject Type="Embed" ProgID="Equation.3" ShapeID="_x0000_i1030" DrawAspect="Content" ObjectID="_1468075730" r:id="rId25">
                  <o:LockedField>false</o:LockedField>
                </o:OLEObject>
              </w:object>
            </w:r>
          </w:p>
          <w:p>
            <w:pPr>
              <w:spacing w:line="360" w:lineRule="auto"/>
              <w:ind w:firstLine="480" w:firstLineChars="200"/>
              <w:rPr>
                <w:sz w:val="24"/>
              </w:rPr>
            </w:pPr>
            <w:r>
              <w:rPr>
                <w:sz w:val="24"/>
              </w:rPr>
              <w:t>b.预测点的A声级</w:t>
            </w:r>
            <w:r>
              <w:rPr>
                <w:i/>
                <w:sz w:val="24"/>
              </w:rPr>
              <w:t>L</w:t>
            </w:r>
            <w:r>
              <w:rPr>
                <w:i/>
                <w:sz w:val="24"/>
                <w:vertAlign w:val="subscript"/>
              </w:rPr>
              <w:t>A</w:t>
            </w:r>
            <w:r>
              <w:rPr>
                <w:sz w:val="24"/>
              </w:rPr>
              <w:t>(r)可按下式计算，即将8个倍频带声压级合成，计算出预测点的A声级(</w:t>
            </w:r>
            <w:r>
              <w:rPr>
                <w:i/>
                <w:sz w:val="24"/>
              </w:rPr>
              <w:t>L</w:t>
            </w:r>
            <w:r>
              <w:rPr>
                <w:i/>
                <w:sz w:val="24"/>
                <w:vertAlign w:val="subscript"/>
              </w:rPr>
              <w:t>A</w:t>
            </w:r>
            <w:r>
              <w:rPr>
                <w:sz w:val="24"/>
              </w:rPr>
              <w:t>(r))。</w:t>
            </w:r>
          </w:p>
          <w:p>
            <w:pPr>
              <w:spacing w:line="360" w:lineRule="auto"/>
              <w:ind w:firstLine="480" w:firstLineChars="200"/>
              <w:jc w:val="center"/>
              <w:rPr>
                <w:sz w:val="24"/>
              </w:rPr>
            </w:pPr>
            <w:r>
              <w:rPr>
                <w:rFonts w:hint="eastAsia"/>
                <w:position w:val="-28"/>
                <w:sz w:val="24"/>
              </w:rPr>
              <w:object>
                <v:shape id="_x0000_i1031" o:spt="75" type="#_x0000_t75" style="height:33.8pt;width:147.8pt;" o:ole="t" filled="f" o:preferrelative="t" stroked="f" coordsize="21600,21600">
                  <v:path/>
                  <v:fill on="f" focussize="0,0"/>
                  <v:stroke on="f" joinstyle="miter"/>
                  <v:imagedata r:id="rId28" o:title=""/>
                  <o:lock v:ext="edit" aspectratio="t"/>
                  <w10:wrap type="none"/>
                  <w10:anchorlock/>
                </v:shape>
                <o:OLEObject Type="Embed" ProgID="Equation.3" ShapeID="_x0000_i1031" DrawAspect="Content" ObjectID="_1468075731" r:id="rId27">
                  <o:LockedField>false</o:LockedField>
                </o:OLEObject>
              </w:object>
            </w:r>
          </w:p>
          <w:p>
            <w:pPr>
              <w:spacing w:line="360" w:lineRule="auto"/>
              <w:ind w:firstLine="480" w:firstLineChars="200"/>
              <w:rPr>
                <w:sz w:val="24"/>
              </w:rPr>
            </w:pPr>
            <w:r>
              <w:rPr>
                <w:sz w:val="24"/>
              </w:rPr>
              <w:t>式中：</w:t>
            </w:r>
            <w:r>
              <w:rPr>
                <w:i/>
                <w:sz w:val="24"/>
              </w:rPr>
              <w:t>L</w:t>
            </w:r>
            <w:r>
              <w:rPr>
                <w:i/>
                <w:sz w:val="24"/>
                <w:vertAlign w:val="subscript"/>
              </w:rPr>
              <w:t xml:space="preserve"> </w:t>
            </w:r>
            <w:r>
              <w:rPr>
                <w:sz w:val="24"/>
                <w:vertAlign w:val="subscript"/>
              </w:rPr>
              <w:t>Pi</w:t>
            </w:r>
            <w:r>
              <w:rPr>
                <w:sz w:val="24"/>
              </w:rPr>
              <w:t xml:space="preserve"> (r)—预测点（r）处，第</w:t>
            </w:r>
            <w:r>
              <w:rPr>
                <w:i/>
                <w:sz w:val="24"/>
              </w:rPr>
              <w:t>i</w:t>
            </w:r>
            <w:r>
              <w:rPr>
                <w:sz w:val="24"/>
              </w:rPr>
              <w:t xml:space="preserve"> 倍频带声压级，dB；</w:t>
            </w:r>
          </w:p>
          <w:p>
            <w:pPr>
              <w:spacing w:line="360" w:lineRule="auto"/>
              <w:ind w:firstLine="1200" w:firstLineChars="500"/>
              <w:rPr>
                <w:sz w:val="24"/>
              </w:rPr>
            </w:pPr>
            <w:r>
              <w:rPr>
                <w:sz w:val="24"/>
              </w:rPr>
              <w:t>Δ</w:t>
            </w:r>
            <w:r>
              <w:rPr>
                <w:i/>
                <w:sz w:val="24"/>
              </w:rPr>
              <w:t>Li</w:t>
            </w:r>
            <w:r>
              <w:rPr>
                <w:sz w:val="24"/>
              </w:rPr>
              <w:t>—第</w:t>
            </w:r>
            <w:r>
              <w:rPr>
                <w:i/>
                <w:sz w:val="24"/>
              </w:rPr>
              <w:t>i</w:t>
            </w:r>
            <w:r>
              <w:rPr>
                <w:sz w:val="24"/>
              </w:rPr>
              <w:t>倍频带的 A计权网络修正值，dB。</w:t>
            </w:r>
          </w:p>
          <w:p>
            <w:pPr>
              <w:spacing w:line="360" w:lineRule="auto"/>
              <w:ind w:firstLine="480" w:firstLineChars="200"/>
              <w:rPr>
                <w:sz w:val="24"/>
              </w:rPr>
            </w:pPr>
            <w:r>
              <w:rPr>
                <w:sz w:val="24"/>
              </w:rPr>
              <w:t>（</w:t>
            </w:r>
            <w:r>
              <w:rPr>
                <w:rFonts w:hint="eastAsia"/>
                <w:sz w:val="24"/>
              </w:rPr>
              <w:t>4</w:t>
            </w:r>
            <w:r>
              <w:rPr>
                <w:sz w:val="24"/>
              </w:rPr>
              <w:t>）预测结果及评价</w:t>
            </w:r>
          </w:p>
          <w:p>
            <w:pPr>
              <w:spacing w:line="360" w:lineRule="auto"/>
              <w:ind w:firstLine="480" w:firstLineChars="200"/>
              <w:rPr>
                <w:sz w:val="24"/>
              </w:rPr>
            </w:pPr>
            <w:r>
              <w:rPr>
                <w:sz w:val="24"/>
              </w:rPr>
              <w:t>选择东、南、西、北四个厂界</w:t>
            </w:r>
            <w:r>
              <w:rPr>
                <w:rFonts w:hint="eastAsia"/>
                <w:sz w:val="24"/>
              </w:rPr>
              <w:t>和东侧的敏感点</w:t>
            </w:r>
            <w:r>
              <w:rPr>
                <w:rFonts w:hint="eastAsia"/>
                <w:sz w:val="24"/>
                <w:lang w:eastAsia="zh-CN"/>
              </w:rPr>
              <w:t>珑庭花园（这里以本项目所在车间为边界）</w:t>
            </w:r>
            <w:r>
              <w:rPr>
                <w:sz w:val="24"/>
              </w:rPr>
              <w:t>作为预测点，进行噪声影响预测，具体预测结果见表7-</w:t>
            </w:r>
            <w:r>
              <w:rPr>
                <w:rFonts w:hint="eastAsia"/>
                <w:sz w:val="24"/>
              </w:rPr>
              <w:t>2</w:t>
            </w:r>
            <w:r>
              <w:rPr>
                <w:rFonts w:hint="eastAsia"/>
                <w:sz w:val="24"/>
                <w:lang w:val="en-US" w:eastAsia="zh-CN"/>
              </w:rPr>
              <w:t>2</w:t>
            </w:r>
            <w:r>
              <w:rPr>
                <w:sz w:val="24"/>
              </w:rPr>
              <w:t>。</w:t>
            </w:r>
          </w:p>
          <w:p>
            <w:pPr>
              <w:snapToGrid w:val="0"/>
              <w:jc w:val="center"/>
              <w:rPr>
                <w:b/>
                <w:szCs w:val="21"/>
              </w:rPr>
            </w:pPr>
            <w:r>
              <w:rPr>
                <w:b/>
                <w:szCs w:val="21"/>
              </w:rPr>
              <w:t>表7-</w:t>
            </w:r>
            <w:r>
              <w:rPr>
                <w:rFonts w:hint="eastAsia"/>
                <w:b/>
                <w:szCs w:val="21"/>
              </w:rPr>
              <w:t>2</w:t>
            </w:r>
            <w:r>
              <w:rPr>
                <w:rFonts w:hint="eastAsia"/>
                <w:b/>
                <w:szCs w:val="21"/>
                <w:lang w:val="en-US" w:eastAsia="zh-CN"/>
              </w:rPr>
              <w:t>1</w:t>
            </w:r>
            <w:r>
              <w:rPr>
                <w:b/>
                <w:szCs w:val="21"/>
              </w:rPr>
              <w:t xml:space="preserve"> 项目各声源与厂界</w:t>
            </w:r>
            <w:r>
              <w:rPr>
                <w:rFonts w:hint="eastAsia"/>
                <w:b/>
                <w:szCs w:val="21"/>
              </w:rPr>
              <w:t>、珑庭花园</w:t>
            </w:r>
            <w:r>
              <w:rPr>
                <w:b/>
                <w:szCs w:val="21"/>
              </w:rPr>
              <w:t>的距离</w:t>
            </w:r>
          </w:p>
          <w:tbl>
            <w:tblPr>
              <w:tblStyle w:val="56"/>
              <w:tblW w:w="4995" w:type="pct"/>
              <w:jc w:val="center"/>
              <w:tblBorders>
                <w:top w:val="single" w:color="000000" w:sz="12" w:space="0"/>
                <w:left w:val="none" w:color="auto" w:sz="0" w:space="0"/>
                <w:bottom w:val="single" w:color="000000" w:sz="12" w:space="0"/>
                <w:right w:val="none" w:color="auto" w:sz="0" w:space="0"/>
                <w:insideH w:val="single" w:color="000000" w:sz="6" w:space="0"/>
                <w:insideV w:val="single" w:color="000000" w:sz="6" w:space="0"/>
              </w:tblBorders>
              <w:tblLayout w:type="autofit"/>
              <w:tblCellMar>
                <w:top w:w="0" w:type="dxa"/>
                <w:left w:w="108" w:type="dxa"/>
                <w:bottom w:w="0" w:type="dxa"/>
                <w:right w:w="108" w:type="dxa"/>
              </w:tblCellMar>
            </w:tblPr>
            <w:tblGrid>
              <w:gridCol w:w="540"/>
              <w:gridCol w:w="1670"/>
              <w:gridCol w:w="899"/>
              <w:gridCol w:w="849"/>
              <w:gridCol w:w="866"/>
              <w:gridCol w:w="869"/>
              <w:gridCol w:w="869"/>
              <w:gridCol w:w="871"/>
              <w:gridCol w:w="871"/>
            </w:tblGrid>
            <w:tr>
              <w:tblPrEx>
                <w:tblBorders>
                  <w:top w:val="single" w:color="000000" w:sz="12" w:space="0"/>
                  <w:left w:val="none" w:color="auto" w:sz="0" w:space="0"/>
                  <w:bottom w:val="single" w:color="000000" w:sz="12" w:space="0"/>
                  <w:right w:val="none" w:color="auto" w:sz="0" w:space="0"/>
                  <w:insideH w:val="single" w:color="000000" w:sz="6" w:space="0"/>
                  <w:insideV w:val="single" w:color="000000" w:sz="6" w:space="0"/>
                </w:tblBorders>
                <w:tblCellMar>
                  <w:top w:w="0" w:type="dxa"/>
                  <w:left w:w="108" w:type="dxa"/>
                  <w:bottom w:w="0" w:type="dxa"/>
                  <w:right w:w="108" w:type="dxa"/>
                </w:tblCellMar>
              </w:tblPrEx>
              <w:trPr>
                <w:trHeight w:val="340" w:hRule="atLeast"/>
                <w:jc w:val="center"/>
              </w:trPr>
              <w:tc>
                <w:tcPr>
                  <w:tcW w:w="325" w:type="pct"/>
                  <w:noWrap w:val="0"/>
                  <w:tcMar>
                    <w:top w:w="28" w:type="dxa"/>
                    <w:left w:w="28" w:type="dxa"/>
                    <w:bottom w:w="28" w:type="dxa"/>
                    <w:right w:w="28" w:type="dxa"/>
                  </w:tcMar>
                  <w:vAlign w:val="center"/>
                </w:tcPr>
                <w:p>
                  <w:pPr>
                    <w:jc w:val="center"/>
                    <w:rPr>
                      <w:rFonts w:hint="default" w:ascii="Times New Roman" w:hAnsi="Times New Roman" w:eastAsia="宋体" w:cs="Times New Roman"/>
                      <w:b/>
                      <w:snapToGrid w:val="0"/>
                      <w:color w:val="auto"/>
                      <w:kern w:val="0"/>
                      <w:szCs w:val="21"/>
                    </w:rPr>
                  </w:pPr>
                  <w:r>
                    <w:rPr>
                      <w:rFonts w:hint="default" w:ascii="Times New Roman" w:hAnsi="Times New Roman" w:eastAsia="宋体" w:cs="Times New Roman"/>
                      <w:b/>
                      <w:snapToGrid w:val="0"/>
                      <w:color w:val="auto"/>
                      <w:kern w:val="0"/>
                      <w:szCs w:val="21"/>
                    </w:rPr>
                    <w:t>声源位置</w:t>
                  </w:r>
                </w:p>
              </w:tc>
              <w:tc>
                <w:tcPr>
                  <w:tcW w:w="1005" w:type="pct"/>
                  <w:noWrap w:val="0"/>
                  <w:tcMar>
                    <w:top w:w="28" w:type="dxa"/>
                    <w:left w:w="28" w:type="dxa"/>
                    <w:bottom w:w="28" w:type="dxa"/>
                    <w:right w:w="28" w:type="dxa"/>
                  </w:tcMar>
                  <w:vAlign w:val="center"/>
                </w:tcPr>
                <w:p>
                  <w:pPr>
                    <w:jc w:val="center"/>
                    <w:rPr>
                      <w:rFonts w:hint="default" w:ascii="Times New Roman" w:hAnsi="Times New Roman" w:eastAsia="宋体" w:cs="Times New Roman"/>
                      <w:b/>
                      <w:snapToGrid w:val="0"/>
                      <w:color w:val="auto"/>
                      <w:kern w:val="0"/>
                      <w:szCs w:val="21"/>
                    </w:rPr>
                  </w:pPr>
                  <w:r>
                    <w:rPr>
                      <w:rFonts w:hint="default" w:ascii="Times New Roman" w:hAnsi="Times New Roman" w:eastAsia="宋体" w:cs="Times New Roman"/>
                      <w:b/>
                      <w:snapToGrid w:val="0"/>
                      <w:color w:val="auto"/>
                      <w:kern w:val="0"/>
                      <w:szCs w:val="21"/>
                    </w:rPr>
                    <w:t>噪声源</w:t>
                  </w:r>
                </w:p>
              </w:tc>
              <w:tc>
                <w:tcPr>
                  <w:tcW w:w="541" w:type="pct"/>
                  <w:noWrap w:val="0"/>
                  <w:tcMar>
                    <w:top w:w="28" w:type="dxa"/>
                    <w:left w:w="28" w:type="dxa"/>
                    <w:bottom w:w="28" w:type="dxa"/>
                    <w:right w:w="28" w:type="dxa"/>
                  </w:tcMar>
                  <w:vAlign w:val="center"/>
                </w:tcPr>
                <w:p>
                  <w:pPr>
                    <w:jc w:val="center"/>
                    <w:rPr>
                      <w:rFonts w:hint="default" w:ascii="Times New Roman" w:hAnsi="Times New Roman" w:eastAsia="宋体" w:cs="Times New Roman"/>
                      <w:b/>
                      <w:snapToGrid w:val="0"/>
                      <w:color w:val="auto"/>
                      <w:kern w:val="0"/>
                      <w:szCs w:val="21"/>
                      <w:lang w:val="en-US" w:eastAsia="zh-CN"/>
                    </w:rPr>
                  </w:pPr>
                  <w:r>
                    <w:rPr>
                      <w:rFonts w:hint="default" w:ascii="Times New Roman" w:hAnsi="Times New Roman" w:eastAsia="宋体" w:cs="Times New Roman"/>
                      <w:b/>
                      <w:snapToGrid w:val="0"/>
                      <w:color w:val="auto"/>
                      <w:kern w:val="0"/>
                      <w:szCs w:val="21"/>
                    </w:rPr>
                    <w:t>降噪后源强</w:t>
                  </w:r>
                  <w:r>
                    <w:rPr>
                      <w:rStyle w:val="75"/>
                      <w:rFonts w:hint="default" w:ascii="Times New Roman" w:hAnsi="Times New Roman" w:eastAsia="宋体" w:cs="Times New Roman"/>
                      <w:color w:val="auto"/>
                      <w:lang w:val="en-US" w:eastAsia="zh-CN"/>
                    </w:rPr>
                    <w:t>/dB（A）</w:t>
                  </w:r>
                </w:p>
              </w:tc>
              <w:tc>
                <w:tcPr>
                  <w:tcW w:w="511" w:type="pct"/>
                  <w:noWrap w:val="0"/>
                  <w:tcMar>
                    <w:top w:w="28" w:type="dxa"/>
                    <w:left w:w="28" w:type="dxa"/>
                    <w:bottom w:w="28" w:type="dxa"/>
                    <w:right w:w="28" w:type="dxa"/>
                  </w:tcMar>
                  <w:vAlign w:val="center"/>
                </w:tcPr>
                <w:p>
                  <w:pPr>
                    <w:jc w:val="center"/>
                    <w:rPr>
                      <w:rFonts w:hint="default" w:ascii="Times New Roman" w:hAnsi="Times New Roman" w:eastAsia="宋体" w:cs="Times New Roman"/>
                      <w:b/>
                      <w:snapToGrid w:val="0"/>
                      <w:color w:val="auto"/>
                      <w:kern w:val="0"/>
                      <w:szCs w:val="21"/>
                    </w:rPr>
                  </w:pPr>
                  <w:r>
                    <w:rPr>
                      <w:rFonts w:hint="default" w:ascii="Times New Roman" w:hAnsi="Times New Roman" w:eastAsia="宋体" w:cs="Times New Roman"/>
                      <w:b/>
                      <w:snapToGrid w:val="0"/>
                      <w:color w:val="auto"/>
                      <w:kern w:val="0"/>
                      <w:szCs w:val="21"/>
                    </w:rPr>
                    <w:t>数量（台/套）</w:t>
                  </w:r>
                </w:p>
              </w:tc>
              <w:tc>
                <w:tcPr>
                  <w:tcW w:w="521" w:type="pct"/>
                  <w:noWrap w:val="0"/>
                  <w:tcMar>
                    <w:top w:w="28" w:type="dxa"/>
                    <w:left w:w="28" w:type="dxa"/>
                    <w:bottom w:w="28" w:type="dxa"/>
                    <w:right w:w="28" w:type="dxa"/>
                  </w:tcMar>
                  <w:vAlign w:val="center"/>
                </w:tcPr>
                <w:p>
                  <w:pPr>
                    <w:jc w:val="center"/>
                    <w:rPr>
                      <w:rFonts w:hint="default" w:ascii="Times New Roman" w:hAnsi="Times New Roman" w:eastAsia="宋体" w:cs="Times New Roman"/>
                      <w:b/>
                      <w:snapToGrid w:val="0"/>
                      <w:color w:val="auto"/>
                      <w:kern w:val="0"/>
                      <w:szCs w:val="21"/>
                    </w:rPr>
                  </w:pPr>
                  <w:r>
                    <w:rPr>
                      <w:rFonts w:hint="default" w:ascii="Times New Roman" w:hAnsi="Times New Roman" w:eastAsia="宋体" w:cs="Times New Roman"/>
                      <w:b/>
                      <w:snapToGrid w:val="0"/>
                      <w:color w:val="auto"/>
                      <w:kern w:val="0"/>
                      <w:szCs w:val="21"/>
                    </w:rPr>
                    <w:t>东厂界</w:t>
                  </w:r>
                </w:p>
                <w:p>
                  <w:pPr>
                    <w:jc w:val="center"/>
                    <w:rPr>
                      <w:rFonts w:hint="default" w:ascii="Times New Roman" w:hAnsi="Times New Roman" w:eastAsia="宋体" w:cs="Times New Roman"/>
                      <w:b/>
                      <w:snapToGrid w:val="0"/>
                      <w:color w:val="auto"/>
                      <w:kern w:val="0"/>
                      <w:szCs w:val="21"/>
                    </w:rPr>
                  </w:pPr>
                  <w:r>
                    <w:rPr>
                      <w:rFonts w:hint="default" w:ascii="Times New Roman" w:hAnsi="Times New Roman" w:eastAsia="宋体" w:cs="Times New Roman"/>
                      <w:b/>
                      <w:snapToGrid w:val="0"/>
                      <w:color w:val="auto"/>
                      <w:kern w:val="0"/>
                      <w:szCs w:val="21"/>
                    </w:rPr>
                    <w:t>m</w:t>
                  </w:r>
                </w:p>
              </w:tc>
              <w:tc>
                <w:tcPr>
                  <w:tcW w:w="523" w:type="pct"/>
                  <w:noWrap w:val="0"/>
                  <w:tcMar>
                    <w:top w:w="28" w:type="dxa"/>
                    <w:left w:w="28" w:type="dxa"/>
                    <w:bottom w:w="28" w:type="dxa"/>
                    <w:right w:w="28" w:type="dxa"/>
                  </w:tcMar>
                  <w:vAlign w:val="center"/>
                </w:tcPr>
                <w:p>
                  <w:pPr>
                    <w:jc w:val="center"/>
                    <w:rPr>
                      <w:rFonts w:hint="default" w:ascii="Times New Roman" w:hAnsi="Times New Roman" w:eastAsia="宋体" w:cs="Times New Roman"/>
                      <w:b/>
                      <w:snapToGrid w:val="0"/>
                      <w:color w:val="auto"/>
                      <w:kern w:val="0"/>
                      <w:szCs w:val="21"/>
                    </w:rPr>
                  </w:pPr>
                  <w:r>
                    <w:rPr>
                      <w:rFonts w:hint="default" w:ascii="Times New Roman" w:hAnsi="Times New Roman" w:eastAsia="宋体" w:cs="Times New Roman"/>
                      <w:b/>
                      <w:snapToGrid w:val="0"/>
                      <w:color w:val="auto"/>
                      <w:kern w:val="0"/>
                      <w:szCs w:val="21"/>
                    </w:rPr>
                    <w:t>南厂界</w:t>
                  </w:r>
                </w:p>
                <w:p>
                  <w:pPr>
                    <w:jc w:val="center"/>
                    <w:rPr>
                      <w:rFonts w:hint="default" w:ascii="Times New Roman" w:hAnsi="Times New Roman" w:eastAsia="宋体" w:cs="Times New Roman"/>
                      <w:b/>
                      <w:snapToGrid w:val="0"/>
                      <w:color w:val="auto"/>
                      <w:kern w:val="0"/>
                      <w:szCs w:val="21"/>
                    </w:rPr>
                  </w:pPr>
                  <w:r>
                    <w:rPr>
                      <w:rFonts w:hint="default" w:ascii="Times New Roman" w:hAnsi="Times New Roman" w:eastAsia="宋体" w:cs="Times New Roman"/>
                      <w:b/>
                      <w:snapToGrid w:val="0"/>
                      <w:color w:val="auto"/>
                      <w:kern w:val="0"/>
                      <w:szCs w:val="21"/>
                    </w:rPr>
                    <w:t>m</w:t>
                  </w:r>
                </w:p>
              </w:tc>
              <w:tc>
                <w:tcPr>
                  <w:tcW w:w="523" w:type="pct"/>
                  <w:noWrap w:val="0"/>
                  <w:tcMar>
                    <w:top w:w="28" w:type="dxa"/>
                    <w:left w:w="28" w:type="dxa"/>
                    <w:bottom w:w="28" w:type="dxa"/>
                    <w:right w:w="28" w:type="dxa"/>
                  </w:tcMar>
                  <w:vAlign w:val="center"/>
                </w:tcPr>
                <w:p>
                  <w:pPr>
                    <w:jc w:val="center"/>
                    <w:rPr>
                      <w:rFonts w:hint="default" w:ascii="Times New Roman" w:hAnsi="Times New Roman" w:eastAsia="宋体" w:cs="Times New Roman"/>
                      <w:b/>
                      <w:snapToGrid w:val="0"/>
                      <w:color w:val="auto"/>
                      <w:kern w:val="0"/>
                      <w:szCs w:val="21"/>
                    </w:rPr>
                  </w:pPr>
                  <w:r>
                    <w:rPr>
                      <w:rFonts w:hint="default" w:ascii="Times New Roman" w:hAnsi="Times New Roman" w:eastAsia="宋体" w:cs="Times New Roman"/>
                      <w:b/>
                      <w:snapToGrid w:val="0"/>
                      <w:color w:val="auto"/>
                      <w:kern w:val="0"/>
                      <w:szCs w:val="21"/>
                    </w:rPr>
                    <w:t>西厂界</w:t>
                  </w:r>
                </w:p>
                <w:p>
                  <w:pPr>
                    <w:jc w:val="center"/>
                    <w:rPr>
                      <w:rFonts w:hint="default" w:ascii="Times New Roman" w:hAnsi="Times New Roman" w:eastAsia="宋体" w:cs="Times New Roman"/>
                      <w:b/>
                      <w:snapToGrid w:val="0"/>
                      <w:color w:val="auto"/>
                      <w:kern w:val="0"/>
                      <w:szCs w:val="21"/>
                    </w:rPr>
                  </w:pPr>
                  <w:r>
                    <w:rPr>
                      <w:rFonts w:hint="default" w:ascii="Times New Roman" w:hAnsi="Times New Roman" w:eastAsia="宋体" w:cs="Times New Roman"/>
                      <w:b/>
                      <w:snapToGrid w:val="0"/>
                      <w:color w:val="auto"/>
                      <w:kern w:val="0"/>
                      <w:szCs w:val="21"/>
                    </w:rPr>
                    <w:t>m</w:t>
                  </w:r>
                </w:p>
              </w:tc>
              <w:tc>
                <w:tcPr>
                  <w:tcW w:w="524" w:type="pct"/>
                  <w:noWrap w:val="0"/>
                  <w:tcMar>
                    <w:top w:w="28" w:type="dxa"/>
                    <w:left w:w="28" w:type="dxa"/>
                    <w:bottom w:w="28" w:type="dxa"/>
                    <w:right w:w="28" w:type="dxa"/>
                  </w:tcMar>
                  <w:vAlign w:val="center"/>
                </w:tcPr>
                <w:p>
                  <w:pPr>
                    <w:jc w:val="center"/>
                    <w:rPr>
                      <w:rFonts w:hint="default" w:ascii="Times New Roman" w:hAnsi="Times New Roman" w:eastAsia="宋体" w:cs="Times New Roman"/>
                      <w:b/>
                      <w:snapToGrid w:val="0"/>
                      <w:color w:val="auto"/>
                      <w:kern w:val="0"/>
                      <w:szCs w:val="21"/>
                    </w:rPr>
                  </w:pPr>
                  <w:r>
                    <w:rPr>
                      <w:rFonts w:hint="default" w:ascii="Times New Roman" w:hAnsi="Times New Roman" w:eastAsia="宋体" w:cs="Times New Roman"/>
                      <w:b/>
                      <w:snapToGrid w:val="0"/>
                      <w:color w:val="auto"/>
                      <w:kern w:val="0"/>
                      <w:szCs w:val="21"/>
                    </w:rPr>
                    <w:t>北厂界</w:t>
                  </w:r>
                </w:p>
                <w:p>
                  <w:pPr>
                    <w:jc w:val="center"/>
                    <w:rPr>
                      <w:rFonts w:hint="default" w:ascii="Times New Roman" w:hAnsi="Times New Roman" w:eastAsia="宋体" w:cs="Times New Roman"/>
                      <w:b/>
                      <w:snapToGrid w:val="0"/>
                      <w:color w:val="auto"/>
                      <w:kern w:val="0"/>
                      <w:szCs w:val="21"/>
                    </w:rPr>
                  </w:pPr>
                  <w:r>
                    <w:rPr>
                      <w:rFonts w:hint="default" w:ascii="Times New Roman" w:hAnsi="Times New Roman" w:eastAsia="宋体" w:cs="Times New Roman"/>
                      <w:b/>
                      <w:snapToGrid w:val="0"/>
                      <w:color w:val="auto"/>
                      <w:kern w:val="0"/>
                      <w:szCs w:val="21"/>
                    </w:rPr>
                    <w:t>m</w:t>
                  </w:r>
                </w:p>
              </w:tc>
              <w:tc>
                <w:tcPr>
                  <w:tcW w:w="524" w:type="pct"/>
                  <w:noWrap w:val="0"/>
                  <w:tcMar>
                    <w:top w:w="28" w:type="dxa"/>
                    <w:left w:w="28" w:type="dxa"/>
                    <w:bottom w:w="28" w:type="dxa"/>
                    <w:right w:w="28" w:type="dxa"/>
                  </w:tcMar>
                  <w:vAlign w:val="center"/>
                </w:tcPr>
                <w:p>
                  <w:pPr>
                    <w:jc w:val="center"/>
                    <w:rPr>
                      <w:rFonts w:hint="default" w:ascii="Times New Roman" w:hAnsi="Times New Roman" w:eastAsia="宋体" w:cs="Times New Roman"/>
                      <w:b/>
                      <w:snapToGrid w:val="0"/>
                      <w:color w:val="auto"/>
                      <w:kern w:val="0"/>
                      <w:szCs w:val="21"/>
                      <w:lang w:val="en-US" w:eastAsia="zh-CN"/>
                    </w:rPr>
                  </w:pPr>
                  <w:r>
                    <w:rPr>
                      <w:rFonts w:hint="eastAsia" w:eastAsia="宋体" w:cs="Times New Roman"/>
                      <w:b/>
                      <w:snapToGrid w:val="0"/>
                      <w:color w:val="auto"/>
                      <w:kern w:val="0"/>
                      <w:szCs w:val="21"/>
                      <w:lang w:eastAsia="zh-CN"/>
                    </w:rPr>
                    <w:t>敏感点</w:t>
                  </w:r>
                  <w:r>
                    <w:rPr>
                      <w:rFonts w:hint="eastAsia" w:eastAsia="宋体" w:cs="Times New Roman"/>
                      <w:b/>
                      <w:snapToGrid w:val="0"/>
                      <w:color w:val="auto"/>
                      <w:kern w:val="0"/>
                      <w:szCs w:val="21"/>
                      <w:lang w:val="en-US" w:eastAsia="zh-CN"/>
                    </w:rPr>
                    <w:t>m</w:t>
                  </w:r>
                </w:p>
              </w:tc>
            </w:tr>
            <w:tr>
              <w:tblPrEx>
                <w:tblBorders>
                  <w:top w:val="single" w:color="000000" w:sz="12" w:space="0"/>
                  <w:left w:val="none" w:color="auto" w:sz="0" w:space="0"/>
                  <w:bottom w:val="single" w:color="000000" w:sz="12" w:space="0"/>
                  <w:right w:val="none" w:color="auto" w:sz="0" w:space="0"/>
                  <w:insideH w:val="single" w:color="000000" w:sz="6" w:space="0"/>
                  <w:insideV w:val="single" w:color="000000" w:sz="6" w:space="0"/>
                </w:tblBorders>
                <w:tblCellMar>
                  <w:top w:w="0" w:type="dxa"/>
                  <w:left w:w="108" w:type="dxa"/>
                  <w:bottom w:w="0" w:type="dxa"/>
                  <w:right w:w="108" w:type="dxa"/>
                </w:tblCellMar>
              </w:tblPrEx>
              <w:trPr>
                <w:trHeight w:val="352" w:hRule="atLeast"/>
                <w:jc w:val="center"/>
              </w:trPr>
              <w:tc>
                <w:tcPr>
                  <w:tcW w:w="325" w:type="pct"/>
                  <w:noWrap w:val="0"/>
                  <w:tcMar>
                    <w:top w:w="28" w:type="dxa"/>
                    <w:left w:w="28" w:type="dxa"/>
                    <w:bottom w:w="28" w:type="dxa"/>
                    <w:right w:w="28" w:type="dxa"/>
                  </w:tcMar>
                  <w:vAlign w:val="center"/>
                </w:tcPr>
                <w:p>
                  <w:pPr>
                    <w:widowControl/>
                    <w:jc w:val="center"/>
                    <w:textAlignment w:val="center"/>
                    <w:rPr>
                      <w:rFonts w:hint="default" w:ascii="Times New Roman" w:hAnsi="Times New Roman" w:eastAsia="宋体" w:cs="Times New Roman"/>
                      <w:snapToGrid w:val="0"/>
                      <w:color w:val="auto"/>
                      <w:kern w:val="0"/>
                      <w:szCs w:val="21"/>
                    </w:rPr>
                  </w:pPr>
                  <w:r>
                    <w:rPr>
                      <w:rFonts w:hint="default" w:ascii="Times New Roman" w:hAnsi="Times New Roman" w:eastAsia="宋体" w:cs="Times New Roman"/>
                      <w:color w:val="auto"/>
                      <w:szCs w:val="21"/>
                    </w:rPr>
                    <w:t>生产车间</w:t>
                  </w:r>
                </w:p>
              </w:tc>
              <w:tc>
                <w:tcPr>
                  <w:tcW w:w="1005" w:type="pct"/>
                  <w:noWrap w:val="0"/>
                  <w:tcMar>
                    <w:top w:w="28" w:type="dxa"/>
                    <w:left w:w="28" w:type="dxa"/>
                    <w:bottom w:w="28" w:type="dxa"/>
                    <w:right w:w="28" w:type="dxa"/>
                  </w:tcMar>
                  <w:vAlign w:val="center"/>
                </w:tcPr>
                <w:p>
                  <w:pPr>
                    <w:widowControl/>
                    <w:jc w:val="center"/>
                    <w:textAlignment w:val="center"/>
                    <w:rPr>
                      <w:rFonts w:hint="eastAsia" w:ascii="Times New Roman" w:hAnsi="Times New Roman" w:eastAsia="宋体" w:cs="Times New Roman"/>
                      <w:color w:val="auto"/>
                      <w:szCs w:val="21"/>
                      <w:lang w:eastAsia="zh-CN"/>
                    </w:rPr>
                  </w:pPr>
                  <w:r>
                    <w:rPr>
                      <w:rFonts w:hint="eastAsia" w:eastAsia="宋体" w:cs="Times New Roman"/>
                      <w:color w:val="auto"/>
                      <w:szCs w:val="21"/>
                      <w:lang w:eastAsia="zh-CN"/>
                    </w:rPr>
                    <w:t>不锈钢锉磨床、镍钛锉车床、不锈钢锉后续处理设备、</w:t>
                  </w:r>
                  <w:r>
                    <w:rPr>
                      <w:rFonts w:hint="eastAsia"/>
                      <w:color w:val="000000" w:themeColor="text1"/>
                      <w:szCs w:val="21"/>
                      <w:lang w:eastAsia="zh-CN"/>
                      <w14:textFill>
                        <w14:solidFill>
                          <w14:schemeClr w14:val="tx1"/>
                        </w14:solidFill>
                      </w14:textFill>
                    </w:rPr>
                    <w:t>注塑机、镍钛锉测拉力机、钢丝调直设备、冷却机、空压机等</w:t>
                  </w:r>
                </w:p>
              </w:tc>
              <w:tc>
                <w:tcPr>
                  <w:tcW w:w="541" w:type="pct"/>
                  <w:noWrap w:val="0"/>
                  <w:tcMar>
                    <w:top w:w="28" w:type="dxa"/>
                    <w:left w:w="28" w:type="dxa"/>
                    <w:bottom w:w="28" w:type="dxa"/>
                    <w:right w:w="28" w:type="dxa"/>
                  </w:tcMar>
                  <w:vAlign w:val="center"/>
                </w:tcPr>
                <w:p>
                  <w:pPr>
                    <w:adjustRightInd w:val="0"/>
                    <w:jc w:val="center"/>
                    <w:rPr>
                      <w:rFonts w:hint="default" w:ascii="Times New Roman" w:hAnsi="Times New Roman" w:eastAsia="宋体" w:cs="Times New Roman"/>
                      <w:color w:val="auto"/>
                      <w:szCs w:val="21"/>
                      <w:lang w:val="en-US" w:eastAsia="zh-CN"/>
                    </w:rPr>
                  </w:pPr>
                  <w:r>
                    <w:rPr>
                      <w:rFonts w:hint="eastAsia" w:eastAsia="宋体" w:cs="Times New Roman"/>
                      <w:color w:val="auto"/>
                      <w:szCs w:val="21"/>
                      <w:lang w:val="en-US" w:eastAsia="zh-CN"/>
                    </w:rPr>
                    <w:t>100</w:t>
                  </w:r>
                </w:p>
              </w:tc>
              <w:tc>
                <w:tcPr>
                  <w:tcW w:w="511" w:type="pct"/>
                  <w:noWrap w:val="0"/>
                  <w:tcMar>
                    <w:top w:w="28" w:type="dxa"/>
                    <w:left w:w="28" w:type="dxa"/>
                    <w:bottom w:w="28" w:type="dxa"/>
                    <w:right w:w="28" w:type="dxa"/>
                  </w:tcMar>
                  <w:vAlign w:val="center"/>
                </w:tcPr>
                <w:p>
                  <w:pPr>
                    <w:widowControl/>
                    <w:jc w:val="center"/>
                    <w:textAlignment w:val="center"/>
                    <w:rPr>
                      <w:rFonts w:hint="default" w:ascii="Times New Roman" w:hAnsi="Times New Roman" w:eastAsia="宋体" w:cs="Times New Roman"/>
                      <w:color w:val="auto"/>
                      <w:szCs w:val="21"/>
                      <w:lang w:val="en-US" w:eastAsia="zh-CN"/>
                    </w:rPr>
                  </w:pPr>
                  <w:r>
                    <w:rPr>
                      <w:rFonts w:hint="eastAsia" w:eastAsia="宋体" w:cs="Times New Roman"/>
                      <w:color w:val="auto"/>
                      <w:szCs w:val="21"/>
                      <w:lang w:val="en-US" w:eastAsia="zh-CN"/>
                    </w:rPr>
                    <w:t>239</w:t>
                  </w:r>
                </w:p>
              </w:tc>
              <w:tc>
                <w:tcPr>
                  <w:tcW w:w="521" w:type="pct"/>
                  <w:noWrap w:val="0"/>
                  <w:tcMar>
                    <w:top w:w="28" w:type="dxa"/>
                    <w:left w:w="28" w:type="dxa"/>
                    <w:bottom w:w="28" w:type="dxa"/>
                    <w:right w:w="28" w:type="dxa"/>
                  </w:tcMar>
                  <w:vAlign w:val="center"/>
                </w:tcPr>
                <w:p>
                  <w:pPr>
                    <w:jc w:val="center"/>
                    <w:rPr>
                      <w:rFonts w:hint="default" w:ascii="Times New Roman" w:hAnsi="Times New Roman" w:eastAsia="宋体" w:cs="Times New Roman"/>
                      <w:snapToGrid w:val="0"/>
                      <w:color w:val="auto"/>
                      <w:kern w:val="0"/>
                      <w:szCs w:val="21"/>
                      <w:lang w:val="en-US" w:eastAsia="zh-CN"/>
                    </w:rPr>
                  </w:pPr>
                  <w:r>
                    <w:rPr>
                      <w:rFonts w:hint="eastAsia" w:eastAsia="宋体" w:cs="Times New Roman"/>
                      <w:snapToGrid w:val="0"/>
                      <w:color w:val="auto"/>
                      <w:kern w:val="0"/>
                      <w:szCs w:val="21"/>
                      <w:lang w:val="en-US" w:eastAsia="zh-CN"/>
                    </w:rPr>
                    <w:t>100</w:t>
                  </w:r>
                </w:p>
              </w:tc>
              <w:tc>
                <w:tcPr>
                  <w:tcW w:w="523" w:type="pct"/>
                  <w:noWrap w:val="0"/>
                  <w:tcMar>
                    <w:top w:w="28" w:type="dxa"/>
                    <w:left w:w="28" w:type="dxa"/>
                    <w:bottom w:w="28" w:type="dxa"/>
                    <w:right w:w="28" w:type="dxa"/>
                  </w:tcMar>
                  <w:vAlign w:val="center"/>
                </w:tcPr>
                <w:p>
                  <w:pPr>
                    <w:jc w:val="center"/>
                    <w:rPr>
                      <w:rFonts w:hint="default" w:ascii="Times New Roman" w:hAnsi="Times New Roman" w:eastAsia="宋体" w:cs="Times New Roman"/>
                      <w:snapToGrid w:val="0"/>
                      <w:color w:val="auto"/>
                      <w:kern w:val="0"/>
                      <w:szCs w:val="21"/>
                      <w:lang w:val="en-US" w:eastAsia="zh-CN"/>
                    </w:rPr>
                  </w:pPr>
                  <w:r>
                    <w:rPr>
                      <w:rFonts w:hint="eastAsia" w:eastAsia="宋体" w:cs="Times New Roman"/>
                      <w:snapToGrid w:val="0"/>
                      <w:color w:val="auto"/>
                      <w:kern w:val="0"/>
                      <w:szCs w:val="21"/>
                      <w:lang w:val="en-US" w:eastAsia="zh-CN"/>
                    </w:rPr>
                    <w:t>10</w:t>
                  </w:r>
                </w:p>
              </w:tc>
              <w:tc>
                <w:tcPr>
                  <w:tcW w:w="523" w:type="pct"/>
                  <w:noWrap w:val="0"/>
                  <w:tcMar>
                    <w:top w:w="28" w:type="dxa"/>
                    <w:left w:w="28" w:type="dxa"/>
                    <w:bottom w:w="28" w:type="dxa"/>
                    <w:right w:w="28" w:type="dxa"/>
                  </w:tcMar>
                  <w:vAlign w:val="center"/>
                </w:tcPr>
                <w:p>
                  <w:pPr>
                    <w:jc w:val="center"/>
                    <w:rPr>
                      <w:rFonts w:hint="default" w:ascii="Times New Roman" w:hAnsi="Times New Roman" w:eastAsia="宋体" w:cs="Times New Roman"/>
                      <w:snapToGrid w:val="0"/>
                      <w:color w:val="auto"/>
                      <w:kern w:val="0"/>
                      <w:szCs w:val="21"/>
                      <w:lang w:val="en-US" w:eastAsia="zh-CN"/>
                    </w:rPr>
                  </w:pPr>
                  <w:r>
                    <w:rPr>
                      <w:rFonts w:hint="eastAsia" w:eastAsia="宋体" w:cs="Times New Roman"/>
                      <w:snapToGrid w:val="0"/>
                      <w:color w:val="auto"/>
                      <w:kern w:val="0"/>
                      <w:szCs w:val="21"/>
                      <w:lang w:val="en-US" w:eastAsia="zh-CN"/>
                    </w:rPr>
                    <w:t>15</w:t>
                  </w:r>
                </w:p>
              </w:tc>
              <w:tc>
                <w:tcPr>
                  <w:tcW w:w="524" w:type="pct"/>
                  <w:noWrap w:val="0"/>
                  <w:tcMar>
                    <w:top w:w="28" w:type="dxa"/>
                    <w:left w:w="28" w:type="dxa"/>
                    <w:bottom w:w="28" w:type="dxa"/>
                    <w:right w:w="28" w:type="dxa"/>
                  </w:tcMar>
                  <w:vAlign w:val="center"/>
                </w:tcPr>
                <w:p>
                  <w:pPr>
                    <w:jc w:val="center"/>
                    <w:rPr>
                      <w:rFonts w:hint="eastAsia" w:ascii="Times New Roman" w:hAnsi="Times New Roman" w:eastAsia="宋体" w:cs="Times New Roman"/>
                      <w:snapToGrid w:val="0"/>
                      <w:color w:val="auto"/>
                      <w:kern w:val="0"/>
                      <w:szCs w:val="21"/>
                      <w:lang w:val="en-US" w:eastAsia="zh-CN"/>
                    </w:rPr>
                  </w:pPr>
                  <w:r>
                    <w:rPr>
                      <w:rFonts w:hint="eastAsia" w:eastAsia="宋体" w:cs="Times New Roman"/>
                      <w:snapToGrid w:val="0"/>
                      <w:color w:val="auto"/>
                      <w:kern w:val="0"/>
                      <w:szCs w:val="21"/>
                      <w:lang w:val="en-US" w:eastAsia="zh-CN"/>
                    </w:rPr>
                    <w:t>6</w:t>
                  </w:r>
                </w:p>
              </w:tc>
              <w:tc>
                <w:tcPr>
                  <w:tcW w:w="524" w:type="pct"/>
                  <w:noWrap w:val="0"/>
                  <w:tcMar>
                    <w:top w:w="28" w:type="dxa"/>
                    <w:left w:w="28" w:type="dxa"/>
                    <w:bottom w:w="28" w:type="dxa"/>
                    <w:right w:w="28" w:type="dxa"/>
                  </w:tcMar>
                  <w:vAlign w:val="center"/>
                </w:tcPr>
                <w:p>
                  <w:pPr>
                    <w:jc w:val="center"/>
                    <w:rPr>
                      <w:rFonts w:hint="default" w:ascii="Times New Roman" w:hAnsi="Times New Roman" w:eastAsia="宋体" w:cs="Times New Roman"/>
                      <w:snapToGrid w:val="0"/>
                      <w:color w:val="auto"/>
                      <w:kern w:val="0"/>
                      <w:szCs w:val="21"/>
                      <w:lang w:val="en-US" w:eastAsia="zh-CN"/>
                    </w:rPr>
                  </w:pPr>
                  <w:r>
                    <w:rPr>
                      <w:rFonts w:hint="eastAsia" w:eastAsia="宋体" w:cs="Times New Roman"/>
                      <w:snapToGrid w:val="0"/>
                      <w:color w:val="auto"/>
                      <w:kern w:val="0"/>
                      <w:szCs w:val="21"/>
                      <w:lang w:val="en-US" w:eastAsia="zh-CN"/>
                    </w:rPr>
                    <w:t>200</w:t>
                  </w:r>
                </w:p>
              </w:tc>
            </w:tr>
          </w:tbl>
          <w:p>
            <w:pPr>
              <w:snapToGrid w:val="0"/>
              <w:jc w:val="center"/>
              <w:rPr>
                <w:b/>
                <w:szCs w:val="21"/>
              </w:rPr>
            </w:pPr>
          </w:p>
          <w:p>
            <w:pPr>
              <w:snapToGrid w:val="0"/>
              <w:jc w:val="center"/>
              <w:rPr>
                <w:b/>
                <w:szCs w:val="21"/>
              </w:rPr>
            </w:pPr>
            <w:r>
              <w:rPr>
                <w:b/>
                <w:szCs w:val="21"/>
              </w:rPr>
              <w:t>表7-</w:t>
            </w:r>
            <w:r>
              <w:rPr>
                <w:rFonts w:hint="eastAsia"/>
                <w:b/>
                <w:szCs w:val="21"/>
              </w:rPr>
              <w:t>2</w:t>
            </w:r>
            <w:r>
              <w:rPr>
                <w:rFonts w:hint="eastAsia"/>
                <w:b/>
                <w:szCs w:val="21"/>
                <w:lang w:val="en-US" w:eastAsia="zh-CN"/>
              </w:rPr>
              <w:t>2</w:t>
            </w:r>
            <w:r>
              <w:rPr>
                <w:b/>
                <w:szCs w:val="21"/>
              </w:rPr>
              <w:t>项目厂界</w:t>
            </w:r>
            <w:r>
              <w:rPr>
                <w:rFonts w:hint="eastAsia"/>
                <w:b/>
                <w:szCs w:val="21"/>
              </w:rPr>
              <w:t>、敏感点</w:t>
            </w:r>
            <w:r>
              <w:rPr>
                <w:b/>
                <w:szCs w:val="21"/>
              </w:rPr>
              <w:t>噪声影响预测一览表（单位：dB(A)）</w:t>
            </w:r>
          </w:p>
          <w:tbl>
            <w:tblPr>
              <w:tblStyle w:val="56"/>
              <w:tblW w:w="4998" w:type="pct"/>
              <w:jc w:val="center"/>
              <w:tblBorders>
                <w:top w:val="single" w:color="000000" w:sz="12" w:space="0"/>
                <w:left w:val="none" w:color="auto" w:sz="0" w:space="0"/>
                <w:bottom w:val="single" w:color="000000" w:sz="12" w:space="0"/>
                <w:right w:val="none" w:color="auto" w:sz="0" w:space="0"/>
                <w:insideH w:val="single" w:color="000000" w:sz="6" w:space="0"/>
                <w:insideV w:val="single" w:color="000000" w:sz="6" w:space="0"/>
              </w:tblBorders>
              <w:tblLayout w:type="autofit"/>
              <w:tblCellMar>
                <w:top w:w="0" w:type="dxa"/>
                <w:left w:w="108" w:type="dxa"/>
                <w:bottom w:w="0" w:type="dxa"/>
                <w:right w:w="108" w:type="dxa"/>
              </w:tblCellMar>
            </w:tblPr>
            <w:tblGrid>
              <w:gridCol w:w="1357"/>
              <w:gridCol w:w="1092"/>
              <w:gridCol w:w="1355"/>
              <w:gridCol w:w="1206"/>
              <w:gridCol w:w="1546"/>
              <w:gridCol w:w="876"/>
              <w:gridCol w:w="877"/>
            </w:tblGrid>
            <w:tr>
              <w:tblPrEx>
                <w:tblBorders>
                  <w:top w:val="single" w:color="000000" w:sz="12" w:space="0"/>
                  <w:left w:val="none" w:color="auto" w:sz="0" w:space="0"/>
                  <w:bottom w:val="single" w:color="000000" w:sz="12" w:space="0"/>
                  <w:right w:val="none" w:color="auto" w:sz="0" w:space="0"/>
                  <w:insideH w:val="single" w:color="000000" w:sz="6" w:space="0"/>
                  <w:insideV w:val="single" w:color="000000" w:sz="6" w:space="0"/>
                </w:tblBorders>
                <w:tblCellMar>
                  <w:top w:w="0" w:type="dxa"/>
                  <w:left w:w="108" w:type="dxa"/>
                  <w:bottom w:w="0" w:type="dxa"/>
                  <w:right w:w="108" w:type="dxa"/>
                </w:tblCellMar>
              </w:tblPrEx>
              <w:trPr>
                <w:trHeight w:val="340" w:hRule="atLeast"/>
                <w:jc w:val="center"/>
              </w:trPr>
              <w:tc>
                <w:tcPr>
                  <w:tcW w:w="1473" w:type="pct"/>
                  <w:gridSpan w:val="2"/>
                  <w:noWrap w:val="0"/>
                  <w:tcMar>
                    <w:top w:w="28" w:type="dxa"/>
                    <w:left w:w="28" w:type="dxa"/>
                    <w:bottom w:w="28" w:type="dxa"/>
                    <w:right w:w="28" w:type="dxa"/>
                  </w:tcMar>
                  <w:vAlign w:val="center"/>
                </w:tcPr>
                <w:p>
                  <w:pPr>
                    <w:jc w:val="center"/>
                    <w:rPr>
                      <w:rFonts w:hint="default" w:ascii="Times New Roman" w:hAnsi="Times New Roman" w:eastAsia="宋体" w:cs="Times New Roman"/>
                      <w:b/>
                      <w:snapToGrid w:val="0"/>
                      <w:color w:val="auto"/>
                      <w:kern w:val="0"/>
                      <w:szCs w:val="21"/>
                    </w:rPr>
                  </w:pPr>
                  <w:r>
                    <w:rPr>
                      <w:rFonts w:hint="default" w:ascii="Times New Roman" w:hAnsi="Times New Roman" w:eastAsia="宋体" w:cs="Times New Roman"/>
                      <w:b/>
                      <w:snapToGrid w:val="0"/>
                      <w:color w:val="auto"/>
                      <w:kern w:val="0"/>
                      <w:szCs w:val="21"/>
                    </w:rPr>
                    <w:t>噪声源</w:t>
                  </w:r>
                </w:p>
              </w:tc>
              <w:tc>
                <w:tcPr>
                  <w:tcW w:w="815" w:type="pct"/>
                  <w:noWrap w:val="0"/>
                  <w:tcMar>
                    <w:top w:w="28" w:type="dxa"/>
                    <w:left w:w="28" w:type="dxa"/>
                    <w:bottom w:w="28" w:type="dxa"/>
                    <w:right w:w="28" w:type="dxa"/>
                  </w:tcMar>
                  <w:vAlign w:val="center"/>
                </w:tcPr>
                <w:p>
                  <w:pPr>
                    <w:jc w:val="center"/>
                    <w:rPr>
                      <w:rFonts w:hint="default" w:ascii="Times New Roman" w:hAnsi="Times New Roman" w:eastAsia="宋体" w:cs="Times New Roman"/>
                      <w:b/>
                      <w:snapToGrid w:val="0"/>
                      <w:color w:val="auto"/>
                      <w:kern w:val="0"/>
                      <w:szCs w:val="21"/>
                    </w:rPr>
                  </w:pPr>
                  <w:r>
                    <w:rPr>
                      <w:rFonts w:hint="default" w:ascii="Times New Roman" w:hAnsi="Times New Roman" w:eastAsia="宋体" w:cs="Times New Roman"/>
                      <w:b/>
                      <w:snapToGrid w:val="0"/>
                      <w:color w:val="auto"/>
                      <w:kern w:val="0"/>
                      <w:szCs w:val="21"/>
                    </w:rPr>
                    <w:t>东厂界</w:t>
                  </w:r>
                </w:p>
              </w:tc>
              <w:tc>
                <w:tcPr>
                  <w:tcW w:w="725" w:type="pct"/>
                  <w:noWrap w:val="0"/>
                  <w:tcMar>
                    <w:top w:w="28" w:type="dxa"/>
                    <w:left w:w="28" w:type="dxa"/>
                    <w:bottom w:w="28" w:type="dxa"/>
                    <w:right w:w="28" w:type="dxa"/>
                  </w:tcMar>
                  <w:vAlign w:val="center"/>
                </w:tcPr>
                <w:p>
                  <w:pPr>
                    <w:jc w:val="center"/>
                    <w:rPr>
                      <w:rFonts w:hint="default" w:ascii="Times New Roman" w:hAnsi="Times New Roman" w:eastAsia="宋体" w:cs="Times New Roman"/>
                      <w:b/>
                      <w:snapToGrid w:val="0"/>
                      <w:color w:val="auto"/>
                      <w:kern w:val="0"/>
                      <w:szCs w:val="21"/>
                    </w:rPr>
                  </w:pPr>
                  <w:r>
                    <w:rPr>
                      <w:rFonts w:hint="default" w:ascii="Times New Roman" w:hAnsi="Times New Roman" w:eastAsia="宋体" w:cs="Times New Roman"/>
                      <w:b/>
                      <w:snapToGrid w:val="0"/>
                      <w:color w:val="auto"/>
                      <w:kern w:val="0"/>
                      <w:szCs w:val="21"/>
                    </w:rPr>
                    <w:t>南厂界</w:t>
                  </w:r>
                </w:p>
              </w:tc>
              <w:tc>
                <w:tcPr>
                  <w:tcW w:w="930" w:type="pct"/>
                  <w:noWrap w:val="0"/>
                  <w:tcMar>
                    <w:top w:w="28" w:type="dxa"/>
                    <w:left w:w="28" w:type="dxa"/>
                    <w:bottom w:w="28" w:type="dxa"/>
                    <w:right w:w="28" w:type="dxa"/>
                  </w:tcMar>
                  <w:vAlign w:val="center"/>
                </w:tcPr>
                <w:p>
                  <w:pPr>
                    <w:jc w:val="center"/>
                    <w:rPr>
                      <w:rFonts w:hint="default" w:ascii="Times New Roman" w:hAnsi="Times New Roman" w:eastAsia="宋体" w:cs="Times New Roman"/>
                      <w:b/>
                      <w:snapToGrid w:val="0"/>
                      <w:color w:val="auto"/>
                      <w:kern w:val="0"/>
                      <w:szCs w:val="21"/>
                    </w:rPr>
                  </w:pPr>
                  <w:r>
                    <w:rPr>
                      <w:rFonts w:hint="default" w:ascii="Times New Roman" w:hAnsi="Times New Roman" w:eastAsia="宋体" w:cs="Times New Roman"/>
                      <w:b/>
                      <w:snapToGrid w:val="0"/>
                      <w:color w:val="auto"/>
                      <w:kern w:val="0"/>
                      <w:szCs w:val="21"/>
                    </w:rPr>
                    <w:t>西厂界</w:t>
                  </w:r>
                </w:p>
              </w:tc>
              <w:tc>
                <w:tcPr>
                  <w:tcW w:w="527" w:type="pct"/>
                  <w:noWrap w:val="0"/>
                  <w:tcMar>
                    <w:top w:w="28" w:type="dxa"/>
                    <w:left w:w="28" w:type="dxa"/>
                    <w:bottom w:w="28" w:type="dxa"/>
                    <w:right w:w="28" w:type="dxa"/>
                  </w:tcMar>
                  <w:vAlign w:val="center"/>
                </w:tcPr>
                <w:p>
                  <w:pPr>
                    <w:jc w:val="center"/>
                    <w:rPr>
                      <w:rFonts w:hint="default" w:ascii="Times New Roman" w:hAnsi="Times New Roman" w:eastAsia="宋体" w:cs="Times New Roman"/>
                      <w:b/>
                      <w:snapToGrid w:val="0"/>
                      <w:color w:val="auto"/>
                      <w:kern w:val="0"/>
                      <w:szCs w:val="21"/>
                    </w:rPr>
                  </w:pPr>
                  <w:r>
                    <w:rPr>
                      <w:rFonts w:hint="default" w:ascii="Times New Roman" w:hAnsi="Times New Roman" w:eastAsia="宋体" w:cs="Times New Roman"/>
                      <w:b/>
                      <w:snapToGrid w:val="0"/>
                      <w:color w:val="auto"/>
                      <w:kern w:val="0"/>
                      <w:szCs w:val="21"/>
                    </w:rPr>
                    <w:t>北厂界</w:t>
                  </w:r>
                </w:p>
              </w:tc>
              <w:tc>
                <w:tcPr>
                  <w:tcW w:w="527" w:type="pct"/>
                  <w:noWrap w:val="0"/>
                  <w:tcMar>
                    <w:top w:w="28" w:type="dxa"/>
                    <w:left w:w="28" w:type="dxa"/>
                    <w:bottom w:w="28" w:type="dxa"/>
                    <w:right w:w="28" w:type="dxa"/>
                  </w:tcMar>
                  <w:vAlign w:val="center"/>
                </w:tcPr>
                <w:p>
                  <w:pPr>
                    <w:jc w:val="center"/>
                    <w:rPr>
                      <w:rFonts w:hint="default" w:ascii="Times New Roman" w:hAnsi="Times New Roman" w:eastAsia="宋体" w:cs="Times New Roman"/>
                      <w:b/>
                      <w:snapToGrid w:val="0"/>
                      <w:color w:val="auto"/>
                      <w:kern w:val="0"/>
                      <w:szCs w:val="21"/>
                    </w:rPr>
                  </w:pPr>
                  <w:r>
                    <w:rPr>
                      <w:rFonts w:hint="eastAsia" w:eastAsia="宋体" w:cs="Times New Roman"/>
                      <w:b/>
                      <w:snapToGrid w:val="0"/>
                      <w:color w:val="auto"/>
                      <w:kern w:val="0"/>
                      <w:szCs w:val="21"/>
                      <w:lang w:eastAsia="zh-CN"/>
                    </w:rPr>
                    <w:t>敏感点</w:t>
                  </w:r>
                </w:p>
              </w:tc>
            </w:tr>
            <w:tr>
              <w:tblPrEx>
                <w:tblBorders>
                  <w:top w:val="single" w:color="000000" w:sz="12" w:space="0"/>
                  <w:left w:val="none" w:color="auto" w:sz="0" w:space="0"/>
                  <w:bottom w:val="single" w:color="000000" w:sz="12" w:space="0"/>
                  <w:right w:val="none" w:color="auto" w:sz="0" w:space="0"/>
                  <w:insideH w:val="single" w:color="000000" w:sz="6" w:space="0"/>
                  <w:insideV w:val="single" w:color="000000" w:sz="6" w:space="0"/>
                </w:tblBorders>
                <w:tblCellMar>
                  <w:top w:w="0" w:type="dxa"/>
                  <w:left w:w="108" w:type="dxa"/>
                  <w:bottom w:w="0" w:type="dxa"/>
                  <w:right w:w="108" w:type="dxa"/>
                </w:tblCellMar>
              </w:tblPrEx>
              <w:trPr>
                <w:trHeight w:val="352" w:hRule="atLeast"/>
                <w:jc w:val="center"/>
              </w:trPr>
              <w:tc>
                <w:tcPr>
                  <w:tcW w:w="816" w:type="pct"/>
                  <w:noWrap w:val="0"/>
                  <w:tcMar>
                    <w:top w:w="28" w:type="dxa"/>
                    <w:left w:w="28" w:type="dxa"/>
                    <w:bottom w:w="28" w:type="dxa"/>
                    <w:right w:w="28" w:type="dxa"/>
                  </w:tcMar>
                  <w:vAlign w:val="center"/>
                </w:tcPr>
                <w:p>
                  <w:pPr>
                    <w:widowControl/>
                    <w:jc w:val="center"/>
                    <w:textAlignment w:val="center"/>
                    <w:rPr>
                      <w:rFonts w:hint="default" w:ascii="Times New Roman" w:hAnsi="Times New Roman" w:eastAsia="宋体" w:cs="Times New Roman"/>
                      <w:color w:val="auto"/>
                      <w:szCs w:val="21"/>
                    </w:rPr>
                  </w:pPr>
                  <w:r>
                    <w:rPr>
                      <w:rFonts w:hint="default" w:ascii="Times New Roman" w:hAnsi="Times New Roman" w:eastAsia="宋体" w:cs="Times New Roman"/>
                      <w:color w:val="auto"/>
                      <w:szCs w:val="21"/>
                    </w:rPr>
                    <w:t>生产车间</w:t>
                  </w:r>
                </w:p>
              </w:tc>
              <w:tc>
                <w:tcPr>
                  <w:tcW w:w="657" w:type="pct"/>
                  <w:noWrap w:val="0"/>
                  <w:tcMar>
                    <w:top w:w="28" w:type="dxa"/>
                    <w:left w:w="28" w:type="dxa"/>
                    <w:bottom w:w="28" w:type="dxa"/>
                    <w:right w:w="28" w:type="dxa"/>
                  </w:tcMar>
                  <w:vAlign w:val="center"/>
                </w:tcPr>
                <w:p>
                  <w:pPr>
                    <w:widowControl/>
                    <w:jc w:val="center"/>
                    <w:textAlignment w:val="center"/>
                    <w:rPr>
                      <w:rFonts w:hint="default" w:ascii="Times New Roman" w:hAnsi="Times New Roman" w:eastAsia="宋体" w:cs="Times New Roman"/>
                      <w:color w:val="auto"/>
                      <w:szCs w:val="21"/>
                    </w:rPr>
                  </w:pPr>
                  <w:r>
                    <w:rPr>
                      <w:rFonts w:hint="default" w:ascii="Times New Roman" w:hAnsi="Times New Roman" w:eastAsia="宋体" w:cs="Times New Roman"/>
                      <w:color w:val="auto"/>
                      <w:szCs w:val="21"/>
                    </w:rPr>
                    <w:t>昼间</w:t>
                  </w:r>
                </w:p>
              </w:tc>
              <w:tc>
                <w:tcPr>
                  <w:tcW w:w="815" w:type="pct"/>
                  <w:noWrap w:val="0"/>
                  <w:tcMar>
                    <w:top w:w="28" w:type="dxa"/>
                    <w:left w:w="28" w:type="dxa"/>
                    <w:bottom w:w="28" w:type="dxa"/>
                    <w:right w:w="28" w:type="dxa"/>
                  </w:tcMar>
                  <w:vAlign w:val="bottom"/>
                </w:tcPr>
                <w:p>
                  <w:pPr>
                    <w:widowControl/>
                    <w:jc w:val="center"/>
                    <w:rPr>
                      <w:rFonts w:hint="default" w:ascii="Times New Roman" w:hAnsi="Times New Roman" w:eastAsia="宋体" w:cs="Times New Roman"/>
                      <w:color w:val="auto"/>
                      <w:kern w:val="0"/>
                      <w:szCs w:val="21"/>
                    </w:rPr>
                  </w:pPr>
                  <w:r>
                    <w:rPr>
                      <w:rFonts w:hint="default" w:ascii="Times New Roman" w:hAnsi="Times New Roman" w:eastAsia="宋体" w:cs="Times New Roman"/>
                      <w:color w:val="auto"/>
                      <w:kern w:val="0"/>
                      <w:szCs w:val="21"/>
                    </w:rPr>
                    <w:t>37.9</w:t>
                  </w:r>
                </w:p>
              </w:tc>
              <w:tc>
                <w:tcPr>
                  <w:tcW w:w="725" w:type="pct"/>
                  <w:noWrap w:val="0"/>
                  <w:tcMar>
                    <w:top w:w="28" w:type="dxa"/>
                    <w:left w:w="28" w:type="dxa"/>
                    <w:bottom w:w="28" w:type="dxa"/>
                    <w:right w:w="28" w:type="dxa"/>
                  </w:tcMar>
                  <w:vAlign w:val="bottom"/>
                </w:tcPr>
                <w:p>
                  <w:pPr>
                    <w:jc w:val="center"/>
                    <w:rPr>
                      <w:rFonts w:hint="default" w:ascii="Times New Roman" w:hAnsi="Times New Roman" w:eastAsia="宋体" w:cs="Times New Roman"/>
                      <w:color w:val="auto"/>
                      <w:szCs w:val="21"/>
                    </w:rPr>
                  </w:pPr>
                  <w:r>
                    <w:rPr>
                      <w:rFonts w:hint="default" w:ascii="Times New Roman" w:hAnsi="Times New Roman" w:eastAsia="宋体" w:cs="Times New Roman"/>
                      <w:color w:val="auto"/>
                      <w:szCs w:val="21"/>
                    </w:rPr>
                    <w:t>53.4</w:t>
                  </w:r>
                </w:p>
              </w:tc>
              <w:tc>
                <w:tcPr>
                  <w:tcW w:w="930" w:type="pct"/>
                  <w:noWrap w:val="0"/>
                  <w:tcMar>
                    <w:top w:w="28" w:type="dxa"/>
                    <w:left w:w="28" w:type="dxa"/>
                    <w:bottom w:w="28" w:type="dxa"/>
                    <w:right w:w="28" w:type="dxa"/>
                  </w:tcMar>
                  <w:vAlign w:val="bottom"/>
                </w:tcPr>
                <w:p>
                  <w:pPr>
                    <w:jc w:val="center"/>
                    <w:rPr>
                      <w:rFonts w:hint="default" w:ascii="Times New Roman" w:hAnsi="Times New Roman" w:eastAsia="宋体" w:cs="Times New Roman"/>
                      <w:color w:val="auto"/>
                      <w:szCs w:val="21"/>
                    </w:rPr>
                  </w:pPr>
                  <w:r>
                    <w:rPr>
                      <w:rFonts w:hint="default" w:ascii="Times New Roman" w:hAnsi="Times New Roman" w:eastAsia="宋体" w:cs="Times New Roman"/>
                      <w:color w:val="auto"/>
                      <w:szCs w:val="21"/>
                    </w:rPr>
                    <w:t>49.3</w:t>
                  </w:r>
                </w:p>
              </w:tc>
              <w:tc>
                <w:tcPr>
                  <w:tcW w:w="527" w:type="pct"/>
                  <w:noWrap w:val="0"/>
                  <w:tcMar>
                    <w:top w:w="28" w:type="dxa"/>
                    <w:left w:w="28" w:type="dxa"/>
                    <w:bottom w:w="28" w:type="dxa"/>
                    <w:right w:w="28" w:type="dxa"/>
                  </w:tcMar>
                  <w:vAlign w:val="bottom"/>
                </w:tcPr>
                <w:p>
                  <w:pPr>
                    <w:jc w:val="center"/>
                    <w:rPr>
                      <w:rFonts w:hint="default" w:ascii="Times New Roman" w:hAnsi="Times New Roman" w:eastAsia="宋体" w:cs="Times New Roman"/>
                      <w:color w:val="auto"/>
                      <w:szCs w:val="21"/>
                    </w:rPr>
                  </w:pPr>
                  <w:r>
                    <w:rPr>
                      <w:rFonts w:hint="default" w:ascii="Times New Roman" w:hAnsi="Times New Roman" w:eastAsia="宋体" w:cs="Times New Roman"/>
                      <w:color w:val="auto"/>
                      <w:szCs w:val="21"/>
                    </w:rPr>
                    <w:t>57.9</w:t>
                  </w:r>
                </w:p>
              </w:tc>
              <w:tc>
                <w:tcPr>
                  <w:tcW w:w="527" w:type="pct"/>
                  <w:noWrap w:val="0"/>
                  <w:tcMar>
                    <w:top w:w="28" w:type="dxa"/>
                    <w:left w:w="28" w:type="dxa"/>
                    <w:bottom w:w="28" w:type="dxa"/>
                    <w:right w:w="28" w:type="dxa"/>
                  </w:tcMar>
                  <w:vAlign w:val="bottom"/>
                </w:tcPr>
                <w:p>
                  <w:pPr>
                    <w:jc w:val="center"/>
                    <w:rPr>
                      <w:rFonts w:hint="default" w:ascii="Times New Roman" w:hAnsi="Times New Roman" w:eastAsia="宋体" w:cs="Times New Roman"/>
                      <w:color w:val="auto"/>
                      <w:szCs w:val="21"/>
                      <w:lang w:val="en-US" w:eastAsia="zh-CN"/>
                    </w:rPr>
                  </w:pPr>
                  <w:r>
                    <w:rPr>
                      <w:rFonts w:hint="eastAsia" w:eastAsia="宋体" w:cs="Times New Roman"/>
                      <w:color w:val="auto"/>
                      <w:szCs w:val="21"/>
                      <w:lang w:val="en-US" w:eastAsia="zh-CN"/>
                    </w:rPr>
                    <w:t>45</w:t>
                  </w:r>
                </w:p>
              </w:tc>
            </w:tr>
            <w:tr>
              <w:tblPrEx>
                <w:tblBorders>
                  <w:top w:val="single" w:color="000000" w:sz="12" w:space="0"/>
                  <w:left w:val="none" w:color="auto" w:sz="0" w:space="0"/>
                  <w:bottom w:val="single" w:color="000000" w:sz="12" w:space="0"/>
                  <w:right w:val="none" w:color="auto" w:sz="0" w:space="0"/>
                  <w:insideH w:val="single" w:color="000000" w:sz="6" w:space="0"/>
                  <w:insideV w:val="single" w:color="000000" w:sz="6" w:space="0"/>
                </w:tblBorders>
                <w:tblCellMar>
                  <w:top w:w="0" w:type="dxa"/>
                  <w:left w:w="108" w:type="dxa"/>
                  <w:bottom w:w="0" w:type="dxa"/>
                  <w:right w:w="108" w:type="dxa"/>
                </w:tblCellMar>
              </w:tblPrEx>
              <w:trPr>
                <w:trHeight w:val="340" w:hRule="atLeast"/>
                <w:jc w:val="center"/>
              </w:trPr>
              <w:tc>
                <w:tcPr>
                  <w:tcW w:w="816" w:type="pct"/>
                  <w:noWrap w:val="0"/>
                  <w:tcMar>
                    <w:top w:w="28" w:type="dxa"/>
                    <w:left w:w="28" w:type="dxa"/>
                    <w:bottom w:w="28" w:type="dxa"/>
                    <w:right w:w="28" w:type="dxa"/>
                  </w:tcMar>
                  <w:vAlign w:val="center"/>
                </w:tcPr>
                <w:p>
                  <w:pPr>
                    <w:jc w:val="center"/>
                    <w:rPr>
                      <w:rFonts w:hint="default" w:ascii="Times New Roman" w:hAnsi="Times New Roman" w:eastAsia="宋体" w:cs="Times New Roman"/>
                      <w:snapToGrid w:val="0"/>
                      <w:color w:val="auto"/>
                      <w:kern w:val="0"/>
                      <w:szCs w:val="21"/>
                    </w:rPr>
                  </w:pPr>
                  <w:r>
                    <w:rPr>
                      <w:rFonts w:hint="default" w:ascii="Times New Roman" w:hAnsi="Times New Roman" w:eastAsia="宋体" w:cs="Times New Roman"/>
                      <w:snapToGrid w:val="0"/>
                      <w:color w:val="auto"/>
                      <w:kern w:val="0"/>
                      <w:szCs w:val="21"/>
                    </w:rPr>
                    <w:t>背景值</w:t>
                  </w:r>
                </w:p>
              </w:tc>
              <w:tc>
                <w:tcPr>
                  <w:tcW w:w="657" w:type="pct"/>
                  <w:noWrap w:val="0"/>
                  <w:vAlign w:val="center"/>
                </w:tcPr>
                <w:p>
                  <w:pPr>
                    <w:jc w:val="center"/>
                    <w:rPr>
                      <w:rFonts w:hint="default" w:ascii="Times New Roman" w:hAnsi="Times New Roman" w:eastAsia="宋体" w:cs="Times New Roman"/>
                      <w:snapToGrid w:val="0"/>
                      <w:color w:val="auto"/>
                      <w:kern w:val="0"/>
                      <w:szCs w:val="21"/>
                    </w:rPr>
                  </w:pPr>
                  <w:r>
                    <w:rPr>
                      <w:rFonts w:hint="default" w:ascii="Times New Roman" w:hAnsi="Times New Roman" w:eastAsia="宋体" w:cs="Times New Roman"/>
                      <w:snapToGrid w:val="0"/>
                      <w:color w:val="auto"/>
                      <w:kern w:val="0"/>
                      <w:szCs w:val="21"/>
                    </w:rPr>
                    <w:t>昼间</w:t>
                  </w:r>
                </w:p>
              </w:tc>
              <w:tc>
                <w:tcPr>
                  <w:tcW w:w="815" w:type="pct"/>
                  <w:noWrap w:val="0"/>
                  <w:tcMar>
                    <w:top w:w="28" w:type="dxa"/>
                    <w:left w:w="28" w:type="dxa"/>
                    <w:bottom w:w="28" w:type="dxa"/>
                    <w:right w:w="28" w:type="dxa"/>
                  </w:tcMar>
                  <w:vAlign w:val="center"/>
                </w:tcPr>
                <w:p>
                  <w:pPr>
                    <w:widowControl/>
                    <w:jc w:val="center"/>
                    <w:rPr>
                      <w:rFonts w:hint="default" w:ascii="Times New Roman" w:hAnsi="Times New Roman" w:eastAsia="宋体" w:cs="Times New Roman"/>
                      <w:color w:val="auto"/>
                      <w:szCs w:val="21"/>
                    </w:rPr>
                  </w:pPr>
                  <w:r>
                    <w:rPr>
                      <w:rFonts w:hint="default" w:ascii="Times New Roman" w:hAnsi="Times New Roman" w:eastAsia="宋体" w:cs="Times New Roman"/>
                      <w:color w:val="auto"/>
                      <w:szCs w:val="21"/>
                    </w:rPr>
                    <w:t>57</w:t>
                  </w:r>
                </w:p>
              </w:tc>
              <w:tc>
                <w:tcPr>
                  <w:tcW w:w="725" w:type="pct"/>
                  <w:noWrap w:val="0"/>
                  <w:tcMar>
                    <w:top w:w="28" w:type="dxa"/>
                    <w:left w:w="28" w:type="dxa"/>
                    <w:bottom w:w="28" w:type="dxa"/>
                    <w:right w:w="28" w:type="dxa"/>
                  </w:tcMar>
                  <w:vAlign w:val="center"/>
                </w:tcPr>
                <w:p>
                  <w:pPr>
                    <w:widowControl/>
                    <w:jc w:val="center"/>
                    <w:rPr>
                      <w:rFonts w:hint="default" w:ascii="Times New Roman" w:hAnsi="Times New Roman" w:eastAsia="宋体" w:cs="Times New Roman"/>
                      <w:color w:val="auto"/>
                      <w:szCs w:val="21"/>
                    </w:rPr>
                  </w:pPr>
                  <w:r>
                    <w:rPr>
                      <w:rFonts w:hint="default" w:ascii="Times New Roman" w:hAnsi="Times New Roman" w:eastAsia="宋体" w:cs="Times New Roman"/>
                      <w:color w:val="auto"/>
                      <w:szCs w:val="21"/>
                    </w:rPr>
                    <w:t>55</w:t>
                  </w:r>
                </w:p>
              </w:tc>
              <w:tc>
                <w:tcPr>
                  <w:tcW w:w="930" w:type="pct"/>
                  <w:noWrap w:val="0"/>
                  <w:tcMar>
                    <w:top w:w="28" w:type="dxa"/>
                    <w:left w:w="28" w:type="dxa"/>
                    <w:bottom w:w="28" w:type="dxa"/>
                    <w:right w:w="28" w:type="dxa"/>
                  </w:tcMar>
                  <w:vAlign w:val="center"/>
                </w:tcPr>
                <w:p>
                  <w:pPr>
                    <w:widowControl/>
                    <w:jc w:val="center"/>
                    <w:rPr>
                      <w:rFonts w:hint="default" w:ascii="Times New Roman" w:hAnsi="Times New Roman" w:eastAsia="宋体" w:cs="Times New Roman"/>
                      <w:color w:val="auto"/>
                      <w:szCs w:val="21"/>
                    </w:rPr>
                  </w:pPr>
                  <w:r>
                    <w:rPr>
                      <w:rFonts w:hint="default" w:ascii="Times New Roman" w:hAnsi="Times New Roman" w:eastAsia="宋体" w:cs="Times New Roman"/>
                      <w:color w:val="auto"/>
                      <w:szCs w:val="21"/>
                    </w:rPr>
                    <w:t>55</w:t>
                  </w:r>
                </w:p>
              </w:tc>
              <w:tc>
                <w:tcPr>
                  <w:tcW w:w="527" w:type="pct"/>
                  <w:noWrap w:val="0"/>
                  <w:vAlign w:val="top"/>
                </w:tcPr>
                <w:p>
                  <w:pPr>
                    <w:widowControl/>
                    <w:jc w:val="center"/>
                    <w:rPr>
                      <w:rFonts w:hint="default" w:ascii="Times New Roman" w:hAnsi="Times New Roman" w:eastAsia="宋体" w:cs="Times New Roman"/>
                      <w:color w:val="auto"/>
                      <w:szCs w:val="21"/>
                    </w:rPr>
                  </w:pPr>
                  <w:r>
                    <w:rPr>
                      <w:rFonts w:hint="default" w:ascii="Times New Roman" w:hAnsi="Times New Roman" w:eastAsia="宋体" w:cs="Times New Roman"/>
                      <w:color w:val="auto"/>
                      <w:szCs w:val="21"/>
                    </w:rPr>
                    <w:t>55</w:t>
                  </w:r>
                </w:p>
              </w:tc>
              <w:tc>
                <w:tcPr>
                  <w:tcW w:w="527" w:type="pct"/>
                  <w:noWrap w:val="0"/>
                  <w:vAlign w:val="top"/>
                </w:tcPr>
                <w:p>
                  <w:pPr>
                    <w:widowControl/>
                    <w:jc w:val="center"/>
                    <w:rPr>
                      <w:rFonts w:hint="default" w:ascii="Times New Roman" w:hAnsi="Times New Roman" w:eastAsia="宋体" w:cs="Times New Roman"/>
                      <w:color w:val="auto"/>
                      <w:szCs w:val="21"/>
                      <w:lang w:val="en-US" w:eastAsia="zh-CN"/>
                    </w:rPr>
                  </w:pPr>
                  <w:r>
                    <w:rPr>
                      <w:rFonts w:hint="eastAsia" w:eastAsia="宋体" w:cs="Times New Roman"/>
                      <w:color w:val="auto"/>
                      <w:szCs w:val="21"/>
                      <w:lang w:val="en-US" w:eastAsia="zh-CN"/>
                    </w:rPr>
                    <w:t>48</w:t>
                  </w:r>
                </w:p>
              </w:tc>
            </w:tr>
            <w:tr>
              <w:tblPrEx>
                <w:tblBorders>
                  <w:top w:val="single" w:color="000000" w:sz="12" w:space="0"/>
                  <w:left w:val="none" w:color="auto" w:sz="0" w:space="0"/>
                  <w:bottom w:val="single" w:color="000000" w:sz="12" w:space="0"/>
                  <w:right w:val="none" w:color="auto" w:sz="0" w:space="0"/>
                  <w:insideH w:val="single" w:color="000000" w:sz="6" w:space="0"/>
                  <w:insideV w:val="single" w:color="000000" w:sz="6" w:space="0"/>
                </w:tblBorders>
                <w:tblCellMar>
                  <w:top w:w="0" w:type="dxa"/>
                  <w:left w:w="108" w:type="dxa"/>
                  <w:bottom w:w="0" w:type="dxa"/>
                  <w:right w:w="108" w:type="dxa"/>
                </w:tblCellMar>
              </w:tblPrEx>
              <w:trPr>
                <w:trHeight w:val="340" w:hRule="atLeast"/>
                <w:jc w:val="center"/>
              </w:trPr>
              <w:tc>
                <w:tcPr>
                  <w:tcW w:w="816" w:type="pct"/>
                  <w:noWrap w:val="0"/>
                  <w:tcMar>
                    <w:top w:w="28" w:type="dxa"/>
                    <w:left w:w="28" w:type="dxa"/>
                    <w:bottom w:w="28" w:type="dxa"/>
                    <w:right w:w="28" w:type="dxa"/>
                  </w:tcMar>
                  <w:vAlign w:val="center"/>
                </w:tcPr>
                <w:p>
                  <w:pPr>
                    <w:jc w:val="center"/>
                    <w:rPr>
                      <w:rFonts w:hint="default" w:ascii="Times New Roman" w:hAnsi="Times New Roman" w:eastAsia="宋体" w:cs="Times New Roman"/>
                      <w:snapToGrid w:val="0"/>
                      <w:color w:val="auto"/>
                      <w:kern w:val="0"/>
                      <w:szCs w:val="21"/>
                    </w:rPr>
                  </w:pPr>
                  <w:r>
                    <w:rPr>
                      <w:rFonts w:hint="default" w:ascii="Times New Roman" w:hAnsi="Times New Roman" w:eastAsia="宋体" w:cs="Times New Roman"/>
                      <w:snapToGrid w:val="0"/>
                      <w:color w:val="auto"/>
                      <w:kern w:val="0"/>
                      <w:szCs w:val="21"/>
                    </w:rPr>
                    <w:t>叠加值</w:t>
                  </w:r>
                </w:p>
              </w:tc>
              <w:tc>
                <w:tcPr>
                  <w:tcW w:w="657" w:type="pct"/>
                  <w:noWrap w:val="0"/>
                  <w:vAlign w:val="center"/>
                </w:tcPr>
                <w:p>
                  <w:pPr>
                    <w:jc w:val="center"/>
                    <w:rPr>
                      <w:rFonts w:hint="default" w:ascii="Times New Roman" w:hAnsi="Times New Roman" w:eastAsia="宋体" w:cs="Times New Roman"/>
                      <w:snapToGrid w:val="0"/>
                      <w:color w:val="auto"/>
                      <w:kern w:val="0"/>
                      <w:szCs w:val="21"/>
                    </w:rPr>
                  </w:pPr>
                  <w:r>
                    <w:rPr>
                      <w:rFonts w:hint="default" w:ascii="Times New Roman" w:hAnsi="Times New Roman" w:eastAsia="宋体" w:cs="Times New Roman"/>
                      <w:snapToGrid w:val="0"/>
                      <w:color w:val="auto"/>
                      <w:kern w:val="0"/>
                      <w:szCs w:val="21"/>
                    </w:rPr>
                    <w:t>昼间</w:t>
                  </w:r>
                </w:p>
              </w:tc>
              <w:tc>
                <w:tcPr>
                  <w:tcW w:w="815" w:type="pct"/>
                  <w:noWrap w:val="0"/>
                  <w:tcMar>
                    <w:top w:w="28" w:type="dxa"/>
                    <w:left w:w="28" w:type="dxa"/>
                    <w:bottom w:w="28" w:type="dxa"/>
                    <w:right w:w="28" w:type="dxa"/>
                  </w:tcMar>
                  <w:vAlign w:val="bottom"/>
                </w:tcPr>
                <w:p>
                  <w:pPr>
                    <w:widowControl/>
                    <w:jc w:val="center"/>
                    <w:rPr>
                      <w:rFonts w:hint="default" w:ascii="Times New Roman" w:hAnsi="Times New Roman" w:eastAsia="宋体" w:cs="Times New Roman"/>
                      <w:color w:val="auto"/>
                      <w:szCs w:val="21"/>
                    </w:rPr>
                  </w:pPr>
                  <w:r>
                    <w:rPr>
                      <w:rFonts w:hint="default" w:ascii="Times New Roman" w:hAnsi="Times New Roman" w:eastAsia="宋体" w:cs="Times New Roman"/>
                      <w:color w:val="auto"/>
                      <w:szCs w:val="21"/>
                    </w:rPr>
                    <w:t>57.1</w:t>
                  </w:r>
                </w:p>
              </w:tc>
              <w:tc>
                <w:tcPr>
                  <w:tcW w:w="725" w:type="pct"/>
                  <w:noWrap w:val="0"/>
                  <w:tcMar>
                    <w:top w:w="28" w:type="dxa"/>
                    <w:left w:w="28" w:type="dxa"/>
                    <w:bottom w:w="28" w:type="dxa"/>
                    <w:right w:w="28" w:type="dxa"/>
                  </w:tcMar>
                  <w:vAlign w:val="bottom"/>
                </w:tcPr>
                <w:p>
                  <w:pPr>
                    <w:jc w:val="center"/>
                    <w:rPr>
                      <w:rFonts w:hint="default" w:ascii="Times New Roman" w:hAnsi="Times New Roman" w:eastAsia="宋体" w:cs="Times New Roman"/>
                      <w:color w:val="auto"/>
                      <w:szCs w:val="21"/>
                    </w:rPr>
                  </w:pPr>
                  <w:r>
                    <w:rPr>
                      <w:rFonts w:hint="default" w:ascii="Times New Roman" w:hAnsi="Times New Roman" w:eastAsia="宋体" w:cs="Times New Roman"/>
                      <w:color w:val="auto"/>
                      <w:szCs w:val="21"/>
                    </w:rPr>
                    <w:t>57.3</w:t>
                  </w:r>
                </w:p>
              </w:tc>
              <w:tc>
                <w:tcPr>
                  <w:tcW w:w="930" w:type="pct"/>
                  <w:noWrap w:val="0"/>
                  <w:tcMar>
                    <w:top w:w="28" w:type="dxa"/>
                    <w:left w:w="28" w:type="dxa"/>
                    <w:bottom w:w="28" w:type="dxa"/>
                    <w:right w:w="28" w:type="dxa"/>
                  </w:tcMar>
                  <w:vAlign w:val="bottom"/>
                </w:tcPr>
                <w:p>
                  <w:pPr>
                    <w:jc w:val="center"/>
                    <w:rPr>
                      <w:rFonts w:hint="default" w:ascii="Times New Roman" w:hAnsi="Times New Roman" w:eastAsia="宋体" w:cs="Times New Roman"/>
                      <w:color w:val="auto"/>
                      <w:szCs w:val="21"/>
                    </w:rPr>
                  </w:pPr>
                  <w:r>
                    <w:rPr>
                      <w:rFonts w:hint="default" w:ascii="Times New Roman" w:hAnsi="Times New Roman" w:eastAsia="宋体" w:cs="Times New Roman"/>
                      <w:color w:val="auto"/>
                      <w:szCs w:val="21"/>
                    </w:rPr>
                    <w:t>56.0</w:t>
                  </w:r>
                </w:p>
              </w:tc>
              <w:tc>
                <w:tcPr>
                  <w:tcW w:w="527" w:type="pct"/>
                  <w:noWrap w:val="0"/>
                  <w:vAlign w:val="bottom"/>
                </w:tcPr>
                <w:p>
                  <w:pPr>
                    <w:jc w:val="center"/>
                    <w:rPr>
                      <w:rFonts w:hint="default" w:ascii="Times New Roman" w:hAnsi="Times New Roman" w:eastAsia="宋体" w:cs="Times New Roman"/>
                      <w:color w:val="auto"/>
                      <w:szCs w:val="21"/>
                    </w:rPr>
                  </w:pPr>
                  <w:r>
                    <w:rPr>
                      <w:rFonts w:hint="default" w:ascii="Times New Roman" w:hAnsi="Times New Roman" w:eastAsia="宋体" w:cs="Times New Roman"/>
                      <w:color w:val="auto"/>
                      <w:szCs w:val="21"/>
                    </w:rPr>
                    <w:t>59.7</w:t>
                  </w:r>
                </w:p>
              </w:tc>
              <w:tc>
                <w:tcPr>
                  <w:tcW w:w="527" w:type="pct"/>
                  <w:noWrap w:val="0"/>
                  <w:vAlign w:val="bottom"/>
                </w:tcPr>
                <w:p>
                  <w:pPr>
                    <w:jc w:val="center"/>
                    <w:rPr>
                      <w:rFonts w:hint="default"/>
                      <w:lang w:val="en-US" w:eastAsia="zh-CN"/>
                    </w:rPr>
                  </w:pPr>
                  <w:r>
                    <w:rPr>
                      <w:rFonts w:hint="eastAsia"/>
                      <w:lang w:val="en-US" w:eastAsia="zh-CN"/>
                    </w:rPr>
                    <w:t>49.</w:t>
                  </w:r>
                  <w:r>
                    <w:rPr>
                      <w:rFonts w:hint="eastAsia" w:eastAsia="宋体" w:cs="Times New Roman"/>
                      <w:color w:val="auto"/>
                      <w:szCs w:val="21"/>
                      <w:lang w:val="en-US" w:eastAsia="zh-CN"/>
                    </w:rPr>
                    <w:t>7</w:t>
                  </w:r>
                </w:p>
              </w:tc>
            </w:tr>
          </w:tbl>
          <w:p>
            <w:pPr>
              <w:ind w:firstLine="412" w:firstLineChars="200"/>
              <w:rPr>
                <w:spacing w:val="-2"/>
                <w:sz w:val="24"/>
                <w:szCs w:val="24"/>
              </w:rPr>
            </w:pPr>
            <w:r>
              <w:rPr>
                <w:b/>
                <w:spacing w:val="-2"/>
                <w:szCs w:val="24"/>
              </w:rPr>
              <w:t>注：本项目夜间不生产，因此本次仅预测昼间的叠加值；现状背景值选监测最大值。</w:t>
            </w:r>
          </w:p>
          <w:p>
            <w:pPr>
              <w:spacing w:line="360" w:lineRule="auto"/>
              <w:ind w:firstLine="472" w:firstLineChars="200"/>
              <w:rPr>
                <w:spacing w:val="-2"/>
                <w:sz w:val="24"/>
                <w:szCs w:val="24"/>
              </w:rPr>
            </w:pPr>
            <w:r>
              <w:rPr>
                <w:spacing w:val="-2"/>
                <w:sz w:val="24"/>
                <w:szCs w:val="24"/>
              </w:rPr>
              <w:t>根据表7-</w:t>
            </w:r>
            <w:r>
              <w:rPr>
                <w:rFonts w:hint="eastAsia"/>
                <w:spacing w:val="-2"/>
                <w:sz w:val="24"/>
                <w:szCs w:val="24"/>
              </w:rPr>
              <w:t>21</w:t>
            </w:r>
            <w:r>
              <w:rPr>
                <w:spacing w:val="-2"/>
                <w:sz w:val="24"/>
                <w:szCs w:val="24"/>
              </w:rPr>
              <w:t>可知，在采取相应的隔声减振措施后，本项目营运时</w:t>
            </w:r>
            <w:r>
              <w:rPr>
                <w:rFonts w:hint="eastAsia"/>
                <w:spacing w:val="-2"/>
                <w:sz w:val="24"/>
                <w:szCs w:val="24"/>
              </w:rPr>
              <w:t>厂界噪声</w:t>
            </w:r>
            <w:r>
              <w:rPr>
                <w:spacing w:val="-2"/>
                <w:sz w:val="24"/>
                <w:szCs w:val="24"/>
              </w:rPr>
              <w:t>排放均满足《工业企业厂界环境噪声排放标准》（GB12348-2008）中</w:t>
            </w:r>
            <w:r>
              <w:rPr>
                <w:rFonts w:hint="eastAsia"/>
                <w:spacing w:val="-2"/>
                <w:sz w:val="24"/>
                <w:szCs w:val="24"/>
              </w:rPr>
              <w:t>3</w:t>
            </w:r>
            <w:r>
              <w:rPr>
                <w:spacing w:val="-2"/>
                <w:sz w:val="24"/>
                <w:szCs w:val="24"/>
              </w:rPr>
              <w:t>类区</w:t>
            </w:r>
            <w:r>
              <w:rPr>
                <w:rFonts w:hint="eastAsia"/>
                <w:spacing w:val="-2"/>
                <w:sz w:val="24"/>
                <w:szCs w:val="24"/>
              </w:rPr>
              <w:t>限值（</w:t>
            </w:r>
            <w:r>
              <w:rPr>
                <w:spacing w:val="-2"/>
                <w:sz w:val="24"/>
                <w:szCs w:val="24"/>
              </w:rPr>
              <w:t>即昼间</w:t>
            </w:r>
            <w:r>
              <w:rPr>
                <w:bCs/>
                <w:sz w:val="24"/>
                <w:szCs w:val="24"/>
              </w:rPr>
              <w:t>≤</w:t>
            </w:r>
            <w:r>
              <w:rPr>
                <w:spacing w:val="-2"/>
                <w:sz w:val="24"/>
                <w:szCs w:val="24"/>
              </w:rPr>
              <w:t>6</w:t>
            </w:r>
            <w:r>
              <w:rPr>
                <w:rFonts w:hint="eastAsia"/>
                <w:spacing w:val="-2"/>
                <w:sz w:val="24"/>
                <w:szCs w:val="24"/>
              </w:rPr>
              <w:t>5</w:t>
            </w:r>
            <w:r>
              <w:rPr>
                <w:bCs/>
                <w:sz w:val="24"/>
                <w:szCs w:val="24"/>
              </w:rPr>
              <w:t>dB(A)</w:t>
            </w:r>
            <w:r>
              <w:rPr>
                <w:spacing w:val="-2"/>
                <w:sz w:val="24"/>
                <w:szCs w:val="24"/>
              </w:rPr>
              <w:t>）</w:t>
            </w:r>
            <w:r>
              <w:rPr>
                <w:rFonts w:hint="eastAsia"/>
                <w:spacing w:val="-2"/>
                <w:sz w:val="24"/>
                <w:szCs w:val="24"/>
              </w:rPr>
              <w:t>，敏感点</w:t>
            </w:r>
            <w:r>
              <w:rPr>
                <w:rFonts w:hint="eastAsia"/>
                <w:spacing w:val="-2"/>
                <w:sz w:val="24"/>
                <w:szCs w:val="24"/>
                <w:lang w:eastAsia="zh-CN"/>
              </w:rPr>
              <w:t>珑庭花园</w:t>
            </w:r>
            <w:r>
              <w:rPr>
                <w:rFonts w:hint="eastAsia"/>
                <w:spacing w:val="-2"/>
                <w:sz w:val="24"/>
                <w:szCs w:val="24"/>
              </w:rPr>
              <w:t>声环境预测叠加值可满足《声环境质量标准》（GB3096-2008）中的2类区限值（</w:t>
            </w:r>
            <w:r>
              <w:rPr>
                <w:spacing w:val="-2"/>
                <w:sz w:val="24"/>
                <w:szCs w:val="24"/>
              </w:rPr>
              <w:t>即昼间</w:t>
            </w:r>
            <w:r>
              <w:rPr>
                <w:bCs/>
                <w:sz w:val="24"/>
                <w:szCs w:val="24"/>
              </w:rPr>
              <w:t>≤</w:t>
            </w:r>
            <w:r>
              <w:rPr>
                <w:spacing w:val="-2"/>
                <w:sz w:val="24"/>
                <w:szCs w:val="24"/>
              </w:rPr>
              <w:t>6</w:t>
            </w:r>
            <w:r>
              <w:rPr>
                <w:rFonts w:hint="eastAsia"/>
                <w:spacing w:val="-2"/>
                <w:sz w:val="24"/>
                <w:szCs w:val="24"/>
              </w:rPr>
              <w:t>0</w:t>
            </w:r>
            <w:r>
              <w:rPr>
                <w:bCs/>
                <w:sz w:val="24"/>
                <w:szCs w:val="24"/>
              </w:rPr>
              <w:t>B(A)</w:t>
            </w:r>
            <w:r>
              <w:rPr>
                <w:spacing w:val="-2"/>
                <w:sz w:val="24"/>
                <w:szCs w:val="24"/>
              </w:rPr>
              <w:t>）。因此，在采取相应措施后，本项目营运期对</w:t>
            </w:r>
            <w:r>
              <w:rPr>
                <w:rFonts w:hint="eastAsia"/>
                <w:spacing w:val="-2"/>
                <w:sz w:val="24"/>
                <w:szCs w:val="24"/>
              </w:rPr>
              <w:t>厂界、敏感点</w:t>
            </w:r>
            <w:r>
              <w:rPr>
                <w:rFonts w:hint="eastAsia"/>
                <w:spacing w:val="-2"/>
                <w:sz w:val="24"/>
                <w:szCs w:val="24"/>
                <w:lang w:eastAsia="zh-CN"/>
              </w:rPr>
              <w:t>珑庭花园</w:t>
            </w:r>
            <w:r>
              <w:rPr>
                <w:spacing w:val="-2"/>
                <w:sz w:val="24"/>
                <w:szCs w:val="24"/>
              </w:rPr>
              <w:t>声环境影响较小。</w:t>
            </w:r>
          </w:p>
          <w:p>
            <w:pPr>
              <w:spacing w:line="360" w:lineRule="auto"/>
              <w:ind w:firstLine="480" w:firstLineChars="200"/>
              <w:rPr>
                <w:b/>
                <w:sz w:val="24"/>
              </w:rPr>
            </w:pPr>
            <w:r>
              <w:rPr>
                <w:b/>
                <w:sz w:val="24"/>
              </w:rPr>
              <w:t>4、固废影响分析</w:t>
            </w:r>
          </w:p>
          <w:p>
            <w:pPr>
              <w:spacing w:line="360" w:lineRule="auto"/>
              <w:ind w:firstLine="480" w:firstLineChars="200"/>
              <w:rPr>
                <w:b/>
                <w:sz w:val="24"/>
              </w:rPr>
            </w:pPr>
            <w:r>
              <w:rPr>
                <w:rFonts w:hint="eastAsia"/>
                <w:b/>
                <w:sz w:val="24"/>
              </w:rPr>
              <w:t>（1）</w:t>
            </w:r>
            <w:r>
              <w:rPr>
                <w:b/>
                <w:sz w:val="24"/>
              </w:rPr>
              <w:t>固体废物产生以及处置</w:t>
            </w:r>
            <w:r>
              <w:rPr>
                <w:rFonts w:hint="eastAsia"/>
                <w:b/>
                <w:sz w:val="24"/>
              </w:rPr>
              <w:t>情况</w:t>
            </w:r>
          </w:p>
          <w:p>
            <w:pPr>
              <w:adjustRightInd w:val="0"/>
              <w:snapToGrid w:val="0"/>
              <w:spacing w:line="360" w:lineRule="auto"/>
              <w:ind w:firstLine="480" w:firstLineChars="200"/>
              <w:rPr>
                <w:sz w:val="24"/>
                <w:szCs w:val="24"/>
              </w:rPr>
            </w:pPr>
            <w:r>
              <w:rPr>
                <w:rFonts w:hint="eastAsia"/>
                <w:sz w:val="24"/>
                <w:szCs w:val="24"/>
              </w:rPr>
              <w:t>本项目生产运行期产生的一般固废主要为废包装材料</w:t>
            </w:r>
            <w:r>
              <w:rPr>
                <w:rFonts w:hint="eastAsia"/>
                <w:sz w:val="24"/>
                <w:szCs w:val="24"/>
                <w:lang w:eastAsia="zh-CN"/>
              </w:rPr>
              <w:t>、不合格产品和废金属碎屑</w:t>
            </w:r>
            <w:r>
              <w:rPr>
                <w:rFonts w:hint="eastAsia"/>
                <w:sz w:val="24"/>
                <w:szCs w:val="24"/>
              </w:rPr>
              <w:t>，危险固废为废</w:t>
            </w:r>
            <w:r>
              <w:rPr>
                <w:rFonts w:hint="eastAsia"/>
                <w:sz w:val="24"/>
                <w:szCs w:val="24"/>
                <w:lang w:eastAsia="zh-CN"/>
              </w:rPr>
              <w:t>切削液</w:t>
            </w:r>
            <w:r>
              <w:rPr>
                <w:rFonts w:hint="eastAsia"/>
                <w:sz w:val="24"/>
                <w:szCs w:val="24"/>
              </w:rPr>
              <w:t>、废活性炭、废润滑油、废包装桶、废</w:t>
            </w:r>
            <w:r>
              <w:rPr>
                <w:rFonts w:hint="eastAsia"/>
                <w:sz w:val="24"/>
                <w:szCs w:val="24"/>
                <w:lang w:eastAsia="zh-CN"/>
              </w:rPr>
              <w:t>含油抹布</w:t>
            </w:r>
            <w:r>
              <w:rPr>
                <w:rFonts w:hint="eastAsia"/>
                <w:sz w:val="24"/>
                <w:szCs w:val="24"/>
              </w:rPr>
              <w:t>以及员工日常生活产生的生活垃圾。</w:t>
            </w:r>
            <w:r>
              <w:rPr>
                <w:sz w:val="24"/>
                <w:szCs w:val="24"/>
              </w:rPr>
              <w:t>本项目设有一般固废仓库</w:t>
            </w:r>
            <w:r>
              <w:rPr>
                <w:rFonts w:hint="eastAsia"/>
                <w:sz w:val="24"/>
                <w:szCs w:val="24"/>
              </w:rPr>
              <w:t>1</w:t>
            </w:r>
            <w:r>
              <w:rPr>
                <w:sz w:val="24"/>
                <w:szCs w:val="24"/>
              </w:rPr>
              <w:t>处（建筑面积为</w:t>
            </w:r>
            <w:r>
              <w:rPr>
                <w:rFonts w:hint="eastAsia"/>
                <w:sz w:val="24"/>
                <w:szCs w:val="24"/>
                <w:lang w:val="en-US" w:eastAsia="zh-CN"/>
              </w:rPr>
              <w:t>15</w:t>
            </w:r>
            <w:r>
              <w:rPr>
                <w:bCs/>
                <w:sz w:val="24"/>
                <w:szCs w:val="24"/>
              </w:rPr>
              <w:t>m</w:t>
            </w:r>
            <w:r>
              <w:rPr>
                <w:bCs/>
                <w:sz w:val="24"/>
                <w:szCs w:val="24"/>
                <w:vertAlign w:val="superscript"/>
              </w:rPr>
              <w:t>2</w:t>
            </w:r>
            <w:r>
              <w:rPr>
                <w:sz w:val="24"/>
                <w:szCs w:val="24"/>
              </w:rPr>
              <w:t>）</w:t>
            </w:r>
            <w:r>
              <w:rPr>
                <w:rFonts w:hint="eastAsia"/>
                <w:sz w:val="24"/>
                <w:szCs w:val="24"/>
              </w:rPr>
              <w:t>和危废仓库1处（建筑面积</w:t>
            </w:r>
            <w:r>
              <w:rPr>
                <w:rFonts w:hint="eastAsia"/>
                <w:sz w:val="24"/>
                <w:szCs w:val="24"/>
                <w:lang w:val="en-US" w:eastAsia="zh-CN"/>
              </w:rPr>
              <w:t>54</w:t>
            </w:r>
            <w:r>
              <w:rPr>
                <w:bCs/>
                <w:sz w:val="24"/>
                <w:szCs w:val="24"/>
              </w:rPr>
              <w:t>m</w:t>
            </w:r>
            <w:r>
              <w:rPr>
                <w:bCs/>
                <w:sz w:val="24"/>
                <w:szCs w:val="24"/>
                <w:vertAlign w:val="superscript"/>
              </w:rPr>
              <w:t>2</w:t>
            </w:r>
            <w:r>
              <w:rPr>
                <w:rFonts w:hint="eastAsia"/>
                <w:sz w:val="24"/>
                <w:szCs w:val="24"/>
              </w:rPr>
              <w:t>）。</w:t>
            </w:r>
          </w:p>
          <w:p>
            <w:pPr>
              <w:adjustRightInd w:val="0"/>
              <w:snapToGrid w:val="0"/>
              <w:spacing w:line="360" w:lineRule="auto"/>
              <w:ind w:firstLine="480" w:firstLineChars="200"/>
              <w:rPr>
                <w:b/>
                <w:sz w:val="24"/>
              </w:rPr>
            </w:pPr>
            <w:r>
              <w:rPr>
                <w:b/>
                <w:sz w:val="24"/>
              </w:rPr>
              <w:t>（2）固体废物环境管理</w:t>
            </w:r>
            <w:r>
              <w:rPr>
                <w:rFonts w:hint="eastAsia"/>
                <w:b/>
                <w:sz w:val="24"/>
              </w:rPr>
              <w:t>与监测</w:t>
            </w:r>
          </w:p>
          <w:p>
            <w:pPr>
              <w:adjustRightInd w:val="0"/>
              <w:snapToGrid w:val="0"/>
              <w:spacing w:line="360" w:lineRule="auto"/>
              <w:ind w:firstLine="480" w:firstLineChars="200"/>
              <w:rPr>
                <w:sz w:val="24"/>
              </w:rPr>
            </w:pPr>
            <w:r>
              <w:rPr>
                <w:sz w:val="24"/>
              </w:rPr>
              <w:t>企业为固体废物污染防治的责任主体，企业应建立有关转移管理的相关规定、人员培训考核制度、档案管理制度、全过程管理制度等。</w:t>
            </w:r>
          </w:p>
          <w:p>
            <w:pPr>
              <w:adjustRightInd w:val="0"/>
              <w:snapToGrid w:val="0"/>
              <w:spacing w:line="360" w:lineRule="auto"/>
              <w:ind w:firstLine="480" w:firstLineChars="200"/>
              <w:rPr>
                <w:sz w:val="24"/>
              </w:rPr>
            </w:pPr>
            <w:r>
              <w:rPr>
                <w:sz w:val="24"/>
              </w:rPr>
              <w:t>A.</w:t>
            </w:r>
            <w:r>
              <w:rPr>
                <w:sz w:val="24"/>
              </w:rPr>
              <w:tab/>
            </w:r>
            <w:r>
              <w:rPr>
                <w:sz w:val="24"/>
              </w:rPr>
              <w:t>环境监测：项目危险废物委托处置，不自行利用。</w:t>
            </w:r>
          </w:p>
          <w:p>
            <w:pPr>
              <w:adjustRightInd w:val="0"/>
              <w:snapToGrid w:val="0"/>
              <w:spacing w:line="360" w:lineRule="auto"/>
              <w:ind w:firstLine="480" w:firstLineChars="200"/>
              <w:rPr>
                <w:sz w:val="24"/>
              </w:rPr>
            </w:pPr>
            <w:r>
              <w:rPr>
                <w:sz w:val="24"/>
              </w:rPr>
              <w:t>B.</w:t>
            </w:r>
            <w:r>
              <w:rPr>
                <w:sz w:val="24"/>
              </w:rPr>
              <w:tab/>
            </w:r>
            <w:r>
              <w:rPr>
                <w:sz w:val="24"/>
              </w:rPr>
              <w:t>环境管理：建设单位应进行危险废物申报登记。将危险废物的实际产生、贮存、利用、处置等情况纳入生产记录，建立危险废物台账和企业内部产生和收集、贮存、转移等部门危险废物交接制度。</w:t>
            </w:r>
          </w:p>
          <w:p>
            <w:pPr>
              <w:adjustRightInd w:val="0"/>
              <w:snapToGrid w:val="0"/>
              <w:spacing w:line="360" w:lineRule="auto"/>
              <w:ind w:firstLine="480" w:firstLineChars="200"/>
              <w:rPr>
                <w:sz w:val="24"/>
              </w:rPr>
            </w:pPr>
            <w:r>
              <w:rPr>
                <w:sz w:val="24"/>
              </w:rPr>
              <w:t>企业应规范建设危险废物贮存场所并按照要求设置警告标志，贮存场所应按照要求张贴标识。</w:t>
            </w:r>
          </w:p>
          <w:p>
            <w:pPr>
              <w:numPr>
                <w:ilvl w:val="0"/>
                <w:numId w:val="8"/>
              </w:numPr>
              <w:adjustRightInd w:val="0"/>
              <w:snapToGrid w:val="0"/>
              <w:spacing w:line="360" w:lineRule="auto"/>
              <w:ind w:firstLine="480" w:firstLineChars="200"/>
              <w:rPr>
                <w:b/>
                <w:sz w:val="24"/>
              </w:rPr>
            </w:pPr>
            <w:r>
              <w:rPr>
                <w:b/>
                <w:sz w:val="24"/>
              </w:rPr>
              <w:t>固体废物环境影响分析</w:t>
            </w:r>
          </w:p>
          <w:p>
            <w:pPr>
              <w:adjustRightInd w:val="0"/>
              <w:snapToGrid w:val="0"/>
              <w:spacing w:line="360" w:lineRule="auto"/>
              <w:ind w:firstLine="480" w:firstLineChars="200"/>
              <w:rPr>
                <w:b/>
                <w:bCs/>
              </w:rPr>
            </w:pPr>
            <w:r>
              <w:rPr>
                <w:rFonts w:hint="eastAsia"/>
                <w:b/>
                <w:bCs/>
                <w:sz w:val="24"/>
              </w:rPr>
              <w:t>①危险固废</w:t>
            </w:r>
          </w:p>
          <w:p>
            <w:pPr>
              <w:adjustRightInd w:val="0"/>
              <w:snapToGrid w:val="0"/>
              <w:spacing w:line="360" w:lineRule="auto"/>
              <w:ind w:firstLine="480" w:firstLineChars="200"/>
              <w:rPr>
                <w:sz w:val="24"/>
              </w:rPr>
            </w:pPr>
            <w:r>
              <w:rPr>
                <w:rFonts w:hint="eastAsia"/>
                <w:sz w:val="24"/>
              </w:rPr>
              <w:t>A 贮存能力可行性分析</w:t>
            </w:r>
          </w:p>
          <w:p>
            <w:pPr>
              <w:pStyle w:val="21"/>
              <w:spacing w:after="0" w:line="360" w:lineRule="auto"/>
              <w:ind w:firstLine="480" w:firstLineChars="200"/>
              <w:rPr>
                <w:sz w:val="24"/>
              </w:rPr>
            </w:pPr>
            <w:r>
              <w:rPr>
                <w:rFonts w:hint="eastAsia"/>
                <w:sz w:val="24"/>
              </w:rPr>
              <w:t>本项目产生的危废暂存于危废仓库，面积为</w:t>
            </w:r>
            <w:r>
              <w:rPr>
                <w:rFonts w:hint="eastAsia"/>
                <w:sz w:val="24"/>
                <w:lang w:val="en-US" w:eastAsia="zh-CN"/>
              </w:rPr>
              <w:t>54</w:t>
            </w:r>
            <w:r>
              <w:rPr>
                <w:rFonts w:hint="eastAsia"/>
                <w:sz w:val="24"/>
              </w:rPr>
              <w:t>m</w:t>
            </w:r>
            <w:r>
              <w:rPr>
                <w:rFonts w:hint="eastAsia"/>
                <w:sz w:val="24"/>
                <w:vertAlign w:val="superscript"/>
              </w:rPr>
              <w:t>2</w:t>
            </w:r>
            <w:r>
              <w:rPr>
                <w:rFonts w:hint="eastAsia"/>
                <w:sz w:val="24"/>
              </w:rPr>
              <w:t>，</w:t>
            </w:r>
            <w:r>
              <w:rPr>
                <w:rFonts w:hint="eastAsia"/>
                <w:sz w:val="24"/>
                <w:szCs w:val="24"/>
              </w:rPr>
              <w:t>危废仓库</w:t>
            </w:r>
            <w:r>
              <w:rPr>
                <w:rFonts w:hint="eastAsia"/>
                <w:sz w:val="24"/>
              </w:rPr>
              <w:t>密闭，已做到“六防”，即“防雨、防火、防雷、防扬散、防渗漏装置及泄漏液体收集装置”，危废仓库地面与裙脚为坚固、防渗材料，建筑材料与危险废物相容。</w:t>
            </w:r>
          </w:p>
          <w:p>
            <w:pPr>
              <w:pStyle w:val="21"/>
              <w:spacing w:after="0" w:line="360" w:lineRule="auto"/>
              <w:ind w:firstLine="480" w:firstLineChars="200"/>
              <w:rPr>
                <w:sz w:val="24"/>
                <w:szCs w:val="22"/>
              </w:rPr>
            </w:pPr>
            <w:r>
              <w:rPr>
                <w:rFonts w:hint="eastAsia"/>
                <w:sz w:val="24"/>
                <w:szCs w:val="22"/>
              </w:rPr>
              <w:t>本项目的贮存的危险废物主要为</w:t>
            </w:r>
            <w:r>
              <w:rPr>
                <w:rFonts w:hint="eastAsia"/>
                <w:sz w:val="24"/>
                <w:szCs w:val="24"/>
              </w:rPr>
              <w:t>废</w:t>
            </w:r>
            <w:r>
              <w:rPr>
                <w:rFonts w:hint="eastAsia"/>
                <w:sz w:val="24"/>
                <w:szCs w:val="24"/>
                <w:lang w:eastAsia="zh-CN"/>
              </w:rPr>
              <w:t>切削液</w:t>
            </w:r>
            <w:r>
              <w:rPr>
                <w:rFonts w:hint="eastAsia"/>
                <w:sz w:val="24"/>
                <w:szCs w:val="24"/>
              </w:rPr>
              <w:t>、废活性炭、废润滑油、废包装桶</w:t>
            </w:r>
            <w:r>
              <w:rPr>
                <w:rFonts w:hint="eastAsia"/>
                <w:sz w:val="24"/>
                <w:szCs w:val="22"/>
                <w:lang w:val="en-US" w:eastAsia="zh-CN"/>
              </w:rPr>
              <w:t>4</w:t>
            </w:r>
            <w:r>
              <w:rPr>
                <w:rFonts w:hint="eastAsia"/>
                <w:sz w:val="24"/>
                <w:szCs w:val="22"/>
              </w:rPr>
              <w:t>种，共计2.</w:t>
            </w:r>
            <w:r>
              <w:rPr>
                <w:rFonts w:hint="eastAsia"/>
                <w:sz w:val="24"/>
                <w:szCs w:val="22"/>
                <w:lang w:val="en-US" w:eastAsia="zh-CN"/>
              </w:rPr>
              <w:t>052</w:t>
            </w:r>
            <w:r>
              <w:rPr>
                <w:rFonts w:hint="eastAsia"/>
                <w:sz w:val="24"/>
                <w:szCs w:val="22"/>
              </w:rPr>
              <w:t>t/a，需占用</w:t>
            </w:r>
            <w:r>
              <w:rPr>
                <w:rFonts w:hint="eastAsia"/>
                <w:sz w:val="24"/>
                <w:szCs w:val="22"/>
                <w:lang w:val="en-US" w:eastAsia="zh-CN"/>
              </w:rPr>
              <w:t>13.5</w:t>
            </w:r>
            <w:r>
              <w:rPr>
                <w:rFonts w:hint="eastAsia"/>
                <w:sz w:val="24"/>
                <w:szCs w:val="22"/>
              </w:rPr>
              <w:t>m</w:t>
            </w:r>
            <w:r>
              <w:rPr>
                <w:rFonts w:hint="eastAsia"/>
                <w:sz w:val="24"/>
                <w:szCs w:val="22"/>
                <w:vertAlign w:val="superscript"/>
              </w:rPr>
              <w:t>2</w:t>
            </w:r>
            <w:r>
              <w:rPr>
                <w:rFonts w:hint="eastAsia"/>
                <w:sz w:val="24"/>
                <w:szCs w:val="22"/>
              </w:rPr>
              <w:t>，本项目设置危废仓库的面积为</w:t>
            </w:r>
            <w:r>
              <w:rPr>
                <w:rFonts w:hint="eastAsia"/>
                <w:sz w:val="24"/>
                <w:szCs w:val="22"/>
                <w:lang w:val="en-US" w:eastAsia="zh-CN"/>
              </w:rPr>
              <w:t>54</w:t>
            </w:r>
            <w:r>
              <w:rPr>
                <w:rFonts w:hint="eastAsia"/>
                <w:sz w:val="24"/>
                <w:szCs w:val="22"/>
              </w:rPr>
              <w:t>m</w:t>
            </w:r>
            <w:r>
              <w:rPr>
                <w:rFonts w:hint="eastAsia"/>
                <w:sz w:val="24"/>
                <w:szCs w:val="22"/>
                <w:vertAlign w:val="superscript"/>
              </w:rPr>
              <w:t>2</w:t>
            </w:r>
            <w:r>
              <w:rPr>
                <w:rFonts w:hint="eastAsia"/>
                <w:sz w:val="24"/>
                <w:szCs w:val="22"/>
              </w:rPr>
              <w:t>，该危废仓库容量满足现有危废的暂存需求。</w:t>
            </w:r>
          </w:p>
          <w:p>
            <w:pPr>
              <w:pStyle w:val="21"/>
              <w:spacing w:after="0" w:line="360" w:lineRule="auto"/>
              <w:ind w:firstLine="480" w:firstLineChars="200"/>
              <w:rPr>
                <w:sz w:val="24"/>
              </w:rPr>
            </w:pPr>
            <w:r>
              <w:rPr>
                <w:rFonts w:hint="eastAsia"/>
                <w:sz w:val="24"/>
              </w:rPr>
              <w:t>B 贮存安全性分析</w:t>
            </w:r>
          </w:p>
          <w:p>
            <w:pPr>
              <w:pStyle w:val="21"/>
              <w:spacing w:after="0" w:line="360" w:lineRule="auto"/>
              <w:ind w:firstLine="480" w:firstLineChars="200"/>
              <w:rPr>
                <w:sz w:val="24"/>
              </w:rPr>
            </w:pPr>
            <w:r>
              <w:rPr>
                <w:rFonts w:hint="eastAsia"/>
                <w:sz w:val="24"/>
              </w:rPr>
              <w:t>本项目产生及贮存的危险废物主要有</w:t>
            </w:r>
            <w:r>
              <w:rPr>
                <w:rFonts w:hint="eastAsia"/>
                <w:sz w:val="24"/>
                <w:szCs w:val="24"/>
              </w:rPr>
              <w:t>废</w:t>
            </w:r>
            <w:r>
              <w:rPr>
                <w:rFonts w:hint="eastAsia"/>
                <w:sz w:val="24"/>
                <w:szCs w:val="24"/>
                <w:lang w:eastAsia="zh-CN"/>
              </w:rPr>
              <w:t>切削液</w:t>
            </w:r>
            <w:r>
              <w:rPr>
                <w:rFonts w:hint="eastAsia"/>
                <w:sz w:val="24"/>
                <w:szCs w:val="24"/>
              </w:rPr>
              <w:t>、废活性炭、废润滑油、废包装桶</w:t>
            </w:r>
            <w:r>
              <w:rPr>
                <w:rFonts w:hint="eastAsia"/>
                <w:sz w:val="24"/>
              </w:rPr>
              <w:t>，危废安全贮存过程如下所述：</w:t>
            </w:r>
          </w:p>
          <w:p>
            <w:pPr>
              <w:pStyle w:val="21"/>
              <w:spacing w:after="0" w:line="360" w:lineRule="auto"/>
              <w:ind w:firstLine="480" w:firstLineChars="200"/>
              <w:rPr>
                <w:sz w:val="24"/>
              </w:rPr>
            </w:pPr>
            <w:r>
              <w:rPr>
                <w:rFonts w:hint="eastAsia"/>
                <w:sz w:val="24"/>
              </w:rPr>
              <w:t>废切削液：具有毒性、易燃性，置于专用容器内密闭存放，容器顶部与废润滑油液面之间保存100mm以上的空间，分类贮存于危废暂存场。</w:t>
            </w:r>
          </w:p>
          <w:p>
            <w:pPr>
              <w:pStyle w:val="21"/>
              <w:spacing w:after="0" w:line="360" w:lineRule="auto"/>
              <w:ind w:firstLine="480" w:firstLineChars="200"/>
              <w:rPr>
                <w:sz w:val="24"/>
              </w:rPr>
            </w:pPr>
            <w:r>
              <w:rPr>
                <w:rFonts w:hint="eastAsia"/>
                <w:sz w:val="24"/>
              </w:rPr>
              <w:t>废活性炭：具有毒性或感染性，置于专用编织袋中密闭存放，分类贮存于</w:t>
            </w:r>
            <w:r>
              <w:rPr>
                <w:rFonts w:hint="eastAsia"/>
                <w:sz w:val="24"/>
                <w:szCs w:val="24"/>
              </w:rPr>
              <w:t>危废仓库</w:t>
            </w:r>
            <w:r>
              <w:rPr>
                <w:rFonts w:hint="eastAsia"/>
                <w:sz w:val="24"/>
              </w:rPr>
              <w:t>。</w:t>
            </w:r>
          </w:p>
          <w:p>
            <w:pPr>
              <w:pStyle w:val="21"/>
              <w:spacing w:after="0" w:line="360" w:lineRule="auto"/>
              <w:ind w:firstLine="480" w:firstLineChars="200"/>
              <w:rPr>
                <w:sz w:val="24"/>
              </w:rPr>
            </w:pPr>
            <w:r>
              <w:rPr>
                <w:rFonts w:hint="eastAsia"/>
                <w:sz w:val="24"/>
              </w:rPr>
              <w:t>废润滑油：具有毒性、易燃性，置于专用容器内密闭存放，容器顶部与废润滑油液面之间保存100mm以上的空间，分类贮存于危废暂存场。</w:t>
            </w:r>
          </w:p>
          <w:p>
            <w:pPr>
              <w:pStyle w:val="21"/>
              <w:spacing w:after="0" w:line="360" w:lineRule="auto"/>
              <w:ind w:firstLine="480" w:firstLineChars="200"/>
              <w:rPr>
                <w:sz w:val="24"/>
              </w:rPr>
            </w:pPr>
            <w:r>
              <w:rPr>
                <w:rFonts w:hint="eastAsia"/>
                <w:sz w:val="24"/>
              </w:rPr>
              <w:t>废包装桶：具有毒性或感染性，产生的废包装桶堆叠存放，分类贮存于</w:t>
            </w:r>
            <w:r>
              <w:rPr>
                <w:rFonts w:hint="eastAsia"/>
                <w:sz w:val="24"/>
                <w:szCs w:val="24"/>
              </w:rPr>
              <w:t>危废仓库</w:t>
            </w:r>
            <w:r>
              <w:rPr>
                <w:rFonts w:hint="eastAsia"/>
                <w:sz w:val="24"/>
              </w:rPr>
              <w:t>。</w:t>
            </w:r>
          </w:p>
          <w:p>
            <w:pPr>
              <w:autoSpaceDE w:val="0"/>
              <w:autoSpaceDN w:val="0"/>
              <w:adjustRightInd w:val="0"/>
              <w:spacing w:line="360" w:lineRule="auto"/>
              <w:ind w:firstLine="480" w:firstLineChars="200"/>
              <w:rPr>
                <w:sz w:val="24"/>
              </w:rPr>
            </w:pPr>
            <w:r>
              <w:rPr>
                <w:sz w:val="24"/>
                <w:szCs w:val="24"/>
              </w:rPr>
              <w:t>本项目危废</w:t>
            </w:r>
            <w:r>
              <w:rPr>
                <w:rFonts w:hint="eastAsia"/>
                <w:sz w:val="24"/>
                <w:szCs w:val="24"/>
              </w:rPr>
              <w:t>均</w:t>
            </w:r>
            <w:r>
              <w:rPr>
                <w:sz w:val="24"/>
                <w:szCs w:val="24"/>
              </w:rPr>
              <w:t>分类密封贮存，可保证各类危废不会形成二次污染，且本项目产生的危废分类存放，且设有隔断，设置危废识别标志，盛装危险废物的容器粘贴标签。</w:t>
            </w:r>
            <w:r>
              <w:rPr>
                <w:rFonts w:hint="eastAsia"/>
                <w:sz w:val="24"/>
                <w:szCs w:val="24"/>
              </w:rPr>
              <w:t>因此，</w:t>
            </w:r>
            <w:r>
              <w:rPr>
                <w:rFonts w:hint="eastAsia"/>
                <w:sz w:val="24"/>
              </w:rPr>
              <w:t>本项目危废按上述要求安全贮存于危废仓库是可行的。</w:t>
            </w:r>
          </w:p>
          <w:p>
            <w:pPr>
              <w:pStyle w:val="21"/>
              <w:ind w:firstLine="480" w:firstLineChars="200"/>
              <w:rPr>
                <w:sz w:val="24"/>
              </w:rPr>
            </w:pPr>
            <w:r>
              <w:rPr>
                <w:rFonts w:hint="eastAsia"/>
                <w:sz w:val="24"/>
              </w:rPr>
              <w:t>C 转移运输影响分析</w:t>
            </w:r>
          </w:p>
          <w:p>
            <w:pPr>
              <w:pStyle w:val="29"/>
              <w:spacing w:before="0" w:line="360" w:lineRule="auto"/>
              <w:ind w:firstLine="480" w:firstLineChars="200"/>
              <w:rPr>
                <w:rFonts w:ascii="Times New Roman"/>
                <w:spacing w:val="0"/>
                <w:kern w:val="2"/>
                <w:sz w:val="24"/>
                <w:szCs w:val="22"/>
              </w:rPr>
            </w:pPr>
            <w:r>
              <w:rPr>
                <w:rFonts w:ascii="Times New Roman"/>
                <w:spacing w:val="0"/>
                <w:kern w:val="2"/>
                <w:sz w:val="24"/>
                <w:szCs w:val="22"/>
              </w:rPr>
              <w:t>项目危险废物在厂内堆放和转移运输过程应防止抛洒逸散，建立台账记录并</w:t>
            </w:r>
          </w:p>
          <w:p>
            <w:pPr>
              <w:pStyle w:val="29"/>
              <w:spacing w:before="0" w:line="360" w:lineRule="auto"/>
              <w:rPr>
                <w:rFonts w:ascii="Times New Roman"/>
                <w:spacing w:val="0"/>
                <w:kern w:val="2"/>
                <w:sz w:val="24"/>
                <w:szCs w:val="22"/>
              </w:rPr>
            </w:pPr>
            <w:r>
              <w:rPr>
                <w:rFonts w:ascii="Times New Roman"/>
                <w:spacing w:val="0"/>
                <w:kern w:val="2"/>
                <w:sz w:val="24"/>
                <w:szCs w:val="22"/>
              </w:rPr>
              <w:t>按时申报其产生贮存情况。</w:t>
            </w:r>
          </w:p>
          <w:p>
            <w:pPr>
              <w:pStyle w:val="29"/>
              <w:spacing w:before="0" w:line="360" w:lineRule="auto"/>
              <w:ind w:firstLine="480" w:firstLineChars="200"/>
              <w:rPr>
                <w:rFonts w:ascii="Times New Roman"/>
                <w:spacing w:val="0"/>
                <w:kern w:val="2"/>
                <w:sz w:val="24"/>
                <w:szCs w:val="22"/>
              </w:rPr>
            </w:pPr>
            <w:r>
              <w:rPr>
                <w:rFonts w:ascii="Times New Roman"/>
                <w:spacing w:val="0"/>
                <w:kern w:val="2"/>
                <w:sz w:val="24"/>
                <w:szCs w:val="22"/>
              </w:rPr>
              <w:t>危险废物由专用车辆转移至处置公司，转移过程按照要求办理转移审批手续，严格执行五联单制度，确保危险废物从产生、转移到处置的全过程监控，防止抛洒逸散。正常情况下，转移过程不会对沿线环境造成不良影响。</w:t>
            </w:r>
          </w:p>
          <w:p>
            <w:pPr>
              <w:pStyle w:val="29"/>
              <w:spacing w:before="0" w:line="360" w:lineRule="auto"/>
              <w:ind w:firstLine="480" w:firstLineChars="200"/>
              <w:rPr>
                <w:rStyle w:val="75"/>
                <w:rFonts w:ascii="Times New Roman"/>
                <w:bCs/>
                <w:spacing w:val="0"/>
                <w:kern w:val="2"/>
                <w:sz w:val="24"/>
                <w:szCs w:val="24"/>
              </w:rPr>
            </w:pPr>
            <w:r>
              <w:rPr>
                <w:rStyle w:val="75"/>
                <w:rFonts w:hint="eastAsia" w:ascii="Times New Roman"/>
                <w:bCs/>
                <w:spacing w:val="0"/>
                <w:kern w:val="2"/>
                <w:sz w:val="24"/>
                <w:szCs w:val="24"/>
              </w:rPr>
              <w:t>D 签订委托处置协议</w:t>
            </w:r>
          </w:p>
          <w:p>
            <w:pPr>
              <w:pStyle w:val="29"/>
              <w:spacing w:before="0" w:line="360" w:lineRule="auto"/>
              <w:ind w:firstLine="480" w:firstLineChars="200"/>
              <w:rPr>
                <w:rStyle w:val="75"/>
                <w:rFonts w:ascii="Times New Roman"/>
                <w:bCs/>
                <w:spacing w:val="0"/>
                <w:kern w:val="2"/>
                <w:sz w:val="24"/>
                <w:szCs w:val="24"/>
              </w:rPr>
            </w:pPr>
            <w:r>
              <w:rPr>
                <w:rStyle w:val="75"/>
                <w:rFonts w:ascii="Times New Roman"/>
                <w:bCs/>
                <w:spacing w:val="0"/>
                <w:kern w:val="2"/>
                <w:sz w:val="24"/>
                <w:szCs w:val="24"/>
              </w:rPr>
              <w:t>因建设单位尚未建成投产，目前未与相关单位签订危废协议，但企业承诺试</w:t>
            </w:r>
          </w:p>
          <w:p>
            <w:pPr>
              <w:pStyle w:val="29"/>
              <w:spacing w:before="0" w:line="360" w:lineRule="auto"/>
              <w:rPr>
                <w:rStyle w:val="75"/>
                <w:rFonts w:ascii="Times New Roman"/>
                <w:bCs/>
                <w:spacing w:val="0"/>
                <w:kern w:val="2"/>
                <w:sz w:val="24"/>
                <w:szCs w:val="24"/>
              </w:rPr>
            </w:pPr>
            <w:r>
              <w:rPr>
                <w:rStyle w:val="75"/>
                <w:rFonts w:ascii="Times New Roman"/>
                <w:bCs/>
                <w:spacing w:val="0"/>
                <w:kern w:val="2"/>
                <w:sz w:val="24"/>
                <w:szCs w:val="24"/>
              </w:rPr>
              <w:t>生产之前完善该手续，报环保部门备案。</w:t>
            </w:r>
          </w:p>
          <w:p>
            <w:pPr>
              <w:autoSpaceDE w:val="0"/>
              <w:autoSpaceDN w:val="0"/>
              <w:adjustRightInd w:val="0"/>
              <w:spacing w:line="360" w:lineRule="auto"/>
              <w:ind w:firstLine="480" w:firstLineChars="200"/>
              <w:rPr>
                <w:b/>
                <w:bCs/>
                <w:sz w:val="24"/>
                <w:szCs w:val="24"/>
              </w:rPr>
            </w:pPr>
            <w:r>
              <w:rPr>
                <w:rFonts w:hint="eastAsia"/>
                <w:b/>
                <w:bCs/>
                <w:sz w:val="24"/>
                <w:szCs w:val="24"/>
              </w:rPr>
              <w:t>②</w:t>
            </w:r>
            <w:r>
              <w:rPr>
                <w:b/>
                <w:bCs/>
                <w:sz w:val="24"/>
                <w:szCs w:val="24"/>
              </w:rPr>
              <w:t>一般固体废物</w:t>
            </w:r>
          </w:p>
          <w:p>
            <w:pPr>
              <w:adjustRightInd w:val="0"/>
              <w:snapToGrid w:val="0"/>
              <w:spacing w:line="360" w:lineRule="auto"/>
              <w:ind w:firstLine="480" w:firstLineChars="200"/>
              <w:rPr>
                <w:sz w:val="24"/>
              </w:rPr>
            </w:pPr>
            <w:r>
              <w:rPr>
                <w:sz w:val="24"/>
                <w:szCs w:val="24"/>
              </w:rPr>
              <w:t>本项目一般固废为</w:t>
            </w:r>
            <w:r>
              <w:rPr>
                <w:rFonts w:hint="eastAsia"/>
                <w:sz w:val="24"/>
                <w:szCs w:val="24"/>
              </w:rPr>
              <w:t>废包装材料</w:t>
            </w:r>
            <w:r>
              <w:rPr>
                <w:rFonts w:hint="eastAsia"/>
                <w:sz w:val="24"/>
                <w:szCs w:val="24"/>
                <w:lang w:eastAsia="zh-CN"/>
              </w:rPr>
              <w:t>、不合格产品和废金属碎屑</w:t>
            </w:r>
            <w:r>
              <w:rPr>
                <w:rFonts w:hint="eastAsia"/>
                <w:sz w:val="24"/>
              </w:rPr>
              <w:t>。</w:t>
            </w:r>
            <w:r>
              <w:rPr>
                <w:bCs/>
                <w:sz w:val="24"/>
              </w:rPr>
              <w:t>本项目在</w:t>
            </w:r>
            <w:r>
              <w:rPr>
                <w:rFonts w:hint="eastAsia"/>
                <w:bCs/>
                <w:sz w:val="24"/>
              </w:rPr>
              <w:t>车间西侧设置</w:t>
            </w:r>
            <w:r>
              <w:rPr>
                <w:bCs/>
                <w:sz w:val="24"/>
              </w:rPr>
              <w:t>一般固废</w:t>
            </w:r>
            <w:r>
              <w:rPr>
                <w:rFonts w:hint="eastAsia"/>
                <w:bCs/>
                <w:sz w:val="24"/>
              </w:rPr>
              <w:t>暂存区1</w:t>
            </w:r>
            <w:r>
              <w:rPr>
                <w:bCs/>
                <w:sz w:val="24"/>
              </w:rPr>
              <w:t>处</w:t>
            </w:r>
            <w:r>
              <w:rPr>
                <w:rFonts w:hint="eastAsia"/>
                <w:bCs/>
                <w:sz w:val="24"/>
              </w:rPr>
              <w:t>（</w:t>
            </w:r>
            <w:r>
              <w:rPr>
                <w:bCs/>
                <w:sz w:val="24"/>
              </w:rPr>
              <w:t>建筑面积</w:t>
            </w:r>
            <w:r>
              <w:rPr>
                <w:rFonts w:hint="eastAsia"/>
                <w:bCs/>
                <w:sz w:val="24"/>
                <w:lang w:val="en-US" w:eastAsia="zh-CN"/>
              </w:rPr>
              <w:t>1</w:t>
            </w:r>
            <w:r>
              <w:rPr>
                <w:rFonts w:hint="eastAsia"/>
                <w:bCs/>
                <w:sz w:val="24"/>
              </w:rPr>
              <w:t>5</w:t>
            </w:r>
            <w:r>
              <w:rPr>
                <w:bCs/>
                <w:sz w:val="24"/>
              </w:rPr>
              <w:t>m</w:t>
            </w:r>
            <w:r>
              <w:rPr>
                <w:bCs/>
                <w:sz w:val="24"/>
                <w:vertAlign w:val="superscript"/>
              </w:rPr>
              <w:t>2</w:t>
            </w:r>
            <w:r>
              <w:rPr>
                <w:rFonts w:hint="eastAsia"/>
                <w:bCs/>
                <w:sz w:val="24"/>
              </w:rPr>
              <w:t>）</w:t>
            </w:r>
            <w:r>
              <w:rPr>
                <w:bCs/>
                <w:sz w:val="24"/>
              </w:rPr>
              <w:t>，</w:t>
            </w:r>
            <w:r>
              <w:rPr>
                <w:sz w:val="24"/>
              </w:rPr>
              <w:t>一般固废暂存需满足《一般工业固体废物贮存、处置场污染控制标准》（GB 18599-2001）及2013年修改单要求。</w:t>
            </w:r>
            <w:r>
              <w:rPr>
                <w:sz w:val="24"/>
                <w:szCs w:val="24"/>
              </w:rPr>
              <w:t>具体要求如下：</w:t>
            </w:r>
          </w:p>
          <w:p>
            <w:pPr>
              <w:autoSpaceDE w:val="0"/>
              <w:autoSpaceDN w:val="0"/>
              <w:adjustRightInd w:val="0"/>
              <w:spacing w:line="360" w:lineRule="auto"/>
              <w:ind w:firstLine="480" w:firstLineChars="200"/>
              <w:rPr>
                <w:sz w:val="24"/>
                <w:szCs w:val="24"/>
              </w:rPr>
            </w:pPr>
            <w:r>
              <w:rPr>
                <w:rFonts w:hint="eastAsia"/>
                <w:sz w:val="24"/>
                <w:szCs w:val="24"/>
              </w:rPr>
              <w:t>a</w:t>
            </w:r>
            <w:r>
              <w:rPr>
                <w:sz w:val="24"/>
                <w:szCs w:val="24"/>
              </w:rPr>
              <w:t>贮存、处置场的建设类型，必须与将要堆放的一般工业固体废物的类别相一致。</w:t>
            </w:r>
          </w:p>
          <w:p>
            <w:pPr>
              <w:autoSpaceDE w:val="0"/>
              <w:autoSpaceDN w:val="0"/>
              <w:adjustRightInd w:val="0"/>
              <w:spacing w:line="360" w:lineRule="auto"/>
              <w:ind w:firstLine="480" w:firstLineChars="200"/>
              <w:rPr>
                <w:sz w:val="24"/>
                <w:szCs w:val="24"/>
              </w:rPr>
            </w:pPr>
            <w:r>
              <w:rPr>
                <w:rFonts w:hint="eastAsia"/>
                <w:sz w:val="24"/>
                <w:szCs w:val="24"/>
              </w:rPr>
              <w:t>b</w:t>
            </w:r>
            <w:r>
              <w:rPr>
                <w:sz w:val="24"/>
                <w:szCs w:val="24"/>
              </w:rPr>
              <w:t>为保障设施、设备正常运营，必要时应采取措施防止地基下沉，尤其是防止不均匀或局部下沉。</w:t>
            </w:r>
          </w:p>
          <w:p>
            <w:pPr>
              <w:autoSpaceDE w:val="0"/>
              <w:autoSpaceDN w:val="0"/>
              <w:adjustRightInd w:val="0"/>
              <w:spacing w:line="360" w:lineRule="auto"/>
              <w:ind w:firstLine="480" w:firstLineChars="200"/>
              <w:rPr>
                <w:b/>
                <w:bCs/>
                <w:sz w:val="24"/>
                <w:szCs w:val="24"/>
              </w:rPr>
            </w:pPr>
            <w:r>
              <w:rPr>
                <w:rFonts w:hint="eastAsia"/>
                <w:b/>
                <w:bCs/>
                <w:sz w:val="24"/>
                <w:szCs w:val="24"/>
              </w:rPr>
              <w:t>③</w:t>
            </w:r>
            <w:r>
              <w:rPr>
                <w:b/>
                <w:bCs/>
                <w:sz w:val="24"/>
                <w:szCs w:val="24"/>
              </w:rPr>
              <w:t>生活垃圾</w:t>
            </w:r>
          </w:p>
          <w:p>
            <w:pPr>
              <w:autoSpaceDE w:val="0"/>
              <w:autoSpaceDN w:val="0"/>
              <w:adjustRightInd w:val="0"/>
              <w:spacing w:line="360" w:lineRule="auto"/>
              <w:ind w:firstLine="480" w:firstLineChars="200"/>
              <w:rPr>
                <w:sz w:val="24"/>
                <w:szCs w:val="24"/>
              </w:rPr>
            </w:pPr>
            <w:r>
              <w:rPr>
                <w:sz w:val="24"/>
                <w:szCs w:val="24"/>
              </w:rPr>
              <w:t>职工生活垃圾由环卫部门定期清运，可得到有效处置。</w:t>
            </w:r>
          </w:p>
          <w:p>
            <w:pPr>
              <w:pStyle w:val="29"/>
              <w:spacing w:before="0" w:line="360" w:lineRule="auto"/>
              <w:ind w:firstLine="480" w:firstLineChars="200"/>
              <w:rPr>
                <w:rStyle w:val="75"/>
                <w:rFonts w:ascii="Times New Roman" w:hAnsi="Times New Roman"/>
                <w:b/>
                <w:spacing w:val="0"/>
                <w:kern w:val="2"/>
                <w:sz w:val="24"/>
                <w:szCs w:val="24"/>
              </w:rPr>
            </w:pPr>
            <w:r>
              <w:rPr>
                <w:rStyle w:val="75"/>
                <w:rFonts w:ascii="Times New Roman" w:hAnsi="Times New Roman"/>
                <w:b/>
                <w:spacing w:val="0"/>
                <w:kern w:val="2"/>
                <w:sz w:val="24"/>
                <w:szCs w:val="24"/>
              </w:rPr>
              <w:t>（4）</w:t>
            </w:r>
            <w:r>
              <w:rPr>
                <w:rFonts w:ascii="Times New Roman" w:hAnsi="Times New Roman"/>
                <w:b/>
                <w:sz w:val="24"/>
                <w:szCs w:val="24"/>
              </w:rPr>
              <w:t>固体废物污染防治措施分析</w:t>
            </w:r>
          </w:p>
          <w:p>
            <w:pPr>
              <w:pStyle w:val="29"/>
              <w:spacing w:before="0" w:line="360" w:lineRule="auto"/>
              <w:ind w:firstLine="480" w:firstLineChars="200"/>
              <w:rPr>
                <w:rStyle w:val="75"/>
                <w:rFonts w:ascii="Times New Roman" w:hAnsi="Times New Roman"/>
                <w:bCs/>
                <w:spacing w:val="0"/>
                <w:kern w:val="2"/>
                <w:sz w:val="24"/>
                <w:szCs w:val="24"/>
              </w:rPr>
            </w:pPr>
            <w:r>
              <w:rPr>
                <w:rStyle w:val="75"/>
                <w:rFonts w:ascii="Times New Roman" w:hAnsi="Times New Roman"/>
                <w:bCs/>
                <w:spacing w:val="0"/>
                <w:kern w:val="2"/>
                <w:sz w:val="24"/>
                <w:szCs w:val="24"/>
              </w:rPr>
              <w:t>项目建成运营后项目固废分类处置。一般废物由企业分类收集后外售综合利用；危险废物收集后委托有资质单位处置，其中</w:t>
            </w:r>
            <w:r>
              <w:rPr>
                <w:rStyle w:val="75"/>
                <w:rFonts w:hint="eastAsia" w:ascii="Times New Roman" w:hAnsi="Times New Roman"/>
                <w:bCs/>
                <w:spacing w:val="0"/>
                <w:kern w:val="2"/>
                <w:sz w:val="24"/>
                <w:szCs w:val="24"/>
              </w:rPr>
              <w:t>混入生活垃圾的废</w:t>
            </w:r>
            <w:r>
              <w:rPr>
                <w:rStyle w:val="75"/>
                <w:rFonts w:ascii="Times New Roman" w:hAnsi="Times New Roman"/>
                <w:bCs/>
                <w:spacing w:val="0"/>
                <w:kern w:val="2"/>
                <w:sz w:val="24"/>
                <w:szCs w:val="24"/>
              </w:rPr>
              <w:t>含油抹布以及生活垃圾由环卫部门统一清运；金坛地区危险废物处置单位统计情况见下表。</w:t>
            </w:r>
          </w:p>
          <w:p>
            <w:pPr>
              <w:jc w:val="center"/>
              <w:rPr>
                <w:b/>
                <w:szCs w:val="21"/>
              </w:rPr>
            </w:pPr>
            <w:r>
              <w:rPr>
                <w:b/>
                <w:szCs w:val="21"/>
              </w:rPr>
              <w:t>表7-</w:t>
            </w:r>
            <w:r>
              <w:rPr>
                <w:rFonts w:hint="eastAsia"/>
                <w:b/>
                <w:szCs w:val="21"/>
              </w:rPr>
              <w:t>2</w:t>
            </w:r>
            <w:r>
              <w:rPr>
                <w:rFonts w:hint="eastAsia"/>
                <w:b/>
                <w:szCs w:val="21"/>
                <w:lang w:val="en-US" w:eastAsia="zh-CN"/>
              </w:rPr>
              <w:t>3</w:t>
            </w:r>
            <w:r>
              <w:rPr>
                <w:rFonts w:hint="eastAsia"/>
                <w:b/>
                <w:szCs w:val="21"/>
              </w:rPr>
              <w:t xml:space="preserve"> </w:t>
            </w:r>
            <w:r>
              <w:rPr>
                <w:b/>
                <w:szCs w:val="21"/>
              </w:rPr>
              <w:t>金坛地区危险废物处置单位及处置能力</w:t>
            </w:r>
          </w:p>
          <w:tbl>
            <w:tblPr>
              <w:tblStyle w:val="56"/>
              <w:tblW w:w="4998" w:type="pct"/>
              <w:jc w:val="center"/>
              <w:tblBorders>
                <w:top w:val="single" w:color="auto" w:sz="12" w:space="0"/>
                <w:left w:val="none" w:color="auto" w:sz="0" w:space="0"/>
                <w:bottom w:val="single" w:color="auto" w:sz="12" w:space="0"/>
                <w:right w:val="none" w:color="auto" w:sz="0" w:space="0"/>
                <w:insideH w:val="single" w:color="auto" w:sz="2" w:space="0"/>
                <w:insideV w:val="single" w:color="auto" w:sz="2" w:space="0"/>
              </w:tblBorders>
              <w:tblLayout w:type="autofit"/>
              <w:tblCellMar>
                <w:top w:w="0" w:type="dxa"/>
                <w:left w:w="28" w:type="dxa"/>
                <w:bottom w:w="0" w:type="dxa"/>
                <w:right w:w="28" w:type="dxa"/>
              </w:tblCellMar>
            </w:tblPr>
            <w:tblGrid>
              <w:gridCol w:w="267"/>
              <w:gridCol w:w="1277"/>
              <w:gridCol w:w="848"/>
              <w:gridCol w:w="1888"/>
              <w:gridCol w:w="3318"/>
              <w:gridCol w:w="711"/>
            </w:tblGrid>
            <w:tr>
              <w:tblPrEx>
                <w:tblBorders>
                  <w:top w:val="single" w:color="auto" w:sz="12" w:space="0"/>
                  <w:left w:val="none" w:color="auto" w:sz="0" w:space="0"/>
                  <w:bottom w:val="single" w:color="auto" w:sz="12" w:space="0"/>
                  <w:right w:val="none" w:color="auto" w:sz="0" w:space="0"/>
                  <w:insideH w:val="single" w:color="auto" w:sz="2" w:space="0"/>
                  <w:insideV w:val="single" w:color="auto" w:sz="2" w:space="0"/>
                </w:tblBorders>
                <w:tblCellMar>
                  <w:top w:w="0" w:type="dxa"/>
                  <w:left w:w="28" w:type="dxa"/>
                  <w:bottom w:w="0" w:type="dxa"/>
                  <w:right w:w="28" w:type="dxa"/>
                </w:tblCellMar>
              </w:tblPrEx>
              <w:trPr>
                <w:jc w:val="center"/>
              </w:trPr>
              <w:tc>
                <w:tcPr>
                  <w:tcW w:w="159" w:type="pct"/>
                  <w:tcBorders>
                    <w:tl2br w:val="nil"/>
                    <w:tr2bl w:val="nil"/>
                  </w:tcBorders>
                  <w:vAlign w:val="center"/>
                </w:tcPr>
                <w:p>
                  <w:pPr>
                    <w:jc w:val="center"/>
                    <w:rPr>
                      <w:b/>
                      <w:szCs w:val="21"/>
                    </w:rPr>
                  </w:pPr>
                  <w:r>
                    <w:rPr>
                      <w:b/>
                      <w:szCs w:val="21"/>
                    </w:rPr>
                    <w:t>序号</w:t>
                  </w:r>
                </w:p>
              </w:tc>
              <w:tc>
                <w:tcPr>
                  <w:tcW w:w="871" w:type="pct"/>
                  <w:tcBorders>
                    <w:tl2br w:val="nil"/>
                    <w:tr2bl w:val="nil"/>
                  </w:tcBorders>
                  <w:vAlign w:val="center"/>
                </w:tcPr>
                <w:p>
                  <w:pPr>
                    <w:jc w:val="center"/>
                    <w:rPr>
                      <w:b/>
                      <w:szCs w:val="21"/>
                    </w:rPr>
                  </w:pPr>
                  <w:r>
                    <w:rPr>
                      <w:b/>
                      <w:szCs w:val="21"/>
                    </w:rPr>
                    <w:t>危险废物处置单位名称</w:t>
                  </w:r>
                </w:p>
              </w:tc>
              <w:tc>
                <w:tcPr>
                  <w:tcW w:w="613" w:type="pct"/>
                  <w:tcBorders>
                    <w:tl2br w:val="nil"/>
                    <w:tr2bl w:val="nil"/>
                  </w:tcBorders>
                  <w:vAlign w:val="center"/>
                </w:tcPr>
                <w:p>
                  <w:pPr>
                    <w:jc w:val="center"/>
                    <w:rPr>
                      <w:b/>
                      <w:szCs w:val="21"/>
                    </w:rPr>
                  </w:pPr>
                  <w:r>
                    <w:rPr>
                      <w:b/>
                      <w:szCs w:val="21"/>
                    </w:rPr>
                    <w:t>地址</w:t>
                  </w:r>
                </w:p>
              </w:tc>
              <w:tc>
                <w:tcPr>
                  <w:tcW w:w="793" w:type="pct"/>
                  <w:tcBorders>
                    <w:tl2br w:val="nil"/>
                    <w:tr2bl w:val="nil"/>
                  </w:tcBorders>
                  <w:vAlign w:val="center"/>
                </w:tcPr>
                <w:p>
                  <w:pPr>
                    <w:jc w:val="center"/>
                    <w:rPr>
                      <w:b/>
                      <w:szCs w:val="21"/>
                    </w:rPr>
                  </w:pPr>
                  <w:r>
                    <w:rPr>
                      <w:b/>
                      <w:szCs w:val="21"/>
                    </w:rPr>
                    <w:t>许可证号</w:t>
                  </w:r>
                </w:p>
              </w:tc>
              <w:tc>
                <w:tcPr>
                  <w:tcW w:w="2098" w:type="pct"/>
                  <w:tcBorders>
                    <w:tl2br w:val="nil"/>
                    <w:tr2bl w:val="nil"/>
                  </w:tcBorders>
                  <w:vAlign w:val="center"/>
                </w:tcPr>
                <w:p>
                  <w:pPr>
                    <w:jc w:val="center"/>
                    <w:rPr>
                      <w:b/>
                      <w:szCs w:val="21"/>
                    </w:rPr>
                  </w:pPr>
                  <w:r>
                    <w:rPr>
                      <w:b/>
                      <w:szCs w:val="21"/>
                    </w:rPr>
                    <w:t>经营类别</w:t>
                  </w:r>
                </w:p>
              </w:tc>
              <w:tc>
                <w:tcPr>
                  <w:tcW w:w="463" w:type="pct"/>
                  <w:tcBorders>
                    <w:tl2br w:val="nil"/>
                    <w:tr2bl w:val="nil"/>
                  </w:tcBorders>
                  <w:vAlign w:val="center"/>
                </w:tcPr>
                <w:p>
                  <w:pPr>
                    <w:jc w:val="center"/>
                    <w:rPr>
                      <w:b/>
                      <w:szCs w:val="21"/>
                    </w:rPr>
                  </w:pPr>
                  <w:r>
                    <w:rPr>
                      <w:b/>
                      <w:szCs w:val="21"/>
                    </w:rPr>
                    <w:t>许可数量（t/a）</w:t>
                  </w:r>
                </w:p>
              </w:tc>
            </w:tr>
            <w:tr>
              <w:tblPrEx>
                <w:tblBorders>
                  <w:top w:val="single" w:color="auto" w:sz="12" w:space="0"/>
                  <w:left w:val="none" w:color="auto" w:sz="0" w:space="0"/>
                  <w:bottom w:val="single" w:color="auto" w:sz="12" w:space="0"/>
                  <w:right w:val="none" w:color="auto" w:sz="0" w:space="0"/>
                  <w:insideH w:val="single" w:color="auto" w:sz="2" w:space="0"/>
                  <w:insideV w:val="single" w:color="auto" w:sz="2" w:space="0"/>
                </w:tblBorders>
                <w:tblCellMar>
                  <w:top w:w="0" w:type="dxa"/>
                  <w:left w:w="28" w:type="dxa"/>
                  <w:bottom w:w="0" w:type="dxa"/>
                  <w:right w:w="28" w:type="dxa"/>
                </w:tblCellMar>
              </w:tblPrEx>
              <w:trPr>
                <w:jc w:val="center"/>
              </w:trPr>
              <w:tc>
                <w:tcPr>
                  <w:tcW w:w="159" w:type="pct"/>
                  <w:tcBorders>
                    <w:tl2br w:val="nil"/>
                    <w:tr2bl w:val="nil"/>
                  </w:tcBorders>
                  <w:vAlign w:val="center"/>
                </w:tcPr>
                <w:p>
                  <w:pPr>
                    <w:jc w:val="center"/>
                    <w:rPr>
                      <w:szCs w:val="21"/>
                    </w:rPr>
                  </w:pPr>
                  <w:r>
                    <w:rPr>
                      <w:szCs w:val="21"/>
                    </w:rPr>
                    <w:t>1</w:t>
                  </w:r>
                </w:p>
              </w:tc>
              <w:tc>
                <w:tcPr>
                  <w:tcW w:w="871" w:type="pct"/>
                  <w:tcBorders>
                    <w:tl2br w:val="nil"/>
                    <w:tr2bl w:val="nil"/>
                  </w:tcBorders>
                  <w:vAlign w:val="center"/>
                </w:tcPr>
                <w:p>
                  <w:pPr>
                    <w:jc w:val="center"/>
                    <w:rPr>
                      <w:szCs w:val="21"/>
                    </w:rPr>
                  </w:pPr>
                  <w:r>
                    <w:rPr>
                      <w:szCs w:val="21"/>
                    </w:rPr>
                    <w:t>常州市金坛金东环保工程有限公司</w:t>
                  </w:r>
                </w:p>
              </w:tc>
              <w:tc>
                <w:tcPr>
                  <w:tcW w:w="613" w:type="pct"/>
                  <w:tcBorders>
                    <w:tl2br w:val="nil"/>
                    <w:tr2bl w:val="nil"/>
                  </w:tcBorders>
                  <w:vAlign w:val="center"/>
                </w:tcPr>
                <w:p>
                  <w:pPr>
                    <w:jc w:val="center"/>
                    <w:rPr>
                      <w:szCs w:val="21"/>
                    </w:rPr>
                  </w:pPr>
                  <w:r>
                    <w:rPr>
                      <w:szCs w:val="21"/>
                    </w:rPr>
                    <w:t>金坛区华兴路88号</w:t>
                  </w:r>
                </w:p>
              </w:tc>
              <w:tc>
                <w:tcPr>
                  <w:tcW w:w="793" w:type="pct"/>
                  <w:tcBorders>
                    <w:tl2br w:val="nil"/>
                    <w:tr2bl w:val="nil"/>
                  </w:tcBorders>
                  <w:vAlign w:val="center"/>
                </w:tcPr>
                <w:p>
                  <w:pPr>
                    <w:jc w:val="center"/>
                    <w:rPr>
                      <w:szCs w:val="21"/>
                    </w:rPr>
                  </w:pPr>
                  <w:r>
                    <w:rPr>
                      <w:szCs w:val="21"/>
                    </w:rPr>
                    <w:t>JSCZ0413OOD013-1</w:t>
                  </w:r>
                </w:p>
              </w:tc>
              <w:tc>
                <w:tcPr>
                  <w:tcW w:w="2098" w:type="pct"/>
                  <w:tcBorders>
                    <w:tl2br w:val="nil"/>
                    <w:tr2bl w:val="nil"/>
                  </w:tcBorders>
                  <w:vAlign w:val="center"/>
                </w:tcPr>
                <w:p>
                  <w:pPr>
                    <w:jc w:val="center"/>
                    <w:rPr>
                      <w:szCs w:val="21"/>
                    </w:rPr>
                  </w:pPr>
                  <w:r>
                    <w:rPr>
                      <w:szCs w:val="21"/>
                    </w:rPr>
                    <w:t>预处理废矿物油（HW08）3000吨/年、处置、利用油/水、烃/水混合物或乳化液（HW09）14000吨/年</w:t>
                  </w:r>
                </w:p>
              </w:tc>
              <w:tc>
                <w:tcPr>
                  <w:tcW w:w="463" w:type="pct"/>
                  <w:tcBorders>
                    <w:tl2br w:val="nil"/>
                    <w:tr2bl w:val="nil"/>
                  </w:tcBorders>
                  <w:vAlign w:val="center"/>
                </w:tcPr>
                <w:p>
                  <w:pPr>
                    <w:jc w:val="center"/>
                    <w:rPr>
                      <w:szCs w:val="21"/>
                    </w:rPr>
                  </w:pPr>
                  <w:r>
                    <w:rPr>
                      <w:szCs w:val="21"/>
                    </w:rPr>
                    <w:t>17000</w:t>
                  </w:r>
                </w:p>
              </w:tc>
            </w:tr>
            <w:tr>
              <w:tblPrEx>
                <w:tblBorders>
                  <w:top w:val="single" w:color="auto" w:sz="12" w:space="0"/>
                  <w:left w:val="none" w:color="auto" w:sz="0" w:space="0"/>
                  <w:bottom w:val="single" w:color="auto" w:sz="12" w:space="0"/>
                  <w:right w:val="none" w:color="auto" w:sz="0" w:space="0"/>
                  <w:insideH w:val="single" w:color="auto" w:sz="2" w:space="0"/>
                  <w:insideV w:val="single" w:color="auto" w:sz="2" w:space="0"/>
                </w:tblBorders>
                <w:tblCellMar>
                  <w:top w:w="0" w:type="dxa"/>
                  <w:left w:w="28" w:type="dxa"/>
                  <w:bottom w:w="0" w:type="dxa"/>
                  <w:right w:w="28" w:type="dxa"/>
                </w:tblCellMar>
              </w:tblPrEx>
              <w:trPr>
                <w:jc w:val="center"/>
              </w:trPr>
              <w:tc>
                <w:tcPr>
                  <w:tcW w:w="159" w:type="pct"/>
                  <w:tcBorders>
                    <w:tl2br w:val="nil"/>
                    <w:tr2bl w:val="nil"/>
                  </w:tcBorders>
                  <w:vAlign w:val="center"/>
                </w:tcPr>
                <w:p>
                  <w:pPr>
                    <w:jc w:val="center"/>
                    <w:rPr>
                      <w:szCs w:val="21"/>
                    </w:rPr>
                  </w:pPr>
                  <w:r>
                    <w:rPr>
                      <w:szCs w:val="21"/>
                    </w:rPr>
                    <w:t>2</w:t>
                  </w:r>
                </w:p>
              </w:tc>
              <w:tc>
                <w:tcPr>
                  <w:tcW w:w="871" w:type="pct"/>
                  <w:tcBorders>
                    <w:tl2br w:val="nil"/>
                    <w:tr2bl w:val="nil"/>
                  </w:tcBorders>
                  <w:vAlign w:val="center"/>
                </w:tcPr>
                <w:p>
                  <w:pPr>
                    <w:jc w:val="center"/>
                    <w:rPr>
                      <w:szCs w:val="21"/>
                    </w:rPr>
                  </w:pPr>
                  <w:r>
                    <w:rPr>
                      <w:szCs w:val="21"/>
                    </w:rPr>
                    <w:t>常州菲纳斯能源科技有限公司</w:t>
                  </w:r>
                </w:p>
              </w:tc>
              <w:tc>
                <w:tcPr>
                  <w:tcW w:w="613" w:type="pct"/>
                  <w:tcBorders>
                    <w:tl2br w:val="nil"/>
                    <w:tr2bl w:val="nil"/>
                  </w:tcBorders>
                  <w:vAlign w:val="center"/>
                </w:tcPr>
                <w:p>
                  <w:pPr>
                    <w:jc w:val="center"/>
                    <w:rPr>
                      <w:szCs w:val="21"/>
                    </w:rPr>
                  </w:pPr>
                  <w:r>
                    <w:rPr>
                      <w:szCs w:val="21"/>
                    </w:rPr>
                    <w:t>金坛区中兴路89号</w:t>
                  </w:r>
                </w:p>
              </w:tc>
              <w:tc>
                <w:tcPr>
                  <w:tcW w:w="793" w:type="pct"/>
                  <w:tcBorders>
                    <w:tl2br w:val="nil"/>
                    <w:tr2bl w:val="nil"/>
                  </w:tcBorders>
                  <w:vAlign w:val="center"/>
                </w:tcPr>
                <w:p>
                  <w:pPr>
                    <w:jc w:val="center"/>
                    <w:rPr>
                      <w:szCs w:val="21"/>
                    </w:rPr>
                  </w:pPr>
                  <w:r>
                    <w:rPr>
                      <w:szCs w:val="21"/>
                    </w:rPr>
                    <w:t>JSCZ0413OOD026-2</w:t>
                  </w:r>
                </w:p>
              </w:tc>
              <w:tc>
                <w:tcPr>
                  <w:tcW w:w="2098" w:type="pct"/>
                  <w:tcBorders>
                    <w:tl2br w:val="nil"/>
                    <w:tr2bl w:val="nil"/>
                  </w:tcBorders>
                  <w:vAlign w:val="center"/>
                </w:tcPr>
                <w:p>
                  <w:pPr>
                    <w:jc w:val="center"/>
                    <w:rPr>
                      <w:szCs w:val="21"/>
                    </w:rPr>
                  </w:pPr>
                  <w:r>
                    <w:rPr>
                      <w:szCs w:val="21"/>
                    </w:rPr>
                    <w:t>处置、利用废润滑油（HW08，900-201-08、900-203-08、900-204-08、900-214-08、900-217-08、900-249-08）60000吨/年</w:t>
                  </w:r>
                </w:p>
              </w:tc>
              <w:tc>
                <w:tcPr>
                  <w:tcW w:w="463" w:type="pct"/>
                  <w:tcBorders>
                    <w:tl2br w:val="nil"/>
                    <w:tr2bl w:val="nil"/>
                  </w:tcBorders>
                  <w:vAlign w:val="center"/>
                </w:tcPr>
                <w:p>
                  <w:pPr>
                    <w:jc w:val="center"/>
                    <w:rPr>
                      <w:szCs w:val="21"/>
                    </w:rPr>
                  </w:pPr>
                  <w:r>
                    <w:rPr>
                      <w:szCs w:val="21"/>
                    </w:rPr>
                    <w:t>60000</w:t>
                  </w:r>
                </w:p>
              </w:tc>
            </w:tr>
            <w:tr>
              <w:tblPrEx>
                <w:tblBorders>
                  <w:top w:val="single" w:color="auto" w:sz="12" w:space="0"/>
                  <w:left w:val="none" w:color="auto" w:sz="0" w:space="0"/>
                  <w:bottom w:val="single" w:color="auto" w:sz="12" w:space="0"/>
                  <w:right w:val="none" w:color="auto" w:sz="0" w:space="0"/>
                  <w:insideH w:val="single" w:color="auto" w:sz="2" w:space="0"/>
                  <w:insideV w:val="single" w:color="auto" w:sz="2" w:space="0"/>
                </w:tblBorders>
                <w:tblCellMar>
                  <w:top w:w="0" w:type="dxa"/>
                  <w:left w:w="28" w:type="dxa"/>
                  <w:bottom w:w="0" w:type="dxa"/>
                  <w:right w:w="28" w:type="dxa"/>
                </w:tblCellMar>
              </w:tblPrEx>
              <w:trPr>
                <w:jc w:val="center"/>
              </w:trPr>
              <w:tc>
                <w:tcPr>
                  <w:tcW w:w="159" w:type="pct"/>
                  <w:tcBorders>
                    <w:tl2br w:val="nil"/>
                    <w:tr2bl w:val="nil"/>
                  </w:tcBorders>
                  <w:vAlign w:val="center"/>
                </w:tcPr>
                <w:p>
                  <w:pPr>
                    <w:jc w:val="center"/>
                    <w:rPr>
                      <w:szCs w:val="21"/>
                    </w:rPr>
                  </w:pPr>
                  <w:r>
                    <w:rPr>
                      <w:szCs w:val="21"/>
                    </w:rPr>
                    <w:t>3</w:t>
                  </w:r>
                </w:p>
              </w:tc>
              <w:tc>
                <w:tcPr>
                  <w:tcW w:w="871" w:type="pct"/>
                  <w:tcBorders>
                    <w:tl2br w:val="nil"/>
                    <w:tr2bl w:val="nil"/>
                  </w:tcBorders>
                  <w:vAlign w:val="center"/>
                </w:tcPr>
                <w:p>
                  <w:pPr>
                    <w:jc w:val="center"/>
                    <w:rPr>
                      <w:szCs w:val="21"/>
                    </w:rPr>
                  </w:pPr>
                  <w:r>
                    <w:rPr>
                      <w:szCs w:val="21"/>
                    </w:rPr>
                    <w:t>常州普达环保清洗有限公司</w:t>
                  </w:r>
                </w:p>
              </w:tc>
              <w:tc>
                <w:tcPr>
                  <w:tcW w:w="613" w:type="pct"/>
                  <w:tcBorders>
                    <w:tl2br w:val="nil"/>
                    <w:tr2bl w:val="nil"/>
                  </w:tcBorders>
                  <w:vAlign w:val="center"/>
                </w:tcPr>
                <w:p>
                  <w:pPr>
                    <w:jc w:val="center"/>
                    <w:rPr>
                      <w:szCs w:val="21"/>
                    </w:rPr>
                  </w:pPr>
                  <w:r>
                    <w:rPr>
                      <w:szCs w:val="21"/>
                    </w:rPr>
                    <w:t>金坛经济开发区汇贤北路1号</w:t>
                  </w:r>
                </w:p>
              </w:tc>
              <w:tc>
                <w:tcPr>
                  <w:tcW w:w="793" w:type="pct"/>
                  <w:tcBorders>
                    <w:tl2br w:val="nil"/>
                    <w:tr2bl w:val="nil"/>
                  </w:tcBorders>
                  <w:vAlign w:val="center"/>
                </w:tcPr>
                <w:p>
                  <w:pPr>
                    <w:jc w:val="center"/>
                    <w:rPr>
                      <w:szCs w:val="21"/>
                    </w:rPr>
                  </w:pPr>
                  <w:r>
                    <w:rPr>
                      <w:szCs w:val="21"/>
                    </w:rPr>
                    <w:t>JSCZ0413OOD027-1</w:t>
                  </w:r>
                </w:p>
              </w:tc>
              <w:tc>
                <w:tcPr>
                  <w:tcW w:w="2098" w:type="pct"/>
                  <w:tcBorders>
                    <w:tl2br w:val="nil"/>
                    <w:tr2bl w:val="nil"/>
                  </w:tcBorders>
                  <w:vAlign w:val="center"/>
                </w:tcPr>
                <w:p>
                  <w:pPr>
                    <w:jc w:val="center"/>
                    <w:rPr>
                      <w:szCs w:val="21"/>
                    </w:rPr>
                  </w:pPr>
                  <w:r>
                    <w:rPr>
                      <w:szCs w:val="21"/>
                    </w:rPr>
                    <w:t>清洗处置含[废有机溶剂与含有机溶剂废物（HW06）、废矿物油与含矿物油废物（HW08）、油/水、烃/水混合物或乳化液（HW09）、染料、涂料废物（HW12）、有机树脂类废物（HW13）、废酸（HW34）、废碱（HW35）、含醚废物（HW40）] 废包装桶(HW49)59万只/年（其中200L包装桶46万只/年、1000L包装桶（IBC吨桶）13万只/年）</w:t>
                  </w:r>
                </w:p>
              </w:tc>
              <w:tc>
                <w:tcPr>
                  <w:tcW w:w="463" w:type="pct"/>
                  <w:tcBorders>
                    <w:tl2br w:val="nil"/>
                    <w:tr2bl w:val="nil"/>
                  </w:tcBorders>
                  <w:vAlign w:val="center"/>
                </w:tcPr>
                <w:p>
                  <w:pPr>
                    <w:jc w:val="center"/>
                    <w:rPr>
                      <w:szCs w:val="21"/>
                    </w:rPr>
                  </w:pPr>
                  <w:r>
                    <w:rPr>
                      <w:szCs w:val="21"/>
                    </w:rPr>
                    <w:t>59万只/年</w:t>
                  </w:r>
                </w:p>
              </w:tc>
            </w:tr>
            <w:tr>
              <w:tblPrEx>
                <w:tblBorders>
                  <w:top w:val="single" w:color="auto" w:sz="12" w:space="0"/>
                  <w:left w:val="none" w:color="auto" w:sz="0" w:space="0"/>
                  <w:bottom w:val="single" w:color="auto" w:sz="12" w:space="0"/>
                  <w:right w:val="none" w:color="auto" w:sz="0" w:space="0"/>
                  <w:insideH w:val="single" w:color="auto" w:sz="2" w:space="0"/>
                  <w:insideV w:val="single" w:color="auto" w:sz="2" w:space="0"/>
                </w:tblBorders>
                <w:tblCellMar>
                  <w:top w:w="0" w:type="dxa"/>
                  <w:left w:w="28" w:type="dxa"/>
                  <w:bottom w:w="0" w:type="dxa"/>
                  <w:right w:w="28" w:type="dxa"/>
                </w:tblCellMar>
              </w:tblPrEx>
              <w:trPr>
                <w:jc w:val="center"/>
              </w:trPr>
              <w:tc>
                <w:tcPr>
                  <w:tcW w:w="159" w:type="pct"/>
                  <w:tcBorders>
                    <w:tl2br w:val="nil"/>
                    <w:tr2bl w:val="nil"/>
                  </w:tcBorders>
                  <w:vAlign w:val="center"/>
                </w:tcPr>
                <w:p>
                  <w:pPr>
                    <w:jc w:val="center"/>
                    <w:rPr>
                      <w:szCs w:val="21"/>
                    </w:rPr>
                  </w:pPr>
                  <w:r>
                    <w:rPr>
                      <w:szCs w:val="21"/>
                    </w:rPr>
                    <w:t>4</w:t>
                  </w:r>
                </w:p>
              </w:tc>
              <w:tc>
                <w:tcPr>
                  <w:tcW w:w="871" w:type="pct"/>
                  <w:tcBorders>
                    <w:tl2br w:val="nil"/>
                    <w:tr2bl w:val="nil"/>
                  </w:tcBorders>
                  <w:vAlign w:val="center"/>
                </w:tcPr>
                <w:p>
                  <w:pPr>
                    <w:jc w:val="center"/>
                    <w:rPr>
                      <w:szCs w:val="21"/>
                    </w:rPr>
                  </w:pPr>
                  <w:r>
                    <w:rPr>
                      <w:szCs w:val="21"/>
                    </w:rPr>
                    <w:t>常州润克环保科技有限公司</w:t>
                  </w:r>
                </w:p>
              </w:tc>
              <w:tc>
                <w:tcPr>
                  <w:tcW w:w="613" w:type="pct"/>
                  <w:tcBorders>
                    <w:tl2br w:val="nil"/>
                    <w:tr2bl w:val="nil"/>
                  </w:tcBorders>
                  <w:vAlign w:val="center"/>
                </w:tcPr>
                <w:p>
                  <w:pPr>
                    <w:jc w:val="center"/>
                    <w:rPr>
                      <w:szCs w:val="21"/>
                    </w:rPr>
                  </w:pPr>
                  <w:r>
                    <w:rPr>
                      <w:szCs w:val="21"/>
                    </w:rPr>
                    <w:t>金坛区经济开发区东康路101号</w:t>
                  </w:r>
                </w:p>
              </w:tc>
              <w:tc>
                <w:tcPr>
                  <w:tcW w:w="793" w:type="pct"/>
                  <w:tcBorders>
                    <w:tl2br w:val="nil"/>
                    <w:tr2bl w:val="nil"/>
                  </w:tcBorders>
                  <w:vAlign w:val="center"/>
                </w:tcPr>
                <w:p>
                  <w:pPr>
                    <w:jc w:val="center"/>
                    <w:rPr>
                      <w:szCs w:val="21"/>
                    </w:rPr>
                  </w:pPr>
                  <w:r>
                    <w:rPr>
                      <w:szCs w:val="21"/>
                    </w:rPr>
                    <w:t>JS0482OOI550</w:t>
                  </w:r>
                </w:p>
              </w:tc>
              <w:tc>
                <w:tcPr>
                  <w:tcW w:w="2098" w:type="pct"/>
                  <w:tcBorders>
                    <w:tl2br w:val="nil"/>
                    <w:tr2bl w:val="nil"/>
                  </w:tcBorders>
                  <w:vAlign w:val="center"/>
                </w:tcPr>
                <w:p>
                  <w:pPr>
                    <w:jc w:val="center"/>
                    <w:rPr>
                      <w:szCs w:val="21"/>
                    </w:rPr>
                  </w:pPr>
                  <w:r>
                    <w:rPr>
                      <w:szCs w:val="21"/>
                    </w:rPr>
                    <w:t>回转窑焚烧处置医药废物HW02、废药物药品HW03、农药废物HW04、木材防腐剂废物HW05、废有机溶剂与含有机溶剂废物HW06、废矿物油与含矿物油废物HW08、油/水、烃/水混合物或乳化液HW09、精（蒸）馏残渣HW11、染料及涂料废物HW12、有机树脂类废物HW13、新化学物质废物HW14、感光材料废物HW16、有机氰化物废物HW38、含酚废物HW39、含醚废物HW40、含有机卤化物废物HW45、其他废物HW49，合计10000吨/年，热解炉焚烧处置废有机溶剂与含有机溶剂废物HW06共计2500吨/年</w:t>
                  </w:r>
                </w:p>
              </w:tc>
              <w:tc>
                <w:tcPr>
                  <w:tcW w:w="463" w:type="pct"/>
                  <w:tcBorders>
                    <w:tl2br w:val="nil"/>
                    <w:tr2bl w:val="nil"/>
                  </w:tcBorders>
                  <w:vAlign w:val="center"/>
                </w:tcPr>
                <w:p>
                  <w:pPr>
                    <w:jc w:val="center"/>
                    <w:rPr>
                      <w:szCs w:val="21"/>
                    </w:rPr>
                  </w:pPr>
                  <w:r>
                    <w:rPr>
                      <w:szCs w:val="21"/>
                    </w:rPr>
                    <w:t>12500</w:t>
                  </w:r>
                </w:p>
              </w:tc>
            </w:tr>
          </w:tbl>
          <w:p>
            <w:pPr>
              <w:pStyle w:val="29"/>
              <w:spacing w:before="0" w:line="360" w:lineRule="auto"/>
              <w:ind w:firstLine="472" w:firstLineChars="200"/>
              <w:rPr>
                <w:rFonts w:ascii="Times New Roman" w:hAnsi="Times New Roman"/>
                <w:sz w:val="24"/>
                <w:szCs w:val="24"/>
              </w:rPr>
            </w:pPr>
            <w:r>
              <w:rPr>
                <w:rFonts w:ascii="Times New Roman" w:hAnsi="Times New Roman"/>
                <w:sz w:val="24"/>
                <w:szCs w:val="24"/>
              </w:rPr>
              <w:t>本项目待处置的危险废物主要为</w:t>
            </w:r>
            <w:r>
              <w:rPr>
                <w:rFonts w:ascii="Times New Roman" w:hAnsi="Times New Roman"/>
                <w:sz w:val="24"/>
                <w:szCs w:val="22"/>
              </w:rPr>
              <w:t>废切削液（HW09）</w:t>
            </w:r>
            <w:r>
              <w:rPr>
                <w:rFonts w:hint="eastAsia" w:ascii="Times New Roman" w:hAnsi="Times New Roman"/>
                <w:sz w:val="24"/>
                <w:szCs w:val="24"/>
              </w:rPr>
              <w:t>、废润滑油（HW08）废活性炭（HW49）</w:t>
            </w:r>
            <w:r>
              <w:rPr>
                <w:rFonts w:ascii="Times New Roman" w:hAnsi="Times New Roman"/>
                <w:sz w:val="24"/>
              </w:rPr>
              <w:t>、废包装桶（HW49）</w:t>
            </w:r>
            <w:r>
              <w:rPr>
                <w:rFonts w:ascii="Times New Roman" w:hAnsi="Times New Roman"/>
                <w:sz w:val="24"/>
                <w:szCs w:val="24"/>
              </w:rPr>
              <w:t>，对照金坛地区现有危险废物处置单位的经营类别及许可处理能力，本项目各类危险废物均在金坛地区现有危险废物处置单位的处置范围内，各类危险废物可实现在金坛区域内处置。</w:t>
            </w:r>
          </w:p>
          <w:p>
            <w:pPr>
              <w:pStyle w:val="29"/>
              <w:spacing w:before="0" w:line="360" w:lineRule="auto"/>
              <w:ind w:firstLine="480" w:firstLineChars="200"/>
              <w:rPr>
                <w:rFonts w:ascii="Times New Roman" w:hAnsi="Times New Roman"/>
                <w:b/>
                <w:sz w:val="24"/>
              </w:rPr>
            </w:pPr>
            <w:r>
              <w:rPr>
                <w:rStyle w:val="75"/>
                <w:rFonts w:ascii="Times New Roman" w:hAnsi="Times New Roman"/>
                <w:bCs/>
                <w:spacing w:val="0"/>
                <w:kern w:val="2"/>
                <w:sz w:val="24"/>
                <w:szCs w:val="24"/>
              </w:rPr>
              <w:t>综合上述，项目各项固体废物均能得到经妥善处理，对当地环境影响较小。</w:t>
            </w:r>
          </w:p>
          <w:p>
            <w:pPr>
              <w:pStyle w:val="29"/>
              <w:spacing w:before="0" w:line="360" w:lineRule="auto"/>
              <w:ind w:firstLine="480" w:firstLineChars="200"/>
              <w:rPr>
                <w:rStyle w:val="75"/>
                <w:rFonts w:ascii="Times New Roman"/>
                <w:b/>
                <w:spacing w:val="0"/>
                <w:kern w:val="2"/>
                <w:sz w:val="24"/>
                <w:szCs w:val="24"/>
              </w:rPr>
            </w:pPr>
            <w:r>
              <w:rPr>
                <w:rStyle w:val="75"/>
                <w:rFonts w:hint="eastAsia" w:ascii="Times New Roman"/>
                <w:b/>
                <w:spacing w:val="0"/>
                <w:kern w:val="2"/>
                <w:sz w:val="24"/>
                <w:szCs w:val="24"/>
                <w:lang w:val="en-US" w:eastAsia="zh-CN"/>
              </w:rPr>
              <w:t>5</w:t>
            </w:r>
            <w:r>
              <w:rPr>
                <w:rStyle w:val="75"/>
                <w:rFonts w:ascii="Times New Roman"/>
                <w:b/>
                <w:spacing w:val="0"/>
                <w:kern w:val="2"/>
                <w:sz w:val="24"/>
                <w:szCs w:val="24"/>
              </w:rPr>
              <w:t>、土壤环境影响评价</w:t>
            </w:r>
          </w:p>
          <w:p>
            <w:pPr>
              <w:pStyle w:val="29"/>
              <w:spacing w:before="0" w:line="360" w:lineRule="auto"/>
              <w:ind w:firstLine="456" w:firstLineChars="200"/>
              <w:rPr>
                <w:rFonts w:ascii="Times New Roman" w:hAnsi="Times New Roman"/>
                <w:bCs/>
                <w:sz w:val="24"/>
              </w:rPr>
            </w:pPr>
            <w:bookmarkStart w:id="6" w:name="_Hlk505113573"/>
            <w:r>
              <w:rPr>
                <w:rFonts w:ascii="Times New Roman"/>
                <w:spacing w:val="-6"/>
                <w:sz w:val="24"/>
              </w:rPr>
              <w:t>本</w:t>
            </w:r>
            <w:r>
              <w:rPr>
                <w:rFonts w:ascii="Times New Roman" w:hAnsi="Times New Roman"/>
                <w:spacing w:val="-6"/>
                <w:sz w:val="24"/>
              </w:rPr>
              <w:t>项目</w:t>
            </w:r>
            <w:r>
              <w:rPr>
                <w:rFonts w:ascii="Times New Roman" w:hAnsi="Times New Roman"/>
                <w:sz w:val="24"/>
                <w:szCs w:val="24"/>
                <w:highlight w:val="none"/>
                <w:shd w:val="clear"/>
              </w:rPr>
              <w:t>为“</w:t>
            </w:r>
            <w:r>
              <w:rPr>
                <w:rFonts w:hint="eastAsia" w:ascii="Times New Roman" w:hAnsi="Times New Roman"/>
                <w:sz w:val="24"/>
                <w:szCs w:val="24"/>
                <w:highlight w:val="none"/>
                <w:shd w:val="clear"/>
              </w:rPr>
              <w:t>C2770卫生材料及医药用品制造</w:t>
            </w:r>
            <w:r>
              <w:rPr>
                <w:rFonts w:ascii="Times New Roman" w:hAnsi="Times New Roman"/>
                <w:sz w:val="24"/>
                <w:szCs w:val="24"/>
                <w:highlight w:val="none"/>
                <w:shd w:val="clear"/>
              </w:rPr>
              <w:t>”。属</w:t>
            </w:r>
            <w:r>
              <w:rPr>
                <w:rFonts w:ascii="Times New Roman" w:hAnsi="Times New Roman"/>
                <w:spacing w:val="-6"/>
                <w:sz w:val="24"/>
              </w:rPr>
              <w:t>于污染影响型项目。根据</w:t>
            </w:r>
            <w:r>
              <w:rPr>
                <w:rFonts w:ascii="Times New Roman" w:hAnsi="Times New Roman"/>
                <w:bCs/>
                <w:sz w:val="24"/>
              </w:rPr>
              <w:t>《环境影响评价技术导则 土壤环境（试行）》（HJ964-2018）中附录A，本项目为“其他行业-全部”项，属于</w:t>
            </w:r>
            <w:r>
              <w:rPr>
                <w:rFonts w:ascii="Times New Roman" w:hAnsi="Times New Roman"/>
                <w:sz w:val="24"/>
              </w:rPr>
              <w:t>Ⅳ</w:t>
            </w:r>
            <w:r>
              <w:rPr>
                <w:rFonts w:ascii="Times New Roman" w:hAnsi="Times New Roman"/>
                <w:bCs/>
                <w:sz w:val="24"/>
              </w:rPr>
              <w:t>类项目。</w:t>
            </w:r>
          </w:p>
          <w:p>
            <w:pPr>
              <w:pStyle w:val="29"/>
              <w:spacing w:before="0" w:line="360" w:lineRule="auto"/>
              <w:ind w:firstLine="472" w:firstLineChars="200"/>
              <w:rPr>
                <w:rFonts w:ascii="Times New Roman" w:hAnsi="Times New Roman"/>
                <w:sz w:val="24"/>
                <w:szCs w:val="24"/>
              </w:rPr>
            </w:pPr>
            <w:r>
              <w:rPr>
                <w:rFonts w:ascii="Times New Roman" w:hAnsi="Times New Roman"/>
                <w:sz w:val="24"/>
                <w:szCs w:val="24"/>
              </w:rPr>
              <w:t>Ⅳ类项目可不开展土壤环境影响评价，因此类比判定本项目对土壤环境影响较小。</w:t>
            </w:r>
          </w:p>
          <w:bookmarkEnd w:id="6"/>
          <w:p>
            <w:pPr>
              <w:spacing w:line="360" w:lineRule="auto"/>
              <w:ind w:firstLine="480" w:firstLineChars="200"/>
              <w:rPr>
                <w:b/>
                <w:sz w:val="24"/>
              </w:rPr>
            </w:pPr>
            <w:r>
              <w:rPr>
                <w:rFonts w:hint="eastAsia"/>
                <w:b/>
                <w:sz w:val="24"/>
                <w:lang w:val="en-US" w:eastAsia="zh-CN"/>
              </w:rPr>
              <w:t>6</w:t>
            </w:r>
            <w:r>
              <w:rPr>
                <w:b/>
                <w:sz w:val="24"/>
              </w:rPr>
              <w:t>、地下水环境影响评价</w:t>
            </w:r>
          </w:p>
          <w:p>
            <w:pPr>
              <w:pStyle w:val="29"/>
              <w:spacing w:before="0" w:line="360" w:lineRule="auto"/>
              <w:ind w:firstLine="456" w:firstLineChars="200"/>
              <w:rPr>
                <w:rFonts w:ascii="Times New Roman"/>
                <w:bCs/>
                <w:sz w:val="24"/>
              </w:rPr>
            </w:pPr>
            <w:r>
              <w:rPr>
                <w:rFonts w:ascii="Times New Roman" w:hAnsi="Times New Roman"/>
                <w:spacing w:val="-6"/>
                <w:sz w:val="24"/>
              </w:rPr>
              <w:t>本项</w:t>
            </w:r>
            <w:r>
              <w:rPr>
                <w:rFonts w:ascii="Times New Roman" w:hAnsi="Times New Roman"/>
                <w:spacing w:val="0"/>
                <w:kern w:val="2"/>
                <w:sz w:val="24"/>
                <w:szCs w:val="22"/>
              </w:rPr>
              <w:t>目为</w:t>
            </w:r>
            <w:r>
              <w:rPr>
                <w:rFonts w:ascii="Times New Roman" w:hAnsi="Times New Roman"/>
                <w:sz w:val="24"/>
                <w:szCs w:val="24"/>
                <w:highlight w:val="none"/>
                <w:shd w:val="clear"/>
              </w:rPr>
              <w:t>“</w:t>
            </w:r>
            <w:r>
              <w:rPr>
                <w:rFonts w:hint="eastAsia" w:ascii="Times New Roman" w:hAnsi="Times New Roman"/>
                <w:sz w:val="24"/>
                <w:szCs w:val="24"/>
                <w:highlight w:val="none"/>
                <w:shd w:val="clear"/>
              </w:rPr>
              <w:t>C2770卫生材料及医药用品制造</w:t>
            </w:r>
            <w:r>
              <w:rPr>
                <w:rFonts w:ascii="Times New Roman" w:hAnsi="Times New Roman"/>
                <w:sz w:val="24"/>
                <w:szCs w:val="24"/>
                <w:highlight w:val="none"/>
                <w:shd w:val="clear"/>
              </w:rPr>
              <w:t>”</w:t>
            </w:r>
            <w:r>
              <w:rPr>
                <w:rFonts w:ascii="Times New Roman" w:hAnsi="Times New Roman"/>
                <w:spacing w:val="-6"/>
                <w:sz w:val="24"/>
              </w:rPr>
              <w:t>，</w:t>
            </w:r>
            <w:r>
              <w:rPr>
                <w:rFonts w:ascii="Times New Roman"/>
                <w:spacing w:val="-6"/>
                <w:sz w:val="24"/>
              </w:rPr>
              <w:t>根据</w:t>
            </w:r>
            <w:r>
              <w:rPr>
                <w:rFonts w:ascii="Times New Roman"/>
                <w:bCs/>
                <w:sz w:val="24"/>
              </w:rPr>
              <w:t>《环境影响评价技术导则</w:t>
            </w:r>
            <w:r>
              <w:rPr>
                <w:rFonts w:hint="eastAsia" w:ascii="Times New Roman"/>
                <w:bCs/>
                <w:sz w:val="24"/>
              </w:rPr>
              <w:t xml:space="preserve">  地下水</w:t>
            </w:r>
            <w:r>
              <w:rPr>
                <w:rFonts w:ascii="Times New Roman"/>
                <w:bCs/>
                <w:sz w:val="24"/>
              </w:rPr>
              <w:t>环境》（H</w:t>
            </w:r>
            <w:r>
              <w:rPr>
                <w:rFonts w:hint="eastAsia" w:ascii="Times New Roman"/>
                <w:bCs/>
                <w:sz w:val="24"/>
              </w:rPr>
              <w:t>J610</w:t>
            </w:r>
            <w:r>
              <w:rPr>
                <w:rFonts w:ascii="Times New Roman"/>
                <w:bCs/>
                <w:sz w:val="24"/>
              </w:rPr>
              <w:t>-201</w:t>
            </w:r>
            <w:r>
              <w:rPr>
                <w:rFonts w:hint="eastAsia" w:ascii="Times New Roman"/>
                <w:bCs/>
                <w:sz w:val="24"/>
              </w:rPr>
              <w:t>6</w:t>
            </w:r>
            <w:r>
              <w:rPr>
                <w:rFonts w:ascii="Times New Roman"/>
                <w:bCs/>
                <w:sz w:val="24"/>
              </w:rPr>
              <w:t>）中附录A</w:t>
            </w:r>
            <w:r>
              <w:rPr>
                <w:rFonts w:hint="eastAsia" w:ascii="Times New Roman"/>
                <w:bCs/>
                <w:sz w:val="24"/>
              </w:rPr>
              <w:t>进行评价等级判定。</w:t>
            </w:r>
          </w:p>
          <w:p>
            <w:pPr>
              <w:pStyle w:val="29"/>
              <w:spacing w:before="0" w:line="360" w:lineRule="auto"/>
              <w:ind w:firstLine="472" w:firstLineChars="200"/>
              <w:rPr>
                <w:rFonts w:ascii="Times New Roman"/>
                <w:bCs/>
                <w:sz w:val="24"/>
              </w:rPr>
            </w:pPr>
            <w:r>
              <w:rPr>
                <w:rFonts w:hint="eastAsia" w:ascii="Times New Roman"/>
                <w:bCs/>
                <w:sz w:val="24"/>
              </w:rPr>
              <w:t>（1）建设项目所在地周边土壤环境敏感程度分级表及如下：</w:t>
            </w:r>
          </w:p>
          <w:p>
            <w:pPr>
              <w:pStyle w:val="29"/>
              <w:spacing w:before="0" w:line="240" w:lineRule="auto"/>
              <w:jc w:val="center"/>
              <w:rPr>
                <w:rFonts w:ascii="Times New Roman"/>
                <w:b/>
                <w:szCs w:val="21"/>
              </w:rPr>
            </w:pPr>
            <w:r>
              <w:rPr>
                <w:rFonts w:hint="eastAsia" w:ascii="Times New Roman"/>
                <w:b/>
                <w:szCs w:val="21"/>
              </w:rPr>
              <w:t>表7-2</w:t>
            </w:r>
            <w:r>
              <w:rPr>
                <w:rFonts w:hint="eastAsia" w:ascii="Times New Roman"/>
                <w:b/>
                <w:szCs w:val="21"/>
                <w:lang w:val="en-US" w:eastAsia="zh-CN"/>
              </w:rPr>
              <w:t>4</w:t>
            </w:r>
            <w:r>
              <w:rPr>
                <w:rFonts w:hint="eastAsia" w:ascii="Times New Roman"/>
                <w:b/>
                <w:szCs w:val="21"/>
              </w:rPr>
              <w:t xml:space="preserve"> 地下水敏感感程度分级表</w:t>
            </w:r>
          </w:p>
          <w:tbl>
            <w:tblPr>
              <w:tblStyle w:val="57"/>
              <w:tblW w:w="5000" w:type="pct"/>
              <w:tblInd w:w="0" w:type="dxa"/>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059"/>
              <w:gridCol w:w="7253"/>
            </w:tblGrid>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637" w:type="pct"/>
                  <w:tcBorders>
                    <w:tl2br w:val="nil"/>
                    <w:tr2bl w:val="nil"/>
                  </w:tcBorders>
                  <w:vAlign w:val="center"/>
                </w:tcPr>
                <w:p>
                  <w:pPr>
                    <w:pStyle w:val="29"/>
                    <w:spacing w:before="0" w:line="240" w:lineRule="auto"/>
                    <w:jc w:val="center"/>
                    <w:rPr>
                      <w:rFonts w:ascii="Times New Roman"/>
                      <w:b/>
                      <w:szCs w:val="21"/>
                    </w:rPr>
                  </w:pPr>
                  <w:r>
                    <w:rPr>
                      <w:rFonts w:hint="eastAsia" w:ascii="Times New Roman"/>
                      <w:b/>
                      <w:szCs w:val="21"/>
                    </w:rPr>
                    <w:t>敏感程度</w:t>
                  </w:r>
                </w:p>
              </w:tc>
              <w:tc>
                <w:tcPr>
                  <w:tcW w:w="4362" w:type="pct"/>
                  <w:tcBorders>
                    <w:tl2br w:val="nil"/>
                    <w:tr2bl w:val="nil"/>
                  </w:tcBorders>
                  <w:vAlign w:val="center"/>
                </w:tcPr>
                <w:p>
                  <w:pPr>
                    <w:pStyle w:val="29"/>
                    <w:spacing w:before="0" w:line="240" w:lineRule="auto"/>
                    <w:jc w:val="center"/>
                    <w:rPr>
                      <w:rFonts w:ascii="Times New Roman"/>
                      <w:b/>
                      <w:szCs w:val="21"/>
                    </w:rPr>
                  </w:pPr>
                  <w:r>
                    <w:rPr>
                      <w:rFonts w:hint="eastAsia" w:ascii="Times New Roman"/>
                      <w:b/>
                      <w:szCs w:val="21"/>
                    </w:rPr>
                    <w:t>地下水环境敏感特征</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637" w:type="pct"/>
                  <w:tcBorders>
                    <w:tl2br w:val="nil"/>
                    <w:tr2bl w:val="nil"/>
                  </w:tcBorders>
                  <w:vAlign w:val="center"/>
                </w:tcPr>
                <w:p>
                  <w:pPr>
                    <w:pStyle w:val="29"/>
                    <w:spacing w:before="0" w:line="240" w:lineRule="auto"/>
                    <w:jc w:val="center"/>
                    <w:rPr>
                      <w:rFonts w:ascii="Times New Roman"/>
                      <w:bCs/>
                      <w:szCs w:val="21"/>
                    </w:rPr>
                  </w:pPr>
                  <w:r>
                    <w:rPr>
                      <w:rFonts w:hint="eastAsia" w:ascii="Times New Roman"/>
                      <w:bCs/>
                      <w:szCs w:val="21"/>
                    </w:rPr>
                    <w:t>敏感</w:t>
                  </w:r>
                </w:p>
              </w:tc>
              <w:tc>
                <w:tcPr>
                  <w:tcW w:w="4362" w:type="pct"/>
                  <w:tcBorders>
                    <w:tl2br w:val="nil"/>
                    <w:tr2bl w:val="nil"/>
                  </w:tcBorders>
                  <w:vAlign w:val="center"/>
                </w:tcPr>
                <w:p>
                  <w:pPr>
                    <w:pStyle w:val="29"/>
                    <w:spacing w:before="0" w:line="240" w:lineRule="auto"/>
                    <w:jc w:val="center"/>
                    <w:rPr>
                      <w:rFonts w:ascii="Times New Roman"/>
                      <w:bCs/>
                      <w:szCs w:val="21"/>
                    </w:rPr>
                  </w:pPr>
                  <w:r>
                    <w:rPr>
                      <w:rFonts w:hint="eastAsia" w:ascii="Times New Roman"/>
                      <w:bCs/>
                      <w:szCs w:val="21"/>
                    </w:rPr>
                    <w:t>集中式饮用水水源（包括已建成的在用、备用、应急水源，在建和规划的饮用水水源）准保护区；除集中式饮用水水源以外的国家或地方政府设定的与地下水环境相关的其它保护区，如热水、矿泉水、温泉等特殊地下水资源保护区。</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637" w:type="pct"/>
                  <w:tcBorders>
                    <w:tl2br w:val="nil"/>
                    <w:tr2bl w:val="nil"/>
                  </w:tcBorders>
                  <w:vAlign w:val="center"/>
                </w:tcPr>
                <w:p>
                  <w:pPr>
                    <w:pStyle w:val="29"/>
                    <w:spacing w:before="0" w:line="240" w:lineRule="auto"/>
                    <w:jc w:val="center"/>
                    <w:rPr>
                      <w:rFonts w:ascii="Times New Roman"/>
                      <w:bCs/>
                      <w:szCs w:val="21"/>
                    </w:rPr>
                  </w:pPr>
                  <w:r>
                    <w:rPr>
                      <w:rFonts w:hint="eastAsia" w:ascii="Times New Roman"/>
                      <w:bCs/>
                      <w:szCs w:val="21"/>
                    </w:rPr>
                    <w:t>较敏感</w:t>
                  </w:r>
                </w:p>
              </w:tc>
              <w:tc>
                <w:tcPr>
                  <w:tcW w:w="4362" w:type="pct"/>
                  <w:tcBorders>
                    <w:tl2br w:val="nil"/>
                    <w:tr2bl w:val="nil"/>
                  </w:tcBorders>
                  <w:vAlign w:val="center"/>
                </w:tcPr>
                <w:p>
                  <w:pPr>
                    <w:pStyle w:val="29"/>
                    <w:spacing w:before="0" w:line="240" w:lineRule="auto"/>
                    <w:jc w:val="center"/>
                    <w:rPr>
                      <w:rFonts w:ascii="Times New Roman"/>
                      <w:bCs/>
                      <w:szCs w:val="21"/>
                    </w:rPr>
                  </w:pPr>
                  <w:r>
                    <w:rPr>
                      <w:rFonts w:hint="eastAsia" w:ascii="Times New Roman"/>
                      <w:bCs/>
                      <w:szCs w:val="21"/>
                    </w:rPr>
                    <w:t>集中式饮用水水源（包括已建成的在用、备用、应急水源，在建和规划的饮用水水源）准保护区以外的补给径流区；未划定准保护区的集中水式饮用水水源，其保护区以外的补给径流区；分散式饮用水水源地；特殊地下水资源（如矿泉水、温泉等）保护区以外的分布区等其他未列入上述敏感分级的环境敏感区</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637" w:type="pct"/>
                  <w:tcBorders>
                    <w:tl2br w:val="nil"/>
                    <w:tr2bl w:val="nil"/>
                  </w:tcBorders>
                  <w:vAlign w:val="center"/>
                </w:tcPr>
                <w:p>
                  <w:pPr>
                    <w:pStyle w:val="29"/>
                    <w:spacing w:before="0" w:line="240" w:lineRule="auto"/>
                    <w:jc w:val="center"/>
                    <w:rPr>
                      <w:rFonts w:ascii="Times New Roman"/>
                      <w:bCs/>
                      <w:szCs w:val="21"/>
                    </w:rPr>
                  </w:pPr>
                  <w:r>
                    <w:rPr>
                      <w:rFonts w:hint="eastAsia" w:ascii="Times New Roman"/>
                      <w:bCs/>
                      <w:szCs w:val="21"/>
                    </w:rPr>
                    <w:t>不敏感</w:t>
                  </w:r>
                </w:p>
              </w:tc>
              <w:tc>
                <w:tcPr>
                  <w:tcW w:w="4362" w:type="pct"/>
                  <w:tcBorders>
                    <w:tl2br w:val="nil"/>
                    <w:tr2bl w:val="nil"/>
                  </w:tcBorders>
                  <w:vAlign w:val="center"/>
                </w:tcPr>
                <w:p>
                  <w:pPr>
                    <w:pStyle w:val="29"/>
                    <w:spacing w:before="0" w:line="240" w:lineRule="auto"/>
                    <w:jc w:val="center"/>
                    <w:rPr>
                      <w:rFonts w:ascii="Times New Roman"/>
                      <w:bCs/>
                      <w:szCs w:val="21"/>
                    </w:rPr>
                  </w:pPr>
                  <w:r>
                    <w:rPr>
                      <w:rFonts w:hint="eastAsia" w:ascii="Times New Roman"/>
                      <w:bCs/>
                      <w:szCs w:val="21"/>
                    </w:rPr>
                    <w:t>上述地区之外的其它地区</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5000" w:type="pct"/>
                  <w:gridSpan w:val="2"/>
                  <w:tcBorders>
                    <w:tl2br w:val="nil"/>
                    <w:tr2bl w:val="nil"/>
                  </w:tcBorders>
                  <w:vAlign w:val="center"/>
                </w:tcPr>
                <w:p>
                  <w:pPr>
                    <w:pStyle w:val="29"/>
                    <w:spacing w:before="0" w:line="240" w:lineRule="auto"/>
                    <w:jc w:val="center"/>
                    <w:rPr>
                      <w:rFonts w:ascii="Times New Roman"/>
                      <w:bCs/>
                      <w:szCs w:val="21"/>
                    </w:rPr>
                  </w:pPr>
                  <w:r>
                    <w:rPr>
                      <w:rFonts w:hint="eastAsia" w:ascii="Times New Roman"/>
                      <w:bCs/>
                      <w:szCs w:val="21"/>
                    </w:rPr>
                    <w:t>注：a“环境敏感区”是指《建设项目环境影响评价分类管理名录》中所界定的涉及地下水的环境敏感区</w:t>
                  </w:r>
                </w:p>
              </w:tc>
            </w:tr>
          </w:tbl>
          <w:p>
            <w:pPr>
              <w:pStyle w:val="29"/>
              <w:spacing w:before="0" w:line="360" w:lineRule="auto"/>
              <w:ind w:firstLine="472" w:firstLineChars="200"/>
              <w:rPr>
                <w:rFonts w:ascii="Times New Roman"/>
                <w:bCs/>
                <w:sz w:val="24"/>
              </w:rPr>
            </w:pPr>
            <w:r>
              <w:rPr>
                <w:rFonts w:hint="eastAsia" w:ascii="Times New Roman"/>
                <w:bCs/>
                <w:sz w:val="24"/>
              </w:rPr>
              <w:t>本项目位于金坛经济开发区复兴路，本项目所在场地不在集中式饮用水水源准保护区及以外的补给径流区，不在特殊地下水资源保护区，不在分散式饮用水水源地，地下水功能敏感性分区属不敏感。</w:t>
            </w:r>
          </w:p>
          <w:p>
            <w:pPr>
              <w:pStyle w:val="29"/>
              <w:spacing w:before="0" w:line="360" w:lineRule="auto"/>
              <w:ind w:firstLine="456" w:firstLineChars="200"/>
              <w:rPr>
                <w:rFonts w:ascii="Times New Roman"/>
                <w:spacing w:val="-6"/>
                <w:sz w:val="24"/>
              </w:rPr>
            </w:pPr>
            <w:r>
              <w:rPr>
                <w:rFonts w:hint="eastAsia" w:ascii="Times New Roman"/>
                <w:spacing w:val="-6"/>
                <w:sz w:val="24"/>
              </w:rPr>
              <w:t>（2）项目类别判定</w:t>
            </w:r>
          </w:p>
          <w:p>
            <w:pPr>
              <w:pStyle w:val="29"/>
              <w:spacing w:before="0" w:line="360" w:lineRule="auto"/>
              <w:ind w:firstLine="456" w:firstLineChars="200"/>
              <w:rPr>
                <w:bCs/>
                <w:sz w:val="24"/>
              </w:rPr>
            </w:pPr>
            <w:r>
              <w:rPr>
                <w:rFonts w:ascii="Times New Roman"/>
                <w:spacing w:val="-6"/>
                <w:sz w:val="24"/>
              </w:rPr>
              <w:t>根据</w:t>
            </w:r>
            <w:r>
              <w:rPr>
                <w:rFonts w:hint="eastAsia" w:ascii="Times New Roman"/>
                <w:bCs/>
                <w:sz w:val="24"/>
              </w:rPr>
              <w:t>《环境影响评价技术导则 地下水环境》（HJ610-2016）</w:t>
            </w:r>
            <w:r>
              <w:rPr>
                <w:rFonts w:ascii="Times New Roman"/>
                <w:bCs/>
                <w:sz w:val="24"/>
              </w:rPr>
              <w:t>中附录A</w:t>
            </w:r>
            <w:r>
              <w:rPr>
                <w:rFonts w:hint="eastAsia" w:ascii="Times New Roman"/>
                <w:bCs/>
                <w:sz w:val="24"/>
              </w:rPr>
              <w:t>判定，本项目可</w:t>
            </w:r>
            <w:r>
              <w:rPr>
                <w:rFonts w:hint="eastAsia" w:ascii="Times New Roman"/>
                <w:bCs/>
                <w:sz w:val="24"/>
                <w:lang w:eastAsia="zh-CN"/>
              </w:rPr>
              <w:t>为</w:t>
            </w:r>
            <w:r>
              <w:rPr>
                <w:rFonts w:hint="eastAsia" w:ascii="Times New Roman"/>
                <w:bCs/>
                <w:sz w:val="24"/>
              </w:rPr>
              <w:t>“</w:t>
            </w:r>
            <w:r>
              <w:rPr>
                <w:rFonts w:hint="eastAsia" w:ascii="Times New Roman"/>
                <w:bCs/>
                <w:sz w:val="24"/>
                <w:lang w:val="en-US" w:eastAsia="zh-CN"/>
              </w:rPr>
              <w:t>93-</w:t>
            </w:r>
            <w:r>
              <w:rPr>
                <w:rFonts w:hint="eastAsia" w:ascii="Times New Roman"/>
                <w:bCs/>
                <w:sz w:val="24"/>
              </w:rPr>
              <w:t>卫生材料及医药用品制造”项，</w:t>
            </w:r>
            <w:r>
              <w:rPr>
                <w:rFonts w:hint="eastAsia"/>
                <w:bCs/>
                <w:sz w:val="24"/>
              </w:rPr>
              <w:t>属于</w:t>
            </w:r>
            <w:r>
              <w:rPr>
                <w:rFonts w:hint="eastAsia" w:hAnsi="宋体" w:cs="宋体"/>
                <w:bCs/>
                <w:sz w:val="24"/>
              </w:rPr>
              <w:t>Ⅳ</w:t>
            </w:r>
            <w:r>
              <w:rPr>
                <w:rFonts w:hint="eastAsia"/>
                <w:bCs/>
                <w:sz w:val="24"/>
              </w:rPr>
              <w:t>类项目。</w:t>
            </w:r>
          </w:p>
          <w:p>
            <w:pPr>
              <w:adjustRightInd w:val="0"/>
              <w:snapToGrid w:val="0"/>
              <w:spacing w:line="360" w:lineRule="auto"/>
              <w:ind w:firstLine="480" w:firstLineChars="200"/>
              <w:rPr>
                <w:rFonts w:ascii="宋体" w:hAnsi="宋体" w:cs="宋体"/>
                <w:snapToGrid w:val="0"/>
                <w:sz w:val="24"/>
              </w:rPr>
            </w:pPr>
            <w:r>
              <w:rPr>
                <w:rFonts w:hint="eastAsia" w:ascii="宋体" w:hAnsi="宋体" w:cs="宋体"/>
                <w:snapToGrid w:val="0"/>
                <w:sz w:val="24"/>
              </w:rPr>
              <w:t>根据</w:t>
            </w:r>
            <w:r>
              <w:rPr>
                <w:rFonts w:hint="eastAsia"/>
                <w:bCs/>
                <w:sz w:val="24"/>
              </w:rPr>
              <w:t>《环境影响评价技术导则 地下水环境》（HJ610-2016）要求，Ⅳ类建设项目不开展地下水环境影响评价。</w:t>
            </w:r>
          </w:p>
          <w:p>
            <w:pPr>
              <w:adjustRightInd w:val="0"/>
              <w:snapToGrid w:val="0"/>
              <w:spacing w:line="360" w:lineRule="auto"/>
              <w:ind w:firstLine="480" w:firstLineChars="200"/>
              <w:rPr>
                <w:rFonts w:ascii="宋体" w:hAnsi="宋体" w:cs="宋体"/>
                <w:snapToGrid w:val="0"/>
                <w:sz w:val="24"/>
              </w:rPr>
            </w:pPr>
            <w:r>
              <w:rPr>
                <w:rFonts w:hint="eastAsia" w:ascii="宋体" w:hAnsi="宋体" w:cs="宋体"/>
                <w:snapToGrid w:val="0"/>
                <w:sz w:val="24"/>
              </w:rPr>
              <w:t>综上，本项目对</w:t>
            </w:r>
            <w:r>
              <w:rPr>
                <w:rFonts w:hint="eastAsia"/>
                <w:bCs/>
                <w:sz w:val="24"/>
              </w:rPr>
              <w:t>地下水</w:t>
            </w:r>
            <w:r>
              <w:rPr>
                <w:rFonts w:hint="eastAsia" w:ascii="宋体" w:hAnsi="宋体" w:cs="宋体"/>
                <w:snapToGrid w:val="0"/>
                <w:sz w:val="24"/>
              </w:rPr>
              <w:t>环境影响程度较小。</w:t>
            </w:r>
          </w:p>
          <w:p>
            <w:pPr>
              <w:spacing w:line="360" w:lineRule="auto"/>
              <w:ind w:firstLine="480" w:firstLineChars="200"/>
              <w:rPr>
                <w:b/>
                <w:sz w:val="24"/>
              </w:rPr>
            </w:pPr>
            <w:r>
              <w:rPr>
                <w:rFonts w:hint="eastAsia"/>
                <w:b/>
                <w:sz w:val="24"/>
                <w:lang w:val="en-US" w:eastAsia="zh-CN"/>
              </w:rPr>
              <w:t>7</w:t>
            </w:r>
            <w:r>
              <w:rPr>
                <w:rFonts w:hint="eastAsia"/>
                <w:b/>
                <w:sz w:val="24"/>
              </w:rPr>
              <w:t>、环境风险评价</w:t>
            </w:r>
          </w:p>
          <w:p>
            <w:pPr>
              <w:snapToGrid w:val="0"/>
              <w:spacing w:line="360" w:lineRule="auto"/>
              <w:ind w:left="63" w:leftChars="30" w:right="63" w:rightChars="30" w:firstLine="480" w:firstLineChars="200"/>
              <w:rPr>
                <w:b/>
                <w:sz w:val="24"/>
                <w:szCs w:val="28"/>
              </w:rPr>
            </w:pPr>
            <w:r>
              <w:rPr>
                <w:rFonts w:hint="eastAsia"/>
                <w:b/>
                <w:sz w:val="24"/>
                <w:szCs w:val="28"/>
                <w:lang w:val="en-US" w:eastAsia="zh-CN"/>
              </w:rPr>
              <w:t>7.</w:t>
            </w:r>
            <w:r>
              <w:rPr>
                <w:b/>
                <w:sz w:val="24"/>
                <w:szCs w:val="28"/>
              </w:rPr>
              <w:t>1</w:t>
            </w:r>
            <w:r>
              <w:rPr>
                <w:rFonts w:hint="eastAsia"/>
                <w:b/>
                <w:sz w:val="24"/>
                <w:szCs w:val="28"/>
              </w:rPr>
              <w:t>评价依据</w:t>
            </w:r>
          </w:p>
          <w:p>
            <w:pPr>
              <w:snapToGrid w:val="0"/>
              <w:spacing w:line="360" w:lineRule="auto"/>
              <w:ind w:left="63" w:leftChars="30" w:right="63" w:rightChars="30" w:firstLine="480" w:firstLineChars="200"/>
              <w:rPr>
                <w:b/>
                <w:sz w:val="24"/>
                <w:szCs w:val="24"/>
              </w:rPr>
            </w:pPr>
            <w:r>
              <w:rPr>
                <w:rFonts w:hint="eastAsia"/>
                <w:b/>
                <w:sz w:val="24"/>
                <w:szCs w:val="24"/>
              </w:rPr>
              <w:t>（1）风险调查</w:t>
            </w:r>
          </w:p>
          <w:p>
            <w:pPr>
              <w:adjustRightInd w:val="0"/>
              <w:snapToGrid w:val="0"/>
              <w:spacing w:line="360" w:lineRule="auto"/>
              <w:ind w:firstLine="480" w:firstLineChars="200"/>
              <w:rPr>
                <w:sz w:val="24"/>
              </w:rPr>
            </w:pPr>
            <w:r>
              <w:rPr>
                <w:rFonts w:hint="eastAsia"/>
                <w:bCs/>
                <w:sz w:val="24"/>
                <w:szCs w:val="24"/>
              </w:rPr>
              <w:t>根据前文所述，本项目主要风险物质为</w:t>
            </w:r>
            <w:r>
              <w:rPr>
                <w:rFonts w:hint="eastAsia"/>
                <w:bCs/>
                <w:sz w:val="24"/>
                <w:szCs w:val="24"/>
                <w:lang w:eastAsia="zh-CN"/>
              </w:rPr>
              <w:t>切削液、润滑油及危险废物废切削液、废润滑油</w:t>
            </w:r>
            <w:r>
              <w:rPr>
                <w:rFonts w:hint="eastAsia"/>
                <w:bCs/>
                <w:sz w:val="24"/>
                <w:szCs w:val="24"/>
              </w:rPr>
              <w:t>。</w:t>
            </w:r>
          </w:p>
          <w:p>
            <w:pPr>
              <w:snapToGrid w:val="0"/>
              <w:spacing w:line="360" w:lineRule="auto"/>
              <w:ind w:left="63" w:leftChars="30" w:right="63" w:rightChars="30" w:firstLine="480" w:firstLineChars="200"/>
              <w:rPr>
                <w:sz w:val="24"/>
              </w:rPr>
            </w:pPr>
            <w:r>
              <w:rPr>
                <w:rFonts w:hint="eastAsia"/>
                <w:b/>
                <w:sz w:val="24"/>
              </w:rPr>
              <w:t>（2）风险潜势初判</w:t>
            </w:r>
          </w:p>
          <w:p>
            <w:pPr>
              <w:pStyle w:val="21"/>
              <w:ind w:firstLine="480" w:firstLineChars="200"/>
              <w:jc w:val="left"/>
              <w:rPr>
                <w:sz w:val="24"/>
              </w:rPr>
            </w:pPr>
            <w:r>
              <w:rPr>
                <w:rFonts w:hint="eastAsia"/>
                <w:sz w:val="24"/>
              </w:rPr>
              <w:t>1）P的分级确定</w:t>
            </w:r>
          </w:p>
          <w:p>
            <w:pPr>
              <w:jc w:val="center"/>
              <w:rPr>
                <w:b/>
                <w:bCs/>
                <w:szCs w:val="21"/>
              </w:rPr>
            </w:pPr>
            <w:r>
              <w:rPr>
                <w:b/>
                <w:bCs/>
                <w:szCs w:val="21"/>
              </w:rPr>
              <w:t>表7-</w:t>
            </w:r>
            <w:r>
              <w:rPr>
                <w:rFonts w:hint="eastAsia"/>
                <w:b/>
                <w:bCs/>
                <w:szCs w:val="21"/>
              </w:rPr>
              <w:t>2</w:t>
            </w:r>
            <w:r>
              <w:rPr>
                <w:rFonts w:hint="eastAsia"/>
                <w:b/>
                <w:bCs/>
                <w:szCs w:val="21"/>
                <w:lang w:val="en-US" w:eastAsia="zh-CN"/>
              </w:rPr>
              <w:t xml:space="preserve">5 </w:t>
            </w:r>
            <w:r>
              <w:rPr>
                <w:rFonts w:hint="eastAsia"/>
                <w:b/>
                <w:bCs/>
                <w:szCs w:val="21"/>
              </w:rPr>
              <w:t>建设项目Q值确定</w:t>
            </w:r>
            <w:r>
              <w:rPr>
                <w:b/>
                <w:bCs/>
                <w:szCs w:val="21"/>
              </w:rPr>
              <w:t>表</w:t>
            </w:r>
          </w:p>
          <w:tbl>
            <w:tblPr>
              <w:tblStyle w:val="56"/>
              <w:tblW w:w="8302" w:type="dxa"/>
              <w:tblInd w:w="0" w:type="dxa"/>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695"/>
              <w:gridCol w:w="1231"/>
              <w:gridCol w:w="1471"/>
              <w:gridCol w:w="1828"/>
              <w:gridCol w:w="1190"/>
              <w:gridCol w:w="1887"/>
            </w:tblGrid>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695" w:type="dxa"/>
                  <w:vAlign w:val="center"/>
                </w:tcPr>
                <w:p>
                  <w:pPr>
                    <w:pStyle w:val="21"/>
                    <w:spacing w:after="0"/>
                    <w:jc w:val="center"/>
                    <w:rPr>
                      <w:b/>
                      <w:szCs w:val="21"/>
                    </w:rPr>
                  </w:pPr>
                  <w:r>
                    <w:rPr>
                      <w:rFonts w:hint="eastAsia"/>
                      <w:b/>
                      <w:szCs w:val="21"/>
                    </w:rPr>
                    <w:t>序号</w:t>
                  </w:r>
                </w:p>
              </w:tc>
              <w:tc>
                <w:tcPr>
                  <w:tcW w:w="1231" w:type="dxa"/>
                  <w:vAlign w:val="center"/>
                </w:tcPr>
                <w:p>
                  <w:pPr>
                    <w:pStyle w:val="21"/>
                    <w:spacing w:after="0"/>
                    <w:jc w:val="center"/>
                    <w:rPr>
                      <w:b/>
                      <w:szCs w:val="21"/>
                    </w:rPr>
                  </w:pPr>
                  <w:r>
                    <w:rPr>
                      <w:rFonts w:hint="eastAsia"/>
                      <w:b/>
                      <w:szCs w:val="21"/>
                    </w:rPr>
                    <w:t>危险物质名称</w:t>
                  </w:r>
                </w:p>
              </w:tc>
              <w:tc>
                <w:tcPr>
                  <w:tcW w:w="1471" w:type="dxa"/>
                  <w:vAlign w:val="center"/>
                </w:tcPr>
                <w:p>
                  <w:pPr>
                    <w:pStyle w:val="21"/>
                    <w:spacing w:after="0"/>
                    <w:jc w:val="center"/>
                    <w:rPr>
                      <w:b/>
                      <w:szCs w:val="21"/>
                    </w:rPr>
                  </w:pPr>
                  <w:r>
                    <w:rPr>
                      <w:rFonts w:hint="eastAsia"/>
                      <w:b/>
                      <w:szCs w:val="21"/>
                    </w:rPr>
                    <w:t>CAS号</w:t>
                  </w:r>
                </w:p>
              </w:tc>
              <w:tc>
                <w:tcPr>
                  <w:tcW w:w="1828" w:type="dxa"/>
                  <w:vAlign w:val="center"/>
                </w:tcPr>
                <w:p>
                  <w:pPr>
                    <w:pStyle w:val="21"/>
                    <w:spacing w:after="0"/>
                    <w:jc w:val="center"/>
                    <w:rPr>
                      <w:b/>
                      <w:szCs w:val="21"/>
                    </w:rPr>
                  </w:pPr>
                  <w:r>
                    <w:rPr>
                      <w:rFonts w:hint="eastAsia"/>
                      <w:b/>
                      <w:szCs w:val="21"/>
                    </w:rPr>
                    <w:t>最大存在总量t</w:t>
                  </w:r>
                </w:p>
              </w:tc>
              <w:tc>
                <w:tcPr>
                  <w:tcW w:w="1190" w:type="dxa"/>
                  <w:vAlign w:val="center"/>
                </w:tcPr>
                <w:p>
                  <w:pPr>
                    <w:pStyle w:val="21"/>
                    <w:spacing w:after="0"/>
                    <w:jc w:val="center"/>
                    <w:rPr>
                      <w:b/>
                      <w:szCs w:val="21"/>
                    </w:rPr>
                  </w:pPr>
                  <w:r>
                    <w:rPr>
                      <w:rFonts w:hint="eastAsia"/>
                      <w:b/>
                      <w:szCs w:val="21"/>
                    </w:rPr>
                    <w:t>临界量Q</w:t>
                  </w:r>
                  <w:r>
                    <w:rPr>
                      <w:b/>
                      <w:szCs w:val="21"/>
                      <w:vertAlign w:val="subscript"/>
                    </w:rPr>
                    <w:t>n</w:t>
                  </w:r>
                  <w:r>
                    <w:rPr>
                      <w:b/>
                      <w:szCs w:val="21"/>
                    </w:rPr>
                    <w:t>/t</w:t>
                  </w:r>
                </w:p>
              </w:tc>
              <w:tc>
                <w:tcPr>
                  <w:tcW w:w="1887" w:type="dxa"/>
                  <w:vAlign w:val="center"/>
                </w:tcPr>
                <w:p>
                  <w:pPr>
                    <w:pStyle w:val="21"/>
                    <w:spacing w:after="0"/>
                    <w:jc w:val="center"/>
                    <w:rPr>
                      <w:b/>
                      <w:szCs w:val="21"/>
                    </w:rPr>
                  </w:pPr>
                  <w:r>
                    <w:rPr>
                      <w:rFonts w:hint="eastAsia"/>
                      <w:b/>
                      <w:szCs w:val="21"/>
                    </w:rPr>
                    <w:t>该种危险物质Q值</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695" w:type="dxa"/>
                  <w:vAlign w:val="center"/>
                </w:tcPr>
                <w:p>
                  <w:pPr>
                    <w:pStyle w:val="21"/>
                    <w:spacing w:after="0"/>
                    <w:jc w:val="center"/>
                    <w:rPr>
                      <w:szCs w:val="21"/>
                    </w:rPr>
                  </w:pPr>
                  <w:r>
                    <w:rPr>
                      <w:rFonts w:hint="eastAsia"/>
                      <w:szCs w:val="21"/>
                    </w:rPr>
                    <w:t>1</w:t>
                  </w:r>
                </w:p>
              </w:tc>
              <w:tc>
                <w:tcPr>
                  <w:tcW w:w="1231" w:type="dxa"/>
                  <w:vAlign w:val="center"/>
                </w:tcPr>
                <w:p>
                  <w:pPr>
                    <w:pStyle w:val="21"/>
                    <w:spacing w:after="0"/>
                    <w:jc w:val="center"/>
                    <w:rPr>
                      <w:rFonts w:hint="eastAsia" w:ascii="Times New Roman" w:hAnsi="Times New Roman" w:eastAsia="宋体" w:cs="Times New Roman"/>
                      <w:kern w:val="2"/>
                      <w:sz w:val="21"/>
                      <w:szCs w:val="21"/>
                      <w:lang w:val="en-US" w:eastAsia="zh-CN" w:bidi="ar-SA"/>
                    </w:rPr>
                  </w:pPr>
                  <w:r>
                    <w:rPr>
                      <w:rFonts w:hint="eastAsia" w:ascii="Times New Roman" w:hAnsi="Times New Roman" w:eastAsia="宋体" w:cs="Times New Roman"/>
                      <w:kern w:val="2"/>
                      <w:sz w:val="21"/>
                      <w:szCs w:val="21"/>
                      <w:lang w:val="en-US" w:eastAsia="zh-CN" w:bidi="ar-SA"/>
                    </w:rPr>
                    <w:t>切削液</w:t>
                  </w:r>
                </w:p>
              </w:tc>
              <w:tc>
                <w:tcPr>
                  <w:tcW w:w="1471" w:type="dxa"/>
                  <w:vAlign w:val="center"/>
                </w:tcPr>
                <w:p>
                  <w:pPr>
                    <w:jc w:val="center"/>
                    <w:rPr>
                      <w:szCs w:val="21"/>
                    </w:rPr>
                  </w:pPr>
                  <w:r>
                    <w:rPr>
                      <w:rFonts w:hint="eastAsia"/>
                      <w:szCs w:val="21"/>
                    </w:rPr>
                    <w:t>/</w:t>
                  </w:r>
                </w:p>
              </w:tc>
              <w:tc>
                <w:tcPr>
                  <w:tcW w:w="1828" w:type="dxa"/>
                  <w:vAlign w:val="center"/>
                </w:tcPr>
                <w:p>
                  <w:pPr>
                    <w:pStyle w:val="21"/>
                    <w:spacing w:after="0"/>
                    <w:jc w:val="center"/>
                    <w:rPr>
                      <w:rFonts w:hint="eastAsia" w:eastAsia="宋体"/>
                      <w:szCs w:val="21"/>
                      <w:lang w:eastAsia="zh-CN"/>
                    </w:rPr>
                  </w:pPr>
                  <w:r>
                    <w:rPr>
                      <w:rFonts w:hint="eastAsia"/>
                      <w:szCs w:val="21"/>
                    </w:rPr>
                    <w:t>0.</w:t>
                  </w:r>
                  <w:r>
                    <w:rPr>
                      <w:rFonts w:hint="eastAsia"/>
                      <w:szCs w:val="21"/>
                      <w:lang w:val="en-US" w:eastAsia="zh-CN"/>
                    </w:rPr>
                    <w:t>2</w:t>
                  </w:r>
                </w:p>
              </w:tc>
              <w:tc>
                <w:tcPr>
                  <w:tcW w:w="1190" w:type="dxa"/>
                  <w:vAlign w:val="center"/>
                </w:tcPr>
                <w:p>
                  <w:pPr>
                    <w:pStyle w:val="21"/>
                    <w:spacing w:after="0"/>
                    <w:jc w:val="center"/>
                    <w:rPr>
                      <w:szCs w:val="21"/>
                    </w:rPr>
                  </w:pPr>
                  <w:r>
                    <w:rPr>
                      <w:rFonts w:hint="eastAsia"/>
                      <w:szCs w:val="21"/>
                    </w:rPr>
                    <w:t>2500</w:t>
                  </w:r>
                </w:p>
              </w:tc>
              <w:tc>
                <w:tcPr>
                  <w:tcW w:w="1887" w:type="dxa"/>
                  <w:vAlign w:val="center"/>
                </w:tcPr>
                <w:p>
                  <w:pPr>
                    <w:pStyle w:val="21"/>
                    <w:spacing w:after="0"/>
                    <w:jc w:val="center"/>
                    <w:rPr>
                      <w:rFonts w:hint="eastAsia" w:eastAsia="宋体"/>
                      <w:szCs w:val="21"/>
                      <w:lang w:eastAsia="zh-CN"/>
                    </w:rPr>
                  </w:pPr>
                  <w:r>
                    <w:rPr>
                      <w:rFonts w:hint="eastAsia"/>
                      <w:szCs w:val="21"/>
                    </w:rPr>
                    <w:t>0.0000</w:t>
                  </w:r>
                  <w:r>
                    <w:rPr>
                      <w:rFonts w:hint="eastAsia"/>
                      <w:szCs w:val="21"/>
                      <w:lang w:val="en-US" w:eastAsia="zh-CN"/>
                    </w:rPr>
                    <w:t>8</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695" w:type="dxa"/>
                  <w:vAlign w:val="center"/>
                </w:tcPr>
                <w:p>
                  <w:pPr>
                    <w:pStyle w:val="21"/>
                    <w:spacing w:after="0"/>
                    <w:jc w:val="center"/>
                    <w:rPr>
                      <w:szCs w:val="21"/>
                    </w:rPr>
                  </w:pPr>
                  <w:r>
                    <w:rPr>
                      <w:rFonts w:hint="eastAsia"/>
                      <w:szCs w:val="21"/>
                    </w:rPr>
                    <w:t>2</w:t>
                  </w:r>
                </w:p>
              </w:tc>
              <w:tc>
                <w:tcPr>
                  <w:tcW w:w="1231" w:type="dxa"/>
                  <w:vAlign w:val="center"/>
                </w:tcPr>
                <w:p>
                  <w:pPr>
                    <w:widowControl/>
                    <w:jc w:val="center"/>
                    <w:textAlignment w:val="center"/>
                    <w:rPr>
                      <w:rFonts w:hint="eastAsia" w:ascii="Times New Roman" w:hAnsi="Times New Roman" w:eastAsia="宋体" w:cs="Times New Roman"/>
                      <w:kern w:val="2"/>
                      <w:sz w:val="21"/>
                      <w:szCs w:val="21"/>
                      <w:lang w:val="en-US" w:eastAsia="zh-CN" w:bidi="ar-SA"/>
                    </w:rPr>
                  </w:pPr>
                  <w:r>
                    <w:rPr>
                      <w:rFonts w:hint="eastAsia" w:ascii="Times New Roman" w:hAnsi="Times New Roman" w:eastAsia="宋体" w:cs="Times New Roman"/>
                      <w:kern w:val="2"/>
                      <w:sz w:val="21"/>
                      <w:szCs w:val="21"/>
                      <w:lang w:val="en-US" w:eastAsia="zh-CN" w:bidi="ar-SA"/>
                    </w:rPr>
                    <w:t>润滑油</w:t>
                  </w:r>
                </w:p>
              </w:tc>
              <w:tc>
                <w:tcPr>
                  <w:tcW w:w="1471" w:type="dxa"/>
                  <w:vAlign w:val="center"/>
                </w:tcPr>
                <w:p>
                  <w:pPr>
                    <w:jc w:val="center"/>
                    <w:rPr>
                      <w:szCs w:val="21"/>
                    </w:rPr>
                  </w:pPr>
                  <w:r>
                    <w:rPr>
                      <w:rFonts w:hint="eastAsia"/>
                      <w:szCs w:val="21"/>
                    </w:rPr>
                    <w:t>/</w:t>
                  </w:r>
                </w:p>
              </w:tc>
              <w:tc>
                <w:tcPr>
                  <w:tcW w:w="1828" w:type="dxa"/>
                  <w:vAlign w:val="center"/>
                </w:tcPr>
                <w:p>
                  <w:pPr>
                    <w:pStyle w:val="21"/>
                    <w:spacing w:after="0"/>
                    <w:jc w:val="center"/>
                    <w:rPr>
                      <w:szCs w:val="21"/>
                    </w:rPr>
                  </w:pPr>
                  <w:r>
                    <w:rPr>
                      <w:rFonts w:hint="eastAsia"/>
                      <w:szCs w:val="21"/>
                    </w:rPr>
                    <w:t>0.2</w:t>
                  </w:r>
                </w:p>
              </w:tc>
              <w:tc>
                <w:tcPr>
                  <w:tcW w:w="1190" w:type="dxa"/>
                  <w:vAlign w:val="center"/>
                </w:tcPr>
                <w:p>
                  <w:pPr>
                    <w:jc w:val="center"/>
                    <w:rPr>
                      <w:szCs w:val="21"/>
                    </w:rPr>
                  </w:pPr>
                  <w:r>
                    <w:rPr>
                      <w:rFonts w:hint="eastAsia"/>
                      <w:szCs w:val="21"/>
                    </w:rPr>
                    <w:t>2500</w:t>
                  </w:r>
                </w:p>
              </w:tc>
              <w:tc>
                <w:tcPr>
                  <w:tcW w:w="1887" w:type="dxa"/>
                  <w:vAlign w:val="center"/>
                </w:tcPr>
                <w:p>
                  <w:pPr>
                    <w:pStyle w:val="21"/>
                    <w:spacing w:after="0"/>
                    <w:jc w:val="center"/>
                    <w:rPr>
                      <w:szCs w:val="21"/>
                    </w:rPr>
                  </w:pPr>
                  <w:r>
                    <w:rPr>
                      <w:rFonts w:hint="eastAsia"/>
                      <w:szCs w:val="21"/>
                    </w:rPr>
                    <w:t>0.00008</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695" w:type="dxa"/>
                  <w:vAlign w:val="center"/>
                </w:tcPr>
                <w:p>
                  <w:pPr>
                    <w:pStyle w:val="21"/>
                    <w:spacing w:after="0"/>
                    <w:jc w:val="center"/>
                    <w:rPr>
                      <w:szCs w:val="21"/>
                    </w:rPr>
                  </w:pPr>
                  <w:r>
                    <w:rPr>
                      <w:rFonts w:hint="eastAsia"/>
                      <w:szCs w:val="21"/>
                    </w:rPr>
                    <w:t>3</w:t>
                  </w:r>
                </w:p>
              </w:tc>
              <w:tc>
                <w:tcPr>
                  <w:tcW w:w="1231" w:type="dxa"/>
                  <w:vAlign w:val="center"/>
                </w:tcPr>
                <w:p>
                  <w:pPr>
                    <w:pStyle w:val="21"/>
                    <w:spacing w:after="0"/>
                    <w:jc w:val="center"/>
                    <w:rPr>
                      <w:rFonts w:hint="eastAsia" w:ascii="Times New Roman" w:hAnsi="Times New Roman" w:eastAsia="宋体" w:cs="Times New Roman"/>
                      <w:kern w:val="2"/>
                      <w:sz w:val="21"/>
                      <w:szCs w:val="21"/>
                      <w:lang w:val="en-US" w:eastAsia="zh-CN" w:bidi="ar-SA"/>
                    </w:rPr>
                  </w:pPr>
                  <w:r>
                    <w:rPr>
                      <w:rFonts w:hint="eastAsia" w:ascii="Times New Roman" w:hAnsi="Times New Roman" w:eastAsia="宋体" w:cs="Times New Roman"/>
                      <w:kern w:val="2"/>
                      <w:sz w:val="21"/>
                      <w:szCs w:val="21"/>
                      <w:lang w:val="en-US" w:eastAsia="zh-CN" w:bidi="ar-SA"/>
                    </w:rPr>
                    <w:t>废切削液</w:t>
                  </w:r>
                </w:p>
              </w:tc>
              <w:tc>
                <w:tcPr>
                  <w:tcW w:w="1471" w:type="dxa"/>
                  <w:vAlign w:val="center"/>
                </w:tcPr>
                <w:p>
                  <w:pPr>
                    <w:jc w:val="center"/>
                    <w:rPr>
                      <w:szCs w:val="21"/>
                    </w:rPr>
                  </w:pPr>
                  <w:r>
                    <w:rPr>
                      <w:rFonts w:hint="eastAsia"/>
                      <w:szCs w:val="21"/>
                    </w:rPr>
                    <w:t>/</w:t>
                  </w:r>
                </w:p>
              </w:tc>
              <w:tc>
                <w:tcPr>
                  <w:tcW w:w="1828" w:type="dxa"/>
                  <w:vAlign w:val="center"/>
                </w:tcPr>
                <w:p>
                  <w:pPr>
                    <w:pStyle w:val="21"/>
                    <w:spacing w:after="0"/>
                    <w:jc w:val="center"/>
                    <w:rPr>
                      <w:rFonts w:hint="default" w:eastAsia="宋体"/>
                      <w:szCs w:val="21"/>
                      <w:lang w:val="en-US" w:eastAsia="zh-CN"/>
                    </w:rPr>
                  </w:pPr>
                  <w:r>
                    <w:rPr>
                      <w:rFonts w:hint="eastAsia"/>
                      <w:szCs w:val="21"/>
                    </w:rPr>
                    <w:t>1.</w:t>
                  </w:r>
                  <w:r>
                    <w:rPr>
                      <w:rFonts w:hint="eastAsia"/>
                      <w:szCs w:val="21"/>
                      <w:lang w:val="en-US" w:eastAsia="zh-CN"/>
                    </w:rPr>
                    <w:t>68</w:t>
                  </w:r>
                </w:p>
              </w:tc>
              <w:tc>
                <w:tcPr>
                  <w:tcW w:w="1190" w:type="dxa"/>
                  <w:vAlign w:val="center"/>
                </w:tcPr>
                <w:p>
                  <w:pPr>
                    <w:jc w:val="center"/>
                    <w:rPr>
                      <w:szCs w:val="21"/>
                    </w:rPr>
                  </w:pPr>
                  <w:r>
                    <w:rPr>
                      <w:rFonts w:hint="eastAsia"/>
                      <w:szCs w:val="21"/>
                    </w:rPr>
                    <w:t>2500</w:t>
                  </w:r>
                </w:p>
              </w:tc>
              <w:tc>
                <w:tcPr>
                  <w:tcW w:w="1887" w:type="dxa"/>
                  <w:vAlign w:val="center"/>
                </w:tcPr>
                <w:p>
                  <w:pPr>
                    <w:pStyle w:val="21"/>
                    <w:spacing w:after="0"/>
                    <w:jc w:val="center"/>
                    <w:rPr>
                      <w:rFonts w:hint="default" w:eastAsia="宋体"/>
                      <w:szCs w:val="21"/>
                      <w:lang w:val="en-US" w:eastAsia="zh-CN"/>
                    </w:rPr>
                  </w:pPr>
                  <w:r>
                    <w:rPr>
                      <w:rFonts w:hint="eastAsia"/>
                      <w:szCs w:val="21"/>
                    </w:rPr>
                    <w:t>0.0006</w:t>
                  </w:r>
                  <w:r>
                    <w:rPr>
                      <w:rFonts w:hint="eastAsia"/>
                      <w:szCs w:val="21"/>
                      <w:lang w:val="en-US" w:eastAsia="zh-CN"/>
                    </w:rPr>
                    <w:t>7</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695" w:type="dxa"/>
                  <w:vAlign w:val="center"/>
                </w:tcPr>
                <w:p>
                  <w:pPr>
                    <w:pStyle w:val="21"/>
                    <w:spacing w:after="0"/>
                    <w:jc w:val="center"/>
                    <w:rPr>
                      <w:szCs w:val="21"/>
                    </w:rPr>
                  </w:pPr>
                  <w:r>
                    <w:rPr>
                      <w:rFonts w:hint="eastAsia"/>
                      <w:szCs w:val="21"/>
                    </w:rPr>
                    <w:t>4</w:t>
                  </w:r>
                </w:p>
              </w:tc>
              <w:tc>
                <w:tcPr>
                  <w:tcW w:w="1231" w:type="dxa"/>
                  <w:vAlign w:val="center"/>
                </w:tcPr>
                <w:p>
                  <w:pPr>
                    <w:widowControl/>
                    <w:jc w:val="center"/>
                    <w:textAlignment w:val="center"/>
                    <w:rPr>
                      <w:rFonts w:hint="eastAsia" w:ascii="Times New Roman" w:hAnsi="Times New Roman" w:eastAsia="宋体" w:cs="Times New Roman"/>
                      <w:kern w:val="2"/>
                      <w:sz w:val="21"/>
                      <w:szCs w:val="21"/>
                      <w:lang w:val="en-US" w:eastAsia="zh-CN" w:bidi="ar-SA"/>
                    </w:rPr>
                  </w:pPr>
                  <w:r>
                    <w:rPr>
                      <w:rFonts w:hint="eastAsia" w:ascii="Times New Roman" w:hAnsi="Times New Roman" w:eastAsia="宋体" w:cs="Times New Roman"/>
                      <w:kern w:val="2"/>
                      <w:sz w:val="21"/>
                      <w:szCs w:val="21"/>
                      <w:lang w:val="en-US" w:eastAsia="zh-CN" w:bidi="ar-SA"/>
                    </w:rPr>
                    <w:t>废润滑油</w:t>
                  </w:r>
                </w:p>
              </w:tc>
              <w:tc>
                <w:tcPr>
                  <w:tcW w:w="1471" w:type="dxa"/>
                  <w:vAlign w:val="center"/>
                </w:tcPr>
                <w:p>
                  <w:pPr>
                    <w:jc w:val="center"/>
                    <w:rPr>
                      <w:szCs w:val="21"/>
                    </w:rPr>
                  </w:pPr>
                  <w:r>
                    <w:rPr>
                      <w:rFonts w:hint="eastAsia"/>
                      <w:szCs w:val="21"/>
                    </w:rPr>
                    <w:t>/</w:t>
                  </w:r>
                </w:p>
              </w:tc>
              <w:tc>
                <w:tcPr>
                  <w:tcW w:w="1828" w:type="dxa"/>
                  <w:vAlign w:val="center"/>
                </w:tcPr>
                <w:p>
                  <w:pPr>
                    <w:pStyle w:val="21"/>
                    <w:spacing w:after="0"/>
                    <w:jc w:val="center"/>
                    <w:rPr>
                      <w:rFonts w:hint="eastAsia" w:eastAsia="宋体"/>
                      <w:szCs w:val="21"/>
                      <w:lang w:eastAsia="zh-CN"/>
                    </w:rPr>
                  </w:pPr>
                  <w:r>
                    <w:rPr>
                      <w:rFonts w:hint="eastAsia"/>
                      <w:szCs w:val="21"/>
                    </w:rPr>
                    <w:t>0.</w:t>
                  </w:r>
                  <w:r>
                    <w:rPr>
                      <w:rFonts w:hint="eastAsia"/>
                      <w:szCs w:val="21"/>
                      <w:lang w:val="en-US" w:eastAsia="zh-CN"/>
                    </w:rPr>
                    <w:t>3</w:t>
                  </w:r>
                </w:p>
              </w:tc>
              <w:tc>
                <w:tcPr>
                  <w:tcW w:w="1190" w:type="dxa"/>
                  <w:vAlign w:val="center"/>
                </w:tcPr>
                <w:p>
                  <w:pPr>
                    <w:jc w:val="center"/>
                    <w:rPr>
                      <w:szCs w:val="21"/>
                    </w:rPr>
                  </w:pPr>
                  <w:r>
                    <w:rPr>
                      <w:rFonts w:hint="eastAsia"/>
                      <w:szCs w:val="21"/>
                    </w:rPr>
                    <w:t>2500</w:t>
                  </w:r>
                </w:p>
              </w:tc>
              <w:tc>
                <w:tcPr>
                  <w:tcW w:w="1887" w:type="dxa"/>
                  <w:vAlign w:val="center"/>
                </w:tcPr>
                <w:p>
                  <w:pPr>
                    <w:pStyle w:val="21"/>
                    <w:spacing w:after="0"/>
                    <w:jc w:val="center"/>
                    <w:rPr>
                      <w:rFonts w:hint="default" w:eastAsia="宋体"/>
                      <w:szCs w:val="21"/>
                      <w:lang w:val="en-US" w:eastAsia="zh-CN"/>
                    </w:rPr>
                  </w:pPr>
                  <w:r>
                    <w:rPr>
                      <w:rFonts w:hint="eastAsia"/>
                      <w:szCs w:val="21"/>
                    </w:rPr>
                    <w:t>0.000</w:t>
                  </w:r>
                  <w:r>
                    <w:rPr>
                      <w:rFonts w:hint="eastAsia"/>
                      <w:szCs w:val="21"/>
                      <w:lang w:val="en-US" w:eastAsia="zh-CN"/>
                    </w:rPr>
                    <w:t>12</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6415" w:type="dxa"/>
                  <w:gridSpan w:val="5"/>
                  <w:vAlign w:val="center"/>
                </w:tcPr>
                <w:p>
                  <w:pPr>
                    <w:pStyle w:val="21"/>
                    <w:spacing w:after="0"/>
                    <w:jc w:val="center"/>
                    <w:rPr>
                      <w:szCs w:val="21"/>
                    </w:rPr>
                  </w:pPr>
                  <w:r>
                    <w:rPr>
                      <w:rFonts w:hint="eastAsia"/>
                      <w:szCs w:val="21"/>
                    </w:rPr>
                    <w:t>项目Q值∑</w:t>
                  </w:r>
                </w:p>
              </w:tc>
              <w:tc>
                <w:tcPr>
                  <w:tcW w:w="1887" w:type="dxa"/>
                  <w:vAlign w:val="center"/>
                </w:tcPr>
                <w:p>
                  <w:pPr>
                    <w:widowControl/>
                    <w:jc w:val="center"/>
                    <w:textAlignment w:val="center"/>
                    <w:rPr>
                      <w:rFonts w:hint="default" w:eastAsia="宋体"/>
                      <w:szCs w:val="21"/>
                      <w:lang w:val="en-US" w:eastAsia="zh-CN"/>
                    </w:rPr>
                  </w:pPr>
                  <w:r>
                    <w:rPr>
                      <w:rFonts w:hint="eastAsia"/>
                      <w:szCs w:val="21"/>
                    </w:rPr>
                    <w:t>0.000</w:t>
                  </w:r>
                  <w:r>
                    <w:rPr>
                      <w:rFonts w:hint="eastAsia"/>
                      <w:szCs w:val="21"/>
                      <w:lang w:val="en-US" w:eastAsia="zh-CN"/>
                    </w:rPr>
                    <w:t>95</w:t>
                  </w:r>
                </w:p>
              </w:tc>
            </w:tr>
          </w:tbl>
          <w:p>
            <w:pPr>
              <w:pStyle w:val="21"/>
              <w:ind w:firstLine="480" w:firstLineChars="200"/>
              <w:jc w:val="left"/>
              <w:rPr>
                <w:sz w:val="24"/>
              </w:rPr>
            </w:pPr>
            <w:r>
              <w:rPr>
                <w:rFonts w:hint="eastAsia"/>
                <w:sz w:val="24"/>
              </w:rPr>
              <w:t>根据</w:t>
            </w:r>
            <w:r>
              <w:rPr>
                <w:sz w:val="24"/>
              </w:rPr>
              <w:t>《建设项目环境风险评价技术导则》(HJ169-2018)</w:t>
            </w:r>
            <w:r>
              <w:rPr>
                <w:rFonts w:hint="eastAsia"/>
                <w:sz w:val="24"/>
              </w:rPr>
              <w:t>附录C中相关内容：</w:t>
            </w:r>
          </w:p>
          <w:p>
            <w:pPr>
              <w:adjustRightInd w:val="0"/>
              <w:snapToGrid w:val="0"/>
              <w:spacing w:line="360" w:lineRule="auto"/>
              <w:ind w:firstLine="480" w:firstLineChars="200"/>
              <w:rPr>
                <w:sz w:val="24"/>
              </w:rPr>
            </w:pPr>
            <w:r>
              <w:rPr>
                <w:rFonts w:hint="eastAsia"/>
                <w:sz w:val="24"/>
              </w:rPr>
              <w:t>当存在多种危险物质时</w:t>
            </w:r>
            <w:r>
              <w:rPr>
                <w:sz w:val="24"/>
              </w:rPr>
              <w:t>，</w:t>
            </w:r>
            <w:r>
              <w:rPr>
                <w:rFonts w:hint="eastAsia"/>
                <w:sz w:val="24"/>
              </w:rPr>
              <w:t>则按式（C.1）</w:t>
            </w:r>
            <w:r>
              <w:rPr>
                <w:sz w:val="24"/>
              </w:rPr>
              <w:t>计算</w:t>
            </w:r>
            <w:r>
              <w:rPr>
                <w:rFonts w:hint="eastAsia"/>
                <w:sz w:val="24"/>
              </w:rPr>
              <w:t>物质总量与其临界量，</w:t>
            </w:r>
            <w:r>
              <w:rPr>
                <w:sz w:val="24"/>
              </w:rPr>
              <w:t>即为</w:t>
            </w:r>
            <w:r>
              <w:rPr>
                <w:rFonts w:hint="eastAsia"/>
                <w:sz w:val="24"/>
              </w:rPr>
              <w:t>Q</w:t>
            </w:r>
            <w:r>
              <w:rPr>
                <w:sz w:val="24"/>
              </w:rPr>
              <w:t>，计算公式如下：</w:t>
            </w:r>
          </w:p>
          <w:p>
            <w:pPr>
              <w:adjustRightInd w:val="0"/>
              <w:snapToGrid w:val="0"/>
              <w:spacing w:line="360" w:lineRule="auto"/>
              <w:ind w:firstLine="437"/>
              <w:jc w:val="center"/>
              <w:rPr>
                <w:rFonts w:eastAsia="仿宋_GB2312"/>
                <w:sz w:val="28"/>
                <w:szCs w:val="28"/>
              </w:rPr>
            </w:pPr>
            <w:r>
              <w:drawing>
                <wp:inline distT="0" distB="0" distL="114300" distR="114300">
                  <wp:extent cx="1638300" cy="485140"/>
                  <wp:effectExtent l="0" t="0" r="0" b="10160"/>
                  <wp:docPr id="8" name="图片 11" descr="88012671815565050325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11" descr="8801267181556505032542"/>
                          <pic:cNvPicPr>
                            <a:picLocks noChangeAspect="1"/>
                          </pic:cNvPicPr>
                        </pic:nvPicPr>
                        <pic:blipFill>
                          <a:blip r:embed="rId29" cstate="print"/>
                          <a:stretch>
                            <a:fillRect/>
                          </a:stretch>
                        </pic:blipFill>
                        <pic:spPr>
                          <a:xfrm>
                            <a:off x="0" y="0"/>
                            <a:ext cx="1638300" cy="485140"/>
                          </a:xfrm>
                          <a:prstGeom prst="rect">
                            <a:avLst/>
                          </a:prstGeom>
                          <a:noFill/>
                          <a:ln>
                            <a:noFill/>
                          </a:ln>
                        </pic:spPr>
                      </pic:pic>
                    </a:graphicData>
                  </a:graphic>
                </wp:inline>
              </w:drawing>
            </w:r>
            <w:r>
              <w:rPr>
                <w:rFonts w:eastAsia="仿宋_GB2312"/>
                <w:sz w:val="28"/>
                <w:szCs w:val="28"/>
              </w:rPr>
              <w:t xml:space="preserve">      </w:t>
            </w:r>
          </w:p>
          <w:p>
            <w:pPr>
              <w:adjustRightInd w:val="0"/>
              <w:snapToGrid w:val="0"/>
              <w:spacing w:line="360" w:lineRule="auto"/>
              <w:ind w:firstLine="480" w:firstLineChars="200"/>
              <w:rPr>
                <w:sz w:val="24"/>
              </w:rPr>
            </w:pPr>
            <w:r>
              <w:rPr>
                <w:sz w:val="24"/>
              </w:rPr>
              <w:t>式中：q</w:t>
            </w:r>
            <w:r>
              <w:rPr>
                <w:sz w:val="24"/>
                <w:vertAlign w:val="subscript"/>
              </w:rPr>
              <w:t>1</w:t>
            </w:r>
            <w:r>
              <w:rPr>
                <w:sz w:val="24"/>
              </w:rPr>
              <w:t>、q</w:t>
            </w:r>
            <w:r>
              <w:rPr>
                <w:sz w:val="24"/>
                <w:vertAlign w:val="subscript"/>
              </w:rPr>
              <w:t>2</w:t>
            </w:r>
            <w:r>
              <w:rPr>
                <w:sz w:val="24"/>
              </w:rPr>
              <w:t>、…q</w:t>
            </w:r>
            <w:r>
              <w:rPr>
                <w:sz w:val="24"/>
                <w:vertAlign w:val="subscript"/>
              </w:rPr>
              <w:t>n</w:t>
            </w:r>
            <w:r>
              <w:rPr>
                <w:sz w:val="24"/>
              </w:rPr>
              <w:t>——每种风险物质的存在总量，t；</w:t>
            </w:r>
          </w:p>
          <w:p>
            <w:pPr>
              <w:adjustRightInd w:val="0"/>
              <w:snapToGrid w:val="0"/>
              <w:spacing w:line="360" w:lineRule="auto"/>
              <w:ind w:firstLine="480" w:firstLineChars="200"/>
              <w:rPr>
                <w:sz w:val="24"/>
              </w:rPr>
            </w:pPr>
            <w:r>
              <w:rPr>
                <w:sz w:val="24"/>
              </w:rPr>
              <w:t xml:space="preserve">      Q </w:t>
            </w:r>
            <w:r>
              <w:rPr>
                <w:sz w:val="24"/>
                <w:vertAlign w:val="subscript"/>
              </w:rPr>
              <w:t>1</w:t>
            </w:r>
            <w:r>
              <w:rPr>
                <w:sz w:val="24"/>
              </w:rPr>
              <w:t xml:space="preserve">、Q </w:t>
            </w:r>
            <w:r>
              <w:rPr>
                <w:sz w:val="24"/>
                <w:vertAlign w:val="subscript"/>
              </w:rPr>
              <w:t>2</w:t>
            </w:r>
            <w:r>
              <w:rPr>
                <w:sz w:val="24"/>
              </w:rPr>
              <w:t>、…Qn——每种风险物质的临界量，t。</w:t>
            </w:r>
          </w:p>
          <w:p>
            <w:pPr>
              <w:pStyle w:val="21"/>
              <w:ind w:firstLine="480" w:firstLineChars="200"/>
              <w:jc w:val="left"/>
              <w:rPr>
                <w:sz w:val="24"/>
              </w:rPr>
            </w:pPr>
            <w:r>
              <w:rPr>
                <w:rFonts w:hint="eastAsia"/>
                <w:sz w:val="24"/>
              </w:rPr>
              <w:t>当Q＜1时，</w:t>
            </w:r>
            <w:r>
              <w:rPr>
                <w:sz w:val="24"/>
              </w:rPr>
              <w:t>该项目</w:t>
            </w:r>
            <w:r>
              <w:rPr>
                <w:rFonts w:hint="eastAsia"/>
                <w:sz w:val="24"/>
              </w:rPr>
              <w:t>环境风险潜势为Ⅰ。</w:t>
            </w:r>
          </w:p>
          <w:p>
            <w:pPr>
              <w:adjustRightInd w:val="0"/>
              <w:snapToGrid w:val="0"/>
              <w:spacing w:line="360" w:lineRule="auto"/>
              <w:ind w:firstLine="480" w:firstLineChars="200"/>
              <w:rPr>
                <w:sz w:val="24"/>
              </w:rPr>
            </w:pPr>
            <w:r>
              <w:rPr>
                <w:rFonts w:hint="eastAsia"/>
                <w:sz w:val="24"/>
              </w:rPr>
              <w:t>本项目</w:t>
            </w:r>
            <w:r>
              <w:rPr>
                <w:sz w:val="24"/>
              </w:rPr>
              <w:t>风险物质数量与临界量</w:t>
            </w:r>
            <w:r>
              <w:rPr>
                <w:rFonts w:hint="eastAsia"/>
                <w:sz w:val="24"/>
                <w:szCs w:val="22"/>
              </w:rPr>
              <w:t>比值Q =0.00095&lt;1，则</w:t>
            </w:r>
            <w:r>
              <w:rPr>
                <w:rFonts w:hint="eastAsia"/>
                <w:sz w:val="24"/>
              </w:rPr>
              <w:t>本</w:t>
            </w:r>
            <w:r>
              <w:rPr>
                <w:sz w:val="24"/>
              </w:rPr>
              <w:t>项目</w:t>
            </w:r>
            <w:r>
              <w:rPr>
                <w:rFonts w:hint="eastAsia"/>
                <w:sz w:val="24"/>
              </w:rPr>
              <w:t>环境风险潜势为Ⅰ。</w:t>
            </w:r>
          </w:p>
          <w:p>
            <w:pPr>
              <w:snapToGrid w:val="0"/>
              <w:spacing w:line="360" w:lineRule="auto"/>
              <w:ind w:left="63" w:leftChars="30" w:right="63" w:rightChars="30" w:firstLine="480" w:firstLineChars="200"/>
              <w:rPr>
                <w:b/>
                <w:sz w:val="24"/>
              </w:rPr>
            </w:pPr>
            <w:r>
              <w:rPr>
                <w:rFonts w:hint="eastAsia"/>
                <w:b/>
                <w:sz w:val="24"/>
              </w:rPr>
              <w:t>（3）评价等级</w:t>
            </w:r>
          </w:p>
          <w:p>
            <w:pPr>
              <w:snapToGrid w:val="0"/>
              <w:spacing w:line="360" w:lineRule="auto"/>
              <w:ind w:firstLine="480" w:firstLineChars="200"/>
              <w:outlineLvl w:val="3"/>
              <w:rPr>
                <w:sz w:val="24"/>
                <w:szCs w:val="24"/>
              </w:rPr>
            </w:pPr>
            <w:r>
              <w:rPr>
                <w:sz w:val="24"/>
                <w:szCs w:val="24"/>
              </w:rPr>
              <w:t>根据《建设项目环境风险评价技术导则》(HJ169-2018)分级判据，</w:t>
            </w:r>
            <w:r>
              <w:rPr>
                <w:rFonts w:hint="eastAsia"/>
                <w:sz w:val="24"/>
                <w:szCs w:val="24"/>
              </w:rPr>
              <w:t>项目风险等级详见下表。</w:t>
            </w:r>
          </w:p>
          <w:p>
            <w:pPr>
              <w:jc w:val="center"/>
              <w:rPr>
                <w:b/>
                <w:bCs/>
                <w:szCs w:val="21"/>
              </w:rPr>
            </w:pPr>
            <w:r>
              <w:rPr>
                <w:b/>
                <w:bCs/>
                <w:szCs w:val="21"/>
              </w:rPr>
              <w:t>表7-</w:t>
            </w:r>
            <w:r>
              <w:rPr>
                <w:rFonts w:hint="eastAsia"/>
                <w:b/>
                <w:bCs/>
                <w:szCs w:val="21"/>
              </w:rPr>
              <w:t>2</w:t>
            </w:r>
            <w:r>
              <w:rPr>
                <w:rFonts w:hint="eastAsia"/>
                <w:b/>
                <w:bCs/>
                <w:szCs w:val="21"/>
                <w:lang w:val="en-US" w:eastAsia="zh-CN"/>
              </w:rPr>
              <w:t>6</w:t>
            </w:r>
            <w:r>
              <w:rPr>
                <w:rFonts w:hint="eastAsia"/>
                <w:b/>
                <w:bCs/>
                <w:szCs w:val="21"/>
              </w:rPr>
              <w:t xml:space="preserve"> </w:t>
            </w:r>
            <w:r>
              <w:rPr>
                <w:b/>
                <w:bCs/>
                <w:szCs w:val="21"/>
              </w:rPr>
              <w:t>风险评价工作等级划分表</w:t>
            </w:r>
          </w:p>
          <w:tbl>
            <w:tblPr>
              <w:tblStyle w:val="56"/>
              <w:tblW w:w="8312" w:type="dxa"/>
              <w:tblInd w:w="0" w:type="dxa"/>
              <w:tblBorders>
                <w:top w:val="single" w:color="000000" w:sz="12" w:space="0"/>
                <w:left w:val="none" w:color="auto" w:sz="0" w:space="0"/>
                <w:bottom w:val="single" w:color="000000" w:sz="12" w:space="0"/>
                <w:right w:val="none" w:color="auto" w:sz="0" w:space="0"/>
                <w:insideH w:val="single" w:color="000000" w:sz="6" w:space="0"/>
                <w:insideV w:val="single" w:color="000000" w:sz="6" w:space="0"/>
              </w:tblBorders>
              <w:tblLayout w:type="autofit"/>
              <w:tblCellMar>
                <w:top w:w="0" w:type="dxa"/>
                <w:left w:w="108" w:type="dxa"/>
                <w:bottom w:w="0" w:type="dxa"/>
                <w:right w:w="108" w:type="dxa"/>
              </w:tblCellMar>
            </w:tblPr>
            <w:tblGrid>
              <w:gridCol w:w="1843"/>
              <w:gridCol w:w="1560"/>
              <w:gridCol w:w="1562"/>
              <w:gridCol w:w="1674"/>
              <w:gridCol w:w="1673"/>
            </w:tblGrid>
            <w:tr>
              <w:tblPrEx>
                <w:tblBorders>
                  <w:top w:val="single" w:color="000000" w:sz="12" w:space="0"/>
                  <w:left w:val="none" w:color="auto" w:sz="0" w:space="0"/>
                  <w:bottom w:val="single" w:color="000000" w:sz="12" w:space="0"/>
                  <w:right w:val="none" w:color="auto" w:sz="0" w:space="0"/>
                  <w:insideH w:val="single" w:color="000000" w:sz="6" w:space="0"/>
                  <w:insideV w:val="single" w:color="000000" w:sz="6" w:space="0"/>
                </w:tblBorders>
                <w:tblCellMar>
                  <w:top w:w="0" w:type="dxa"/>
                  <w:left w:w="108" w:type="dxa"/>
                  <w:bottom w:w="0" w:type="dxa"/>
                  <w:right w:w="108" w:type="dxa"/>
                </w:tblCellMar>
              </w:tblPrEx>
              <w:trPr>
                <w:trHeight w:val="293" w:hRule="atLeast"/>
              </w:trPr>
              <w:tc>
                <w:tcPr>
                  <w:tcW w:w="1843" w:type="dxa"/>
                  <w:tcMar>
                    <w:left w:w="28" w:type="dxa"/>
                    <w:right w:w="28" w:type="dxa"/>
                  </w:tcMar>
                  <w:vAlign w:val="center"/>
                </w:tcPr>
                <w:p>
                  <w:pPr>
                    <w:spacing w:line="320" w:lineRule="exact"/>
                    <w:jc w:val="center"/>
                    <w:rPr>
                      <w:b/>
                      <w:szCs w:val="21"/>
                    </w:rPr>
                  </w:pPr>
                  <w:r>
                    <w:rPr>
                      <w:b/>
                      <w:szCs w:val="21"/>
                    </w:rPr>
                    <w:t>环境分险潜势</w:t>
                  </w:r>
                </w:p>
              </w:tc>
              <w:tc>
                <w:tcPr>
                  <w:tcW w:w="1560" w:type="dxa"/>
                  <w:tcMar>
                    <w:left w:w="28" w:type="dxa"/>
                    <w:right w:w="28" w:type="dxa"/>
                  </w:tcMar>
                  <w:vAlign w:val="center"/>
                </w:tcPr>
                <w:p>
                  <w:pPr>
                    <w:spacing w:line="320" w:lineRule="exact"/>
                    <w:jc w:val="center"/>
                    <w:rPr>
                      <w:szCs w:val="21"/>
                    </w:rPr>
                  </w:pPr>
                  <w:r>
                    <w:rPr>
                      <w:rFonts w:hint="eastAsia" w:ascii="宋体" w:cs="宋体"/>
                      <w:szCs w:val="21"/>
                    </w:rPr>
                    <w:t>Ⅵ</w:t>
                  </w:r>
                  <w:r>
                    <w:rPr>
                      <w:szCs w:val="21"/>
                    </w:rPr>
                    <w:t>、</w:t>
                  </w:r>
                  <w:r>
                    <w:rPr>
                      <w:rFonts w:hint="eastAsia" w:ascii="宋体" w:cs="宋体"/>
                      <w:szCs w:val="21"/>
                    </w:rPr>
                    <w:t>Ⅵ</w:t>
                  </w:r>
                  <w:r>
                    <w:rPr>
                      <w:szCs w:val="21"/>
                      <w:vertAlign w:val="superscript"/>
                    </w:rPr>
                    <w:t>+</w:t>
                  </w:r>
                </w:p>
              </w:tc>
              <w:tc>
                <w:tcPr>
                  <w:tcW w:w="1562" w:type="dxa"/>
                  <w:tcMar>
                    <w:left w:w="28" w:type="dxa"/>
                    <w:right w:w="28" w:type="dxa"/>
                  </w:tcMar>
                  <w:vAlign w:val="center"/>
                </w:tcPr>
                <w:p>
                  <w:pPr>
                    <w:spacing w:line="320" w:lineRule="exact"/>
                    <w:jc w:val="center"/>
                    <w:rPr>
                      <w:szCs w:val="21"/>
                    </w:rPr>
                  </w:pPr>
                  <w:r>
                    <w:rPr>
                      <w:rFonts w:hint="eastAsia" w:ascii="宋体" w:cs="宋体"/>
                      <w:szCs w:val="21"/>
                    </w:rPr>
                    <w:t>Ⅲ</w:t>
                  </w:r>
                  <w:r>
                    <w:rPr>
                      <w:szCs w:val="21"/>
                    </w:rPr>
                    <w:t xml:space="preserve"> </w:t>
                  </w:r>
                </w:p>
              </w:tc>
              <w:tc>
                <w:tcPr>
                  <w:tcW w:w="1674" w:type="dxa"/>
                  <w:shd w:val="clear" w:color="auto" w:fill="auto"/>
                  <w:tcMar>
                    <w:left w:w="28" w:type="dxa"/>
                    <w:right w:w="28" w:type="dxa"/>
                  </w:tcMar>
                  <w:vAlign w:val="center"/>
                </w:tcPr>
                <w:p>
                  <w:pPr>
                    <w:spacing w:line="320" w:lineRule="exact"/>
                    <w:jc w:val="center"/>
                    <w:rPr>
                      <w:szCs w:val="21"/>
                    </w:rPr>
                  </w:pPr>
                  <w:r>
                    <w:rPr>
                      <w:rFonts w:hint="eastAsia" w:ascii="宋体" w:cs="宋体"/>
                      <w:szCs w:val="21"/>
                    </w:rPr>
                    <w:t>Ⅱ</w:t>
                  </w:r>
                </w:p>
              </w:tc>
              <w:tc>
                <w:tcPr>
                  <w:tcW w:w="1673" w:type="dxa"/>
                  <w:tcMar>
                    <w:left w:w="28" w:type="dxa"/>
                    <w:right w:w="28" w:type="dxa"/>
                  </w:tcMar>
                  <w:vAlign w:val="center"/>
                </w:tcPr>
                <w:p>
                  <w:pPr>
                    <w:spacing w:line="320" w:lineRule="exact"/>
                    <w:jc w:val="center"/>
                    <w:rPr>
                      <w:szCs w:val="21"/>
                    </w:rPr>
                  </w:pPr>
                  <w:r>
                    <w:rPr>
                      <w:rFonts w:hint="eastAsia" w:ascii="宋体" w:cs="宋体"/>
                      <w:szCs w:val="21"/>
                    </w:rPr>
                    <w:t>Ⅰ</w:t>
                  </w:r>
                </w:p>
              </w:tc>
            </w:tr>
            <w:tr>
              <w:tblPrEx>
                <w:tblBorders>
                  <w:top w:val="single" w:color="000000" w:sz="12" w:space="0"/>
                  <w:left w:val="none" w:color="auto" w:sz="0" w:space="0"/>
                  <w:bottom w:val="single" w:color="000000" w:sz="12" w:space="0"/>
                  <w:right w:val="none" w:color="auto" w:sz="0" w:space="0"/>
                  <w:insideH w:val="single" w:color="000000" w:sz="6" w:space="0"/>
                  <w:insideV w:val="single" w:color="000000" w:sz="6" w:space="0"/>
                </w:tblBorders>
                <w:tblCellMar>
                  <w:top w:w="0" w:type="dxa"/>
                  <w:left w:w="108" w:type="dxa"/>
                  <w:bottom w:w="0" w:type="dxa"/>
                  <w:right w:w="108" w:type="dxa"/>
                </w:tblCellMar>
              </w:tblPrEx>
              <w:tc>
                <w:tcPr>
                  <w:tcW w:w="1843" w:type="dxa"/>
                  <w:shd w:val="clear" w:color="auto" w:fill="auto"/>
                  <w:tcMar>
                    <w:left w:w="28" w:type="dxa"/>
                    <w:right w:w="28" w:type="dxa"/>
                  </w:tcMar>
                  <w:vAlign w:val="center"/>
                </w:tcPr>
                <w:p>
                  <w:pPr>
                    <w:spacing w:line="320" w:lineRule="exact"/>
                    <w:jc w:val="center"/>
                    <w:rPr>
                      <w:szCs w:val="21"/>
                    </w:rPr>
                  </w:pPr>
                  <w:r>
                    <w:rPr>
                      <w:szCs w:val="21"/>
                    </w:rPr>
                    <w:t>评价工作等级</w:t>
                  </w:r>
                </w:p>
              </w:tc>
              <w:tc>
                <w:tcPr>
                  <w:tcW w:w="1560" w:type="dxa"/>
                  <w:shd w:val="clear" w:color="auto" w:fill="auto"/>
                  <w:tcMar>
                    <w:left w:w="28" w:type="dxa"/>
                    <w:right w:w="28" w:type="dxa"/>
                  </w:tcMar>
                  <w:vAlign w:val="center"/>
                </w:tcPr>
                <w:p>
                  <w:pPr>
                    <w:jc w:val="center"/>
                    <w:rPr>
                      <w:szCs w:val="21"/>
                    </w:rPr>
                  </w:pPr>
                  <w:r>
                    <w:rPr>
                      <w:szCs w:val="21"/>
                    </w:rPr>
                    <w:t>一</w:t>
                  </w:r>
                </w:p>
              </w:tc>
              <w:tc>
                <w:tcPr>
                  <w:tcW w:w="1562" w:type="dxa"/>
                  <w:shd w:val="clear" w:color="auto" w:fill="auto"/>
                  <w:tcMar>
                    <w:left w:w="28" w:type="dxa"/>
                    <w:right w:w="28" w:type="dxa"/>
                  </w:tcMar>
                  <w:vAlign w:val="center"/>
                </w:tcPr>
                <w:p>
                  <w:pPr>
                    <w:jc w:val="center"/>
                    <w:rPr>
                      <w:szCs w:val="21"/>
                    </w:rPr>
                  </w:pPr>
                  <w:r>
                    <w:rPr>
                      <w:szCs w:val="21"/>
                    </w:rPr>
                    <w:t>二</w:t>
                  </w:r>
                </w:p>
              </w:tc>
              <w:tc>
                <w:tcPr>
                  <w:tcW w:w="1674" w:type="dxa"/>
                  <w:shd w:val="clear" w:color="auto" w:fill="auto"/>
                  <w:tcMar>
                    <w:left w:w="28" w:type="dxa"/>
                    <w:right w:w="28" w:type="dxa"/>
                  </w:tcMar>
                  <w:vAlign w:val="center"/>
                </w:tcPr>
                <w:p>
                  <w:pPr>
                    <w:spacing w:line="320" w:lineRule="exact"/>
                    <w:jc w:val="center"/>
                    <w:rPr>
                      <w:szCs w:val="21"/>
                    </w:rPr>
                  </w:pPr>
                  <w:r>
                    <w:rPr>
                      <w:szCs w:val="21"/>
                    </w:rPr>
                    <w:t>三</w:t>
                  </w:r>
                </w:p>
              </w:tc>
              <w:tc>
                <w:tcPr>
                  <w:tcW w:w="1673" w:type="dxa"/>
                  <w:shd w:val="clear" w:color="auto" w:fill="AEAAAA"/>
                  <w:tcMar>
                    <w:left w:w="28" w:type="dxa"/>
                    <w:right w:w="28" w:type="dxa"/>
                  </w:tcMar>
                  <w:vAlign w:val="center"/>
                </w:tcPr>
                <w:p>
                  <w:pPr>
                    <w:spacing w:line="320" w:lineRule="exact"/>
                    <w:jc w:val="center"/>
                    <w:rPr>
                      <w:szCs w:val="21"/>
                    </w:rPr>
                  </w:pPr>
                  <w:r>
                    <w:rPr>
                      <w:szCs w:val="21"/>
                    </w:rPr>
                    <w:t>简单分析</w:t>
                  </w:r>
                  <w:r>
                    <w:rPr>
                      <w:szCs w:val="21"/>
                      <w:vertAlign w:val="superscript"/>
                    </w:rPr>
                    <w:t>a</w:t>
                  </w:r>
                </w:p>
              </w:tc>
            </w:tr>
            <w:tr>
              <w:tblPrEx>
                <w:tblBorders>
                  <w:top w:val="single" w:color="000000" w:sz="12" w:space="0"/>
                  <w:left w:val="none" w:color="auto" w:sz="0" w:space="0"/>
                  <w:bottom w:val="single" w:color="000000" w:sz="12" w:space="0"/>
                  <w:right w:val="none" w:color="auto" w:sz="0" w:space="0"/>
                  <w:insideH w:val="single" w:color="000000" w:sz="6" w:space="0"/>
                  <w:insideV w:val="single" w:color="000000" w:sz="6" w:space="0"/>
                </w:tblBorders>
                <w:tblCellMar>
                  <w:top w:w="0" w:type="dxa"/>
                  <w:left w:w="108" w:type="dxa"/>
                  <w:bottom w:w="0" w:type="dxa"/>
                  <w:right w:w="108" w:type="dxa"/>
                </w:tblCellMar>
              </w:tblPrEx>
              <w:tc>
                <w:tcPr>
                  <w:tcW w:w="8312" w:type="dxa"/>
                  <w:gridSpan w:val="5"/>
                  <w:tcMar>
                    <w:left w:w="28" w:type="dxa"/>
                    <w:right w:w="28" w:type="dxa"/>
                  </w:tcMar>
                  <w:vAlign w:val="center"/>
                </w:tcPr>
                <w:p>
                  <w:pPr>
                    <w:spacing w:line="320" w:lineRule="exact"/>
                    <w:jc w:val="center"/>
                    <w:rPr>
                      <w:szCs w:val="21"/>
                    </w:rPr>
                  </w:pPr>
                  <w:r>
                    <w:rPr>
                      <w:szCs w:val="21"/>
                    </w:rPr>
                    <w:t>a相对于详细评价工作内容而言，在描述危险物质、环境影响途径、环境危害后果、风险防范措施等方面给出定性的说明。</w:t>
                  </w:r>
                </w:p>
              </w:tc>
            </w:tr>
          </w:tbl>
          <w:p>
            <w:pPr>
              <w:adjustRightInd w:val="0"/>
              <w:snapToGrid w:val="0"/>
              <w:spacing w:line="360" w:lineRule="auto"/>
              <w:ind w:firstLine="480" w:firstLineChars="200"/>
              <w:rPr>
                <w:sz w:val="24"/>
              </w:rPr>
            </w:pPr>
            <w:r>
              <w:rPr>
                <w:rFonts w:hint="eastAsia"/>
                <w:sz w:val="24"/>
                <w:szCs w:val="24"/>
              </w:rPr>
              <w:t>由上表可知，</w:t>
            </w:r>
            <w:r>
              <w:rPr>
                <w:sz w:val="24"/>
                <w:szCs w:val="24"/>
              </w:rPr>
              <w:t>确定本项目</w:t>
            </w:r>
            <w:r>
              <w:rPr>
                <w:rFonts w:hint="eastAsia"/>
                <w:sz w:val="24"/>
                <w:szCs w:val="24"/>
              </w:rPr>
              <w:t>风险评价做简单分析。</w:t>
            </w:r>
          </w:p>
          <w:p>
            <w:pPr>
              <w:snapToGrid w:val="0"/>
              <w:spacing w:line="360" w:lineRule="auto"/>
              <w:ind w:left="63" w:leftChars="30" w:right="63" w:rightChars="30" w:firstLine="480" w:firstLineChars="200"/>
              <w:rPr>
                <w:b/>
                <w:sz w:val="24"/>
              </w:rPr>
            </w:pPr>
            <w:r>
              <w:rPr>
                <w:rFonts w:hint="eastAsia"/>
                <w:b/>
                <w:sz w:val="24"/>
                <w:lang w:val="en-US" w:eastAsia="zh-CN"/>
              </w:rPr>
              <w:t>7</w:t>
            </w:r>
            <w:r>
              <w:rPr>
                <w:b/>
                <w:sz w:val="24"/>
              </w:rPr>
              <w:t xml:space="preserve">.2 </w:t>
            </w:r>
            <w:r>
              <w:rPr>
                <w:rFonts w:hint="eastAsia"/>
                <w:b/>
                <w:sz w:val="24"/>
              </w:rPr>
              <w:t>环境敏感目标概况</w:t>
            </w:r>
          </w:p>
          <w:p>
            <w:pPr>
              <w:snapToGrid w:val="0"/>
              <w:spacing w:line="360" w:lineRule="auto"/>
              <w:ind w:firstLine="480" w:firstLineChars="200"/>
              <w:outlineLvl w:val="3"/>
              <w:rPr>
                <w:sz w:val="24"/>
                <w:szCs w:val="24"/>
              </w:rPr>
            </w:pPr>
            <w:r>
              <w:rPr>
                <w:sz w:val="24"/>
                <w:szCs w:val="24"/>
              </w:rPr>
              <w:t>根据</w:t>
            </w:r>
            <w:r>
              <w:rPr>
                <w:rFonts w:hint="eastAsia"/>
                <w:sz w:val="24"/>
                <w:szCs w:val="24"/>
              </w:rPr>
              <w:t>建设项目周边环境概况，本项目周边主要环境敏感目标详见下表：</w:t>
            </w:r>
          </w:p>
          <w:p>
            <w:pPr>
              <w:jc w:val="center"/>
              <w:rPr>
                <w:b/>
                <w:bCs/>
                <w:szCs w:val="21"/>
              </w:rPr>
            </w:pPr>
            <w:r>
              <w:rPr>
                <w:b/>
                <w:bCs/>
                <w:szCs w:val="21"/>
              </w:rPr>
              <w:t>表7-</w:t>
            </w:r>
            <w:r>
              <w:rPr>
                <w:rFonts w:hint="eastAsia"/>
                <w:b/>
                <w:bCs/>
                <w:szCs w:val="21"/>
              </w:rPr>
              <w:t>2</w:t>
            </w:r>
            <w:r>
              <w:rPr>
                <w:rFonts w:hint="eastAsia"/>
                <w:b/>
                <w:bCs/>
                <w:szCs w:val="21"/>
                <w:lang w:val="en-US" w:eastAsia="zh-CN"/>
              </w:rPr>
              <w:t>7</w:t>
            </w:r>
            <w:r>
              <w:rPr>
                <w:b/>
                <w:bCs/>
                <w:szCs w:val="21"/>
              </w:rPr>
              <w:t xml:space="preserve">  环境</w:t>
            </w:r>
            <w:r>
              <w:rPr>
                <w:rFonts w:hint="eastAsia"/>
                <w:b/>
                <w:bCs/>
                <w:szCs w:val="21"/>
              </w:rPr>
              <w:t>风险主要</w:t>
            </w:r>
            <w:r>
              <w:rPr>
                <w:b/>
                <w:bCs/>
                <w:szCs w:val="21"/>
              </w:rPr>
              <w:t>保护目标一览表</w:t>
            </w:r>
          </w:p>
          <w:tbl>
            <w:tblPr>
              <w:tblStyle w:val="56"/>
              <w:tblW w:w="4998" w:type="pct"/>
              <w:jc w:val="center"/>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Layout w:type="autofit"/>
              <w:tblCellMar>
                <w:top w:w="0" w:type="dxa"/>
                <w:left w:w="108" w:type="dxa"/>
                <w:bottom w:w="0" w:type="dxa"/>
                <w:right w:w="108" w:type="dxa"/>
              </w:tblCellMar>
            </w:tblPr>
            <w:tblGrid>
              <w:gridCol w:w="798"/>
              <w:gridCol w:w="1604"/>
              <w:gridCol w:w="1484"/>
              <w:gridCol w:w="657"/>
              <w:gridCol w:w="657"/>
              <w:gridCol w:w="696"/>
              <w:gridCol w:w="815"/>
              <w:gridCol w:w="709"/>
              <w:gridCol w:w="889"/>
            </w:tblGrid>
            <w:tr>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0" w:type="dxa"/>
                  <w:left w:w="108" w:type="dxa"/>
                  <w:bottom w:w="0" w:type="dxa"/>
                  <w:right w:w="108" w:type="dxa"/>
                </w:tblCellMar>
              </w:tblPrEx>
              <w:trPr>
                <w:trHeight w:val="367" w:hRule="atLeast"/>
                <w:tblHeader/>
                <w:jc w:val="center"/>
              </w:trPr>
              <w:tc>
                <w:tcPr>
                  <w:tcW w:w="554" w:type="pct"/>
                  <w:vMerge w:val="restart"/>
                  <w:shd w:val="clear" w:color="auto" w:fill="FFFFFF"/>
                  <w:vAlign w:val="center"/>
                </w:tcPr>
                <w:p>
                  <w:pPr>
                    <w:pStyle w:val="50"/>
                    <w:widowControl w:val="0"/>
                    <w:adjustRightInd w:val="0"/>
                    <w:snapToGrid w:val="0"/>
                    <w:spacing w:before="0" w:line="240" w:lineRule="auto"/>
                    <w:ind w:firstLine="0"/>
                    <w:jc w:val="center"/>
                    <w:rPr>
                      <w:rFonts w:ascii="Times New Roman" w:hAnsi="Times New Roman"/>
                      <w:b/>
                      <w:bCs/>
                      <w:color w:val="auto"/>
                      <w:sz w:val="21"/>
                      <w:szCs w:val="21"/>
                    </w:rPr>
                  </w:pPr>
                  <w:r>
                    <w:rPr>
                      <w:rFonts w:ascii="Times New Roman" w:hAnsi="Times New Roman"/>
                      <w:b/>
                      <w:bCs/>
                      <w:color w:val="auto"/>
                      <w:sz w:val="21"/>
                      <w:szCs w:val="21"/>
                    </w:rPr>
                    <w:t>名称</w:t>
                  </w:r>
                </w:p>
              </w:tc>
              <w:tc>
                <w:tcPr>
                  <w:tcW w:w="1377" w:type="pct"/>
                  <w:gridSpan w:val="2"/>
                  <w:shd w:val="clear" w:color="auto" w:fill="FFFFFF"/>
                  <w:vAlign w:val="center"/>
                </w:tcPr>
                <w:p>
                  <w:pPr>
                    <w:pStyle w:val="50"/>
                    <w:widowControl w:val="0"/>
                    <w:adjustRightInd w:val="0"/>
                    <w:snapToGrid w:val="0"/>
                    <w:spacing w:before="0" w:line="240" w:lineRule="auto"/>
                    <w:ind w:firstLine="0"/>
                    <w:jc w:val="center"/>
                    <w:rPr>
                      <w:rFonts w:ascii="Times New Roman" w:hAnsi="Times New Roman"/>
                      <w:b/>
                      <w:bCs/>
                      <w:color w:val="auto"/>
                      <w:sz w:val="21"/>
                      <w:szCs w:val="21"/>
                    </w:rPr>
                  </w:pPr>
                  <w:r>
                    <w:rPr>
                      <w:rFonts w:ascii="Times New Roman" w:hAnsi="Times New Roman"/>
                      <w:b/>
                      <w:bCs/>
                      <w:color w:val="auto"/>
                      <w:sz w:val="21"/>
                      <w:szCs w:val="21"/>
                    </w:rPr>
                    <w:t>坐标</w:t>
                  </w:r>
                </w:p>
              </w:tc>
              <w:tc>
                <w:tcPr>
                  <w:tcW w:w="469" w:type="pct"/>
                  <w:vMerge w:val="restart"/>
                  <w:shd w:val="clear" w:color="auto" w:fill="FFFFFF"/>
                  <w:vAlign w:val="center"/>
                </w:tcPr>
                <w:p>
                  <w:pPr>
                    <w:pStyle w:val="50"/>
                    <w:widowControl w:val="0"/>
                    <w:adjustRightInd w:val="0"/>
                    <w:snapToGrid w:val="0"/>
                    <w:spacing w:before="0" w:line="240" w:lineRule="auto"/>
                    <w:ind w:firstLine="0"/>
                    <w:jc w:val="center"/>
                    <w:rPr>
                      <w:rFonts w:ascii="Times New Roman" w:hAnsi="Times New Roman"/>
                      <w:b/>
                      <w:bCs/>
                      <w:color w:val="auto"/>
                      <w:sz w:val="21"/>
                      <w:szCs w:val="21"/>
                    </w:rPr>
                  </w:pPr>
                  <w:r>
                    <w:rPr>
                      <w:rFonts w:ascii="Times New Roman" w:hAnsi="Times New Roman"/>
                      <w:b/>
                      <w:bCs/>
                      <w:color w:val="auto"/>
                      <w:sz w:val="21"/>
                      <w:szCs w:val="21"/>
                    </w:rPr>
                    <w:t>保护对象</w:t>
                  </w:r>
                </w:p>
              </w:tc>
              <w:tc>
                <w:tcPr>
                  <w:tcW w:w="469" w:type="pct"/>
                  <w:vMerge w:val="restart"/>
                  <w:shd w:val="clear" w:color="auto" w:fill="FFFFFF"/>
                  <w:vAlign w:val="center"/>
                </w:tcPr>
                <w:p>
                  <w:pPr>
                    <w:pStyle w:val="50"/>
                    <w:widowControl w:val="0"/>
                    <w:adjustRightInd w:val="0"/>
                    <w:snapToGrid w:val="0"/>
                    <w:spacing w:before="0" w:line="240" w:lineRule="auto"/>
                    <w:ind w:firstLine="0"/>
                    <w:jc w:val="center"/>
                    <w:rPr>
                      <w:rFonts w:ascii="Times New Roman" w:hAnsi="Times New Roman"/>
                      <w:b/>
                      <w:bCs/>
                      <w:color w:val="auto"/>
                      <w:sz w:val="21"/>
                      <w:szCs w:val="21"/>
                    </w:rPr>
                  </w:pPr>
                  <w:r>
                    <w:rPr>
                      <w:rFonts w:ascii="Times New Roman" w:hAnsi="Times New Roman"/>
                      <w:b/>
                      <w:bCs/>
                      <w:color w:val="auto"/>
                      <w:sz w:val="21"/>
                      <w:szCs w:val="21"/>
                    </w:rPr>
                    <w:t>保护内容</w:t>
                  </w:r>
                </w:p>
              </w:tc>
              <w:tc>
                <w:tcPr>
                  <w:tcW w:w="424" w:type="pct"/>
                  <w:vMerge w:val="restart"/>
                  <w:shd w:val="clear" w:color="auto" w:fill="FFFFFF"/>
                  <w:vAlign w:val="center"/>
                </w:tcPr>
                <w:p>
                  <w:pPr>
                    <w:pStyle w:val="50"/>
                    <w:widowControl w:val="0"/>
                    <w:adjustRightInd w:val="0"/>
                    <w:snapToGrid w:val="0"/>
                    <w:spacing w:before="0" w:line="240" w:lineRule="auto"/>
                    <w:ind w:firstLine="0"/>
                    <w:jc w:val="center"/>
                    <w:rPr>
                      <w:rFonts w:ascii="Times New Roman" w:hAnsi="Times New Roman"/>
                      <w:b/>
                      <w:bCs/>
                      <w:color w:val="auto"/>
                      <w:sz w:val="21"/>
                      <w:szCs w:val="21"/>
                    </w:rPr>
                  </w:pPr>
                  <w:r>
                    <w:rPr>
                      <w:rFonts w:hint="eastAsia" w:ascii="Times New Roman" w:hAnsi="Times New Roman"/>
                      <w:b/>
                      <w:bCs/>
                      <w:color w:val="auto"/>
                      <w:sz w:val="21"/>
                      <w:szCs w:val="21"/>
                    </w:rPr>
                    <w:t>保护规模</w:t>
                  </w:r>
                </w:p>
              </w:tc>
              <w:tc>
                <w:tcPr>
                  <w:tcW w:w="627" w:type="pct"/>
                  <w:vMerge w:val="restart"/>
                  <w:shd w:val="clear" w:color="auto" w:fill="FFFFFF"/>
                  <w:vAlign w:val="center"/>
                </w:tcPr>
                <w:p>
                  <w:pPr>
                    <w:pStyle w:val="50"/>
                    <w:widowControl w:val="0"/>
                    <w:adjustRightInd w:val="0"/>
                    <w:snapToGrid w:val="0"/>
                    <w:spacing w:before="0" w:line="240" w:lineRule="auto"/>
                    <w:ind w:firstLine="0"/>
                    <w:jc w:val="center"/>
                    <w:rPr>
                      <w:rFonts w:ascii="Times New Roman" w:hAnsi="Times New Roman"/>
                      <w:b/>
                      <w:bCs/>
                      <w:color w:val="auto"/>
                      <w:sz w:val="21"/>
                      <w:szCs w:val="21"/>
                    </w:rPr>
                  </w:pPr>
                  <w:r>
                    <w:rPr>
                      <w:rFonts w:ascii="Times New Roman" w:hAnsi="Times New Roman"/>
                      <w:b/>
                      <w:bCs/>
                      <w:color w:val="auto"/>
                      <w:sz w:val="21"/>
                      <w:szCs w:val="21"/>
                    </w:rPr>
                    <w:t>环境功能区</w:t>
                  </w:r>
                </w:p>
              </w:tc>
              <w:tc>
                <w:tcPr>
                  <w:tcW w:w="500" w:type="pct"/>
                  <w:vMerge w:val="restart"/>
                  <w:shd w:val="clear" w:color="auto" w:fill="FFFFFF"/>
                  <w:vAlign w:val="center"/>
                </w:tcPr>
                <w:p>
                  <w:pPr>
                    <w:pStyle w:val="50"/>
                    <w:widowControl w:val="0"/>
                    <w:adjustRightInd w:val="0"/>
                    <w:snapToGrid w:val="0"/>
                    <w:spacing w:before="0" w:line="240" w:lineRule="auto"/>
                    <w:ind w:firstLine="0"/>
                    <w:jc w:val="center"/>
                    <w:rPr>
                      <w:rFonts w:ascii="Times New Roman" w:hAnsi="Times New Roman"/>
                      <w:b/>
                      <w:bCs/>
                      <w:color w:val="auto"/>
                      <w:sz w:val="21"/>
                      <w:szCs w:val="21"/>
                    </w:rPr>
                  </w:pPr>
                  <w:r>
                    <w:rPr>
                      <w:rFonts w:ascii="Times New Roman" w:hAnsi="Times New Roman"/>
                      <w:b/>
                      <w:bCs/>
                      <w:color w:val="auto"/>
                      <w:sz w:val="21"/>
                      <w:szCs w:val="21"/>
                    </w:rPr>
                    <w:t>相对厂址方位</w:t>
                  </w:r>
                </w:p>
              </w:tc>
              <w:tc>
                <w:tcPr>
                  <w:tcW w:w="577" w:type="pct"/>
                  <w:vMerge w:val="restart"/>
                  <w:shd w:val="clear" w:color="auto" w:fill="FFFFFF"/>
                  <w:vAlign w:val="center"/>
                </w:tcPr>
                <w:p>
                  <w:pPr>
                    <w:pStyle w:val="50"/>
                    <w:widowControl w:val="0"/>
                    <w:adjustRightInd w:val="0"/>
                    <w:snapToGrid w:val="0"/>
                    <w:spacing w:before="0" w:line="240" w:lineRule="auto"/>
                    <w:ind w:firstLine="0"/>
                    <w:jc w:val="center"/>
                    <w:rPr>
                      <w:rFonts w:ascii="Times New Roman" w:hAnsi="Times New Roman"/>
                      <w:b/>
                      <w:bCs/>
                      <w:color w:val="auto"/>
                      <w:sz w:val="21"/>
                      <w:szCs w:val="21"/>
                    </w:rPr>
                  </w:pPr>
                  <w:r>
                    <w:rPr>
                      <w:rFonts w:ascii="Times New Roman" w:hAnsi="Times New Roman"/>
                      <w:b/>
                      <w:bCs/>
                      <w:color w:val="auto"/>
                      <w:sz w:val="21"/>
                      <w:szCs w:val="21"/>
                    </w:rPr>
                    <w:t>相对厂界距离（m）</w:t>
                  </w:r>
                </w:p>
              </w:tc>
            </w:tr>
            <w:tr>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0" w:type="dxa"/>
                  <w:left w:w="108" w:type="dxa"/>
                  <w:bottom w:w="0" w:type="dxa"/>
                  <w:right w:w="108" w:type="dxa"/>
                </w:tblCellMar>
              </w:tblPrEx>
              <w:trPr>
                <w:trHeight w:val="126" w:hRule="atLeast"/>
                <w:jc w:val="center"/>
              </w:trPr>
              <w:tc>
                <w:tcPr>
                  <w:tcW w:w="554" w:type="pct"/>
                  <w:vMerge w:val="continue"/>
                  <w:shd w:val="clear" w:color="auto" w:fill="FFFFFF"/>
                  <w:vAlign w:val="center"/>
                </w:tcPr>
                <w:p>
                  <w:pPr>
                    <w:rPr>
                      <w:szCs w:val="21"/>
                    </w:rPr>
                  </w:pPr>
                </w:p>
              </w:tc>
              <w:tc>
                <w:tcPr>
                  <w:tcW w:w="745" w:type="pct"/>
                  <w:shd w:val="clear" w:color="auto" w:fill="FFFFFF"/>
                  <w:vAlign w:val="center"/>
                </w:tcPr>
                <w:p>
                  <w:pPr>
                    <w:pStyle w:val="50"/>
                    <w:widowControl w:val="0"/>
                    <w:adjustRightInd w:val="0"/>
                    <w:snapToGrid w:val="0"/>
                    <w:spacing w:before="0" w:line="240" w:lineRule="auto"/>
                    <w:ind w:firstLine="0"/>
                    <w:jc w:val="center"/>
                    <w:rPr>
                      <w:rFonts w:ascii="Times New Roman" w:hAnsi="Times New Roman"/>
                      <w:b/>
                      <w:bCs/>
                      <w:color w:val="auto"/>
                      <w:sz w:val="21"/>
                      <w:szCs w:val="21"/>
                    </w:rPr>
                  </w:pPr>
                  <w:r>
                    <w:rPr>
                      <w:rFonts w:ascii="Times New Roman" w:hAnsi="Times New Roman"/>
                      <w:b/>
                      <w:bCs/>
                      <w:color w:val="auto"/>
                      <w:sz w:val="21"/>
                      <w:szCs w:val="21"/>
                    </w:rPr>
                    <w:t>X</w:t>
                  </w:r>
                </w:p>
              </w:tc>
              <w:tc>
                <w:tcPr>
                  <w:tcW w:w="631" w:type="pct"/>
                  <w:shd w:val="clear" w:color="auto" w:fill="FFFFFF"/>
                  <w:vAlign w:val="center"/>
                </w:tcPr>
                <w:p>
                  <w:pPr>
                    <w:pStyle w:val="50"/>
                    <w:widowControl w:val="0"/>
                    <w:adjustRightInd w:val="0"/>
                    <w:snapToGrid w:val="0"/>
                    <w:spacing w:before="0" w:line="240" w:lineRule="auto"/>
                    <w:ind w:firstLine="0"/>
                    <w:jc w:val="center"/>
                    <w:rPr>
                      <w:rFonts w:ascii="Times New Roman" w:hAnsi="Times New Roman"/>
                      <w:b/>
                      <w:bCs/>
                      <w:color w:val="auto"/>
                      <w:sz w:val="21"/>
                      <w:szCs w:val="21"/>
                    </w:rPr>
                  </w:pPr>
                  <w:r>
                    <w:rPr>
                      <w:rFonts w:ascii="Times New Roman" w:hAnsi="Times New Roman"/>
                      <w:b/>
                      <w:bCs/>
                      <w:color w:val="auto"/>
                      <w:sz w:val="21"/>
                      <w:szCs w:val="21"/>
                    </w:rPr>
                    <w:t>Y</w:t>
                  </w:r>
                </w:p>
              </w:tc>
              <w:tc>
                <w:tcPr>
                  <w:tcW w:w="469" w:type="pct"/>
                  <w:vMerge w:val="continue"/>
                  <w:shd w:val="clear" w:color="auto" w:fill="FFFFFF"/>
                  <w:vAlign w:val="center"/>
                </w:tcPr>
                <w:p>
                  <w:pPr>
                    <w:rPr>
                      <w:szCs w:val="21"/>
                    </w:rPr>
                  </w:pPr>
                </w:p>
              </w:tc>
              <w:tc>
                <w:tcPr>
                  <w:tcW w:w="469" w:type="pct"/>
                  <w:vMerge w:val="continue"/>
                  <w:shd w:val="clear" w:color="auto" w:fill="FFFFFF"/>
                  <w:vAlign w:val="center"/>
                </w:tcPr>
                <w:p>
                  <w:pPr>
                    <w:rPr>
                      <w:szCs w:val="21"/>
                    </w:rPr>
                  </w:pPr>
                </w:p>
              </w:tc>
              <w:tc>
                <w:tcPr>
                  <w:tcW w:w="424" w:type="pct"/>
                  <w:vMerge w:val="continue"/>
                  <w:shd w:val="clear" w:color="auto" w:fill="FFFFFF"/>
                  <w:vAlign w:val="center"/>
                </w:tcPr>
                <w:p>
                  <w:pPr>
                    <w:rPr>
                      <w:szCs w:val="21"/>
                    </w:rPr>
                  </w:pPr>
                </w:p>
              </w:tc>
              <w:tc>
                <w:tcPr>
                  <w:tcW w:w="627" w:type="pct"/>
                  <w:vMerge w:val="continue"/>
                  <w:shd w:val="clear" w:color="auto" w:fill="FFFFFF"/>
                  <w:vAlign w:val="center"/>
                </w:tcPr>
                <w:p>
                  <w:pPr>
                    <w:rPr>
                      <w:szCs w:val="21"/>
                    </w:rPr>
                  </w:pPr>
                </w:p>
              </w:tc>
              <w:tc>
                <w:tcPr>
                  <w:tcW w:w="500" w:type="pct"/>
                  <w:vMerge w:val="continue"/>
                  <w:shd w:val="clear" w:color="auto" w:fill="FFFFFF"/>
                  <w:vAlign w:val="center"/>
                </w:tcPr>
                <w:p>
                  <w:pPr>
                    <w:rPr>
                      <w:szCs w:val="21"/>
                    </w:rPr>
                  </w:pPr>
                </w:p>
              </w:tc>
              <w:tc>
                <w:tcPr>
                  <w:tcW w:w="577" w:type="pct"/>
                  <w:vMerge w:val="continue"/>
                  <w:shd w:val="clear" w:color="auto" w:fill="FFFFFF"/>
                  <w:vAlign w:val="center"/>
                </w:tcPr>
                <w:p>
                  <w:pPr>
                    <w:rPr>
                      <w:szCs w:val="21"/>
                    </w:rPr>
                  </w:pPr>
                </w:p>
              </w:tc>
            </w:tr>
            <w:tr>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0" w:type="dxa"/>
                  <w:left w:w="108" w:type="dxa"/>
                  <w:bottom w:w="0" w:type="dxa"/>
                  <w:right w:w="108" w:type="dxa"/>
                </w:tblCellMar>
              </w:tblPrEx>
              <w:trPr>
                <w:trHeight w:val="717" w:hRule="atLeast"/>
                <w:jc w:val="center"/>
              </w:trPr>
              <w:tc>
                <w:tcPr>
                  <w:tcW w:w="554" w:type="pct"/>
                  <w:shd w:val="clear" w:color="auto" w:fill="FFFFFF"/>
                  <w:vAlign w:val="center"/>
                </w:tcPr>
                <w:p>
                  <w:pPr>
                    <w:pStyle w:val="50"/>
                    <w:widowControl w:val="0"/>
                    <w:adjustRightInd w:val="0"/>
                    <w:snapToGrid w:val="0"/>
                    <w:spacing w:before="0" w:line="240" w:lineRule="auto"/>
                    <w:ind w:firstLine="0" w:firstLineChars="0"/>
                    <w:jc w:val="center"/>
                    <w:rPr>
                      <w:rFonts w:hint="eastAsia" w:ascii="Times New Roman" w:hAnsi="Times New Roman" w:eastAsia="宋体" w:cs="Times New Roman"/>
                      <w:color w:val="auto"/>
                      <w:spacing w:val="0"/>
                      <w:kern w:val="2"/>
                      <w:sz w:val="21"/>
                      <w:szCs w:val="22"/>
                      <w:lang w:val="en-US" w:eastAsia="zh-CN" w:bidi="ar-SA"/>
                    </w:rPr>
                  </w:pPr>
                  <w:r>
                    <w:rPr>
                      <w:rFonts w:hint="eastAsia" w:ascii="Times New Roman" w:hAnsi="Times New Roman" w:eastAsia="宋体" w:cs="Times New Roman"/>
                      <w:color w:val="auto"/>
                      <w:spacing w:val="0"/>
                      <w:kern w:val="2"/>
                      <w:sz w:val="21"/>
                      <w:szCs w:val="22"/>
                      <w:lang w:val="en-US" w:eastAsia="zh-CN" w:bidi="ar-SA"/>
                    </w:rPr>
                    <w:t>香格里拉山庄</w:t>
                  </w:r>
                </w:p>
              </w:tc>
              <w:tc>
                <w:tcPr>
                  <w:tcW w:w="745" w:type="pct"/>
                  <w:shd w:val="clear" w:color="auto" w:fill="FFFFFF"/>
                  <w:vAlign w:val="center"/>
                </w:tcPr>
                <w:p>
                  <w:pPr>
                    <w:jc w:val="center"/>
                    <w:rPr>
                      <w:rFonts w:hint="eastAsia" w:ascii="Times New Roman" w:hAnsi="Times New Roman" w:eastAsia="宋体" w:cs="Times New Roman"/>
                      <w:color w:val="auto"/>
                      <w:spacing w:val="0"/>
                      <w:kern w:val="2"/>
                      <w:sz w:val="21"/>
                      <w:szCs w:val="22"/>
                      <w:lang w:val="en-US" w:eastAsia="zh-CN" w:bidi="ar-SA"/>
                    </w:rPr>
                  </w:pPr>
                  <w:r>
                    <w:rPr>
                      <w:rFonts w:hint="eastAsia" w:ascii="Times New Roman" w:hAnsi="Times New Roman" w:eastAsia="宋体" w:cs="Times New Roman"/>
                      <w:color w:val="auto"/>
                      <w:spacing w:val="0"/>
                      <w:kern w:val="2"/>
                      <w:sz w:val="21"/>
                      <w:szCs w:val="22"/>
                      <w:lang w:val="en-US" w:eastAsia="zh-CN" w:bidi="ar-SA"/>
                    </w:rPr>
                    <w:t>119.6426</w:t>
                  </w:r>
                </w:p>
              </w:tc>
              <w:tc>
                <w:tcPr>
                  <w:tcW w:w="631" w:type="pct"/>
                  <w:shd w:val="clear" w:color="auto" w:fill="FFFFFF"/>
                  <w:vAlign w:val="center"/>
                </w:tcPr>
                <w:p>
                  <w:pPr>
                    <w:jc w:val="center"/>
                    <w:rPr>
                      <w:rFonts w:hint="eastAsia" w:ascii="Times New Roman" w:hAnsi="Times New Roman" w:eastAsia="宋体" w:cs="Times New Roman"/>
                      <w:color w:val="auto"/>
                      <w:spacing w:val="0"/>
                      <w:kern w:val="2"/>
                      <w:sz w:val="21"/>
                      <w:szCs w:val="22"/>
                      <w:lang w:val="en-US" w:eastAsia="zh-CN" w:bidi="ar-SA"/>
                    </w:rPr>
                  </w:pPr>
                  <w:r>
                    <w:rPr>
                      <w:rFonts w:hint="eastAsia" w:ascii="Times New Roman" w:hAnsi="Times New Roman" w:eastAsia="宋体" w:cs="Times New Roman"/>
                      <w:color w:val="auto"/>
                      <w:spacing w:val="0"/>
                      <w:kern w:val="2"/>
                      <w:sz w:val="21"/>
                      <w:szCs w:val="22"/>
                      <w:lang w:val="en-US" w:eastAsia="zh-CN" w:bidi="ar-SA"/>
                    </w:rPr>
                    <w:t>31.7560</w:t>
                  </w:r>
                </w:p>
              </w:tc>
              <w:tc>
                <w:tcPr>
                  <w:tcW w:w="469" w:type="pct"/>
                  <w:shd w:val="clear" w:color="auto" w:fill="FFFFFF"/>
                  <w:vAlign w:val="center"/>
                </w:tcPr>
                <w:p>
                  <w:pPr>
                    <w:jc w:val="center"/>
                    <w:rPr>
                      <w:rFonts w:hint="eastAsia" w:ascii="Times New Roman" w:hAnsi="Times New Roman" w:eastAsia="宋体" w:cs="Times New Roman"/>
                      <w:color w:val="auto"/>
                      <w:spacing w:val="0"/>
                      <w:kern w:val="2"/>
                      <w:sz w:val="21"/>
                      <w:szCs w:val="22"/>
                      <w:lang w:val="en-US" w:eastAsia="zh-CN" w:bidi="ar-SA"/>
                    </w:rPr>
                  </w:pPr>
                  <w:r>
                    <w:rPr>
                      <w:rFonts w:hint="eastAsia" w:ascii="Times New Roman" w:hAnsi="Times New Roman" w:eastAsia="宋体" w:cs="Times New Roman"/>
                      <w:color w:val="auto"/>
                      <w:spacing w:val="0"/>
                      <w:kern w:val="2"/>
                      <w:sz w:val="21"/>
                      <w:szCs w:val="22"/>
                      <w:lang w:val="en-US" w:eastAsia="zh-CN" w:bidi="ar-SA"/>
                    </w:rPr>
                    <w:t>居住区</w:t>
                  </w:r>
                </w:p>
              </w:tc>
              <w:tc>
                <w:tcPr>
                  <w:tcW w:w="469" w:type="pct"/>
                  <w:shd w:val="clear" w:color="auto" w:fill="FFFFFF"/>
                  <w:vAlign w:val="center"/>
                </w:tcPr>
                <w:p>
                  <w:pPr>
                    <w:pStyle w:val="50"/>
                    <w:widowControl w:val="0"/>
                    <w:adjustRightInd w:val="0"/>
                    <w:snapToGrid w:val="0"/>
                    <w:spacing w:before="0" w:line="240" w:lineRule="auto"/>
                    <w:ind w:firstLine="0" w:firstLineChars="0"/>
                    <w:jc w:val="center"/>
                    <w:rPr>
                      <w:rFonts w:hint="eastAsia" w:ascii="Times New Roman" w:hAnsi="Times New Roman" w:eastAsia="宋体" w:cs="Times New Roman"/>
                      <w:color w:val="auto"/>
                      <w:spacing w:val="0"/>
                      <w:kern w:val="2"/>
                      <w:sz w:val="21"/>
                      <w:szCs w:val="22"/>
                      <w:lang w:val="en-US" w:eastAsia="zh-CN" w:bidi="ar-SA"/>
                    </w:rPr>
                  </w:pPr>
                  <w:r>
                    <w:rPr>
                      <w:rFonts w:hint="eastAsia" w:ascii="Times New Roman" w:hAnsi="Times New Roman" w:eastAsia="宋体" w:cs="Times New Roman"/>
                      <w:color w:val="auto"/>
                      <w:spacing w:val="0"/>
                      <w:kern w:val="2"/>
                      <w:sz w:val="21"/>
                      <w:szCs w:val="22"/>
                      <w:lang w:val="en-US" w:eastAsia="zh-CN" w:bidi="ar-SA"/>
                    </w:rPr>
                    <w:t>人群</w:t>
                  </w:r>
                </w:p>
              </w:tc>
              <w:tc>
                <w:tcPr>
                  <w:tcW w:w="424" w:type="pct"/>
                  <w:shd w:val="clear" w:color="auto" w:fill="FFFFFF"/>
                  <w:vAlign w:val="center"/>
                </w:tcPr>
                <w:p>
                  <w:pPr>
                    <w:pStyle w:val="50"/>
                    <w:widowControl w:val="0"/>
                    <w:adjustRightInd w:val="0"/>
                    <w:snapToGrid w:val="0"/>
                    <w:spacing w:before="0" w:line="240" w:lineRule="auto"/>
                    <w:ind w:firstLine="0" w:firstLineChars="0"/>
                    <w:jc w:val="center"/>
                    <w:rPr>
                      <w:rFonts w:hint="eastAsia" w:ascii="Times New Roman" w:hAnsi="Times New Roman" w:eastAsia="宋体" w:cs="Times New Roman"/>
                      <w:color w:val="auto"/>
                      <w:spacing w:val="0"/>
                      <w:kern w:val="2"/>
                      <w:sz w:val="21"/>
                      <w:szCs w:val="22"/>
                      <w:lang w:val="en-US" w:eastAsia="zh-CN" w:bidi="ar-SA"/>
                    </w:rPr>
                  </w:pPr>
                  <w:r>
                    <w:rPr>
                      <w:rFonts w:hint="eastAsia" w:ascii="Times New Roman" w:hAnsi="Times New Roman" w:eastAsia="宋体" w:cs="Times New Roman"/>
                      <w:color w:val="auto"/>
                      <w:spacing w:val="0"/>
                      <w:kern w:val="2"/>
                      <w:sz w:val="21"/>
                      <w:szCs w:val="22"/>
                      <w:lang w:val="en-US" w:eastAsia="zh-CN" w:bidi="ar-SA"/>
                    </w:rPr>
                    <w:t>3000</w:t>
                  </w:r>
                </w:p>
              </w:tc>
              <w:tc>
                <w:tcPr>
                  <w:tcW w:w="627" w:type="pct"/>
                  <w:shd w:val="clear" w:color="auto" w:fill="FFFFFF"/>
                  <w:vAlign w:val="center"/>
                </w:tcPr>
                <w:p>
                  <w:pPr>
                    <w:jc w:val="center"/>
                    <w:rPr>
                      <w:rFonts w:hint="eastAsia" w:ascii="Times New Roman" w:hAnsi="Times New Roman" w:eastAsia="宋体" w:cs="Times New Roman"/>
                      <w:color w:val="auto"/>
                      <w:spacing w:val="0"/>
                      <w:kern w:val="2"/>
                      <w:sz w:val="21"/>
                      <w:szCs w:val="22"/>
                      <w:lang w:val="en-US" w:eastAsia="zh-CN" w:bidi="ar-SA"/>
                    </w:rPr>
                  </w:pPr>
                  <w:r>
                    <w:rPr>
                      <w:rFonts w:hint="eastAsia" w:ascii="Times New Roman" w:hAnsi="Times New Roman" w:eastAsia="宋体" w:cs="Times New Roman"/>
                      <w:color w:val="auto"/>
                      <w:spacing w:val="0"/>
                      <w:kern w:val="2"/>
                      <w:sz w:val="21"/>
                      <w:szCs w:val="22"/>
                      <w:lang w:val="en-US" w:eastAsia="zh-CN" w:bidi="ar-SA"/>
                    </w:rPr>
                    <w:t>二类区</w:t>
                  </w:r>
                </w:p>
              </w:tc>
              <w:tc>
                <w:tcPr>
                  <w:tcW w:w="500" w:type="pct"/>
                  <w:shd w:val="clear" w:color="auto" w:fill="FFFFFF"/>
                  <w:vAlign w:val="center"/>
                </w:tcPr>
                <w:p>
                  <w:pPr>
                    <w:widowControl w:val="0"/>
                    <w:adjustRightInd w:val="0"/>
                    <w:snapToGrid w:val="0"/>
                    <w:spacing w:before="0" w:line="240" w:lineRule="auto"/>
                    <w:ind w:firstLine="0" w:firstLineChars="0"/>
                    <w:jc w:val="center"/>
                    <w:rPr>
                      <w:rFonts w:hint="eastAsia" w:ascii="Times New Roman" w:hAnsi="Times New Roman" w:eastAsia="宋体" w:cs="Times New Roman"/>
                      <w:color w:val="auto"/>
                      <w:spacing w:val="0"/>
                      <w:kern w:val="2"/>
                      <w:sz w:val="21"/>
                      <w:szCs w:val="22"/>
                      <w:lang w:val="en-US" w:eastAsia="zh-CN" w:bidi="ar-SA"/>
                    </w:rPr>
                  </w:pPr>
                  <w:r>
                    <w:rPr>
                      <w:rFonts w:hint="eastAsia" w:ascii="Times New Roman" w:hAnsi="Times New Roman" w:cs="Times New Roman"/>
                      <w:color w:val="auto"/>
                      <w:spacing w:val="0"/>
                      <w:kern w:val="2"/>
                      <w:sz w:val="21"/>
                      <w:szCs w:val="22"/>
                      <w:lang w:val="en-US" w:eastAsia="zh-CN" w:bidi="ar-SA"/>
                    </w:rPr>
                    <w:t>E</w:t>
                  </w:r>
                </w:p>
              </w:tc>
              <w:tc>
                <w:tcPr>
                  <w:tcW w:w="577" w:type="pct"/>
                  <w:shd w:val="clear" w:color="auto" w:fill="FFFFFF"/>
                  <w:vAlign w:val="center"/>
                </w:tcPr>
                <w:p>
                  <w:pPr>
                    <w:pStyle w:val="50"/>
                    <w:widowControl w:val="0"/>
                    <w:adjustRightInd w:val="0"/>
                    <w:snapToGrid w:val="0"/>
                    <w:spacing w:before="0" w:line="240" w:lineRule="auto"/>
                    <w:ind w:firstLine="0" w:firstLineChars="0"/>
                    <w:jc w:val="center"/>
                    <w:rPr>
                      <w:rFonts w:hint="default" w:ascii="Times New Roman" w:hAnsi="Times New Roman" w:eastAsia="宋体" w:cs="Times New Roman"/>
                      <w:color w:val="auto"/>
                      <w:spacing w:val="0"/>
                      <w:kern w:val="2"/>
                      <w:sz w:val="21"/>
                      <w:szCs w:val="22"/>
                      <w:lang w:val="en-US" w:eastAsia="zh-CN" w:bidi="ar-SA"/>
                    </w:rPr>
                  </w:pPr>
                  <w:r>
                    <w:rPr>
                      <w:rFonts w:hint="eastAsia" w:ascii="Times New Roman" w:hAnsi="Times New Roman" w:cs="Times New Roman"/>
                      <w:color w:val="auto"/>
                      <w:spacing w:val="0"/>
                      <w:kern w:val="2"/>
                      <w:sz w:val="21"/>
                      <w:szCs w:val="22"/>
                      <w:lang w:val="en-US" w:eastAsia="zh-CN" w:bidi="ar-SA"/>
                    </w:rPr>
                    <w:t>650</w:t>
                  </w:r>
                </w:p>
              </w:tc>
            </w:tr>
            <w:tr>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0" w:type="dxa"/>
                  <w:left w:w="108" w:type="dxa"/>
                  <w:bottom w:w="0" w:type="dxa"/>
                  <w:right w:w="108" w:type="dxa"/>
                </w:tblCellMar>
              </w:tblPrEx>
              <w:trPr>
                <w:trHeight w:val="941" w:hRule="atLeast"/>
                <w:jc w:val="center"/>
              </w:trPr>
              <w:tc>
                <w:tcPr>
                  <w:tcW w:w="554" w:type="pct"/>
                  <w:shd w:val="clear" w:color="auto" w:fill="FFFFFF"/>
                  <w:vAlign w:val="center"/>
                </w:tcPr>
                <w:p>
                  <w:pPr>
                    <w:pStyle w:val="50"/>
                    <w:widowControl w:val="0"/>
                    <w:adjustRightInd w:val="0"/>
                    <w:snapToGrid w:val="0"/>
                    <w:spacing w:before="0" w:line="240" w:lineRule="auto"/>
                    <w:ind w:firstLine="0" w:firstLineChars="0"/>
                    <w:jc w:val="center"/>
                    <w:rPr>
                      <w:rFonts w:hint="eastAsia" w:ascii="Times New Roman" w:hAnsi="Times New Roman" w:eastAsia="宋体" w:cs="Times New Roman"/>
                      <w:color w:val="auto"/>
                      <w:spacing w:val="0"/>
                      <w:kern w:val="2"/>
                      <w:sz w:val="21"/>
                      <w:szCs w:val="22"/>
                      <w:lang w:val="en-US" w:eastAsia="zh-CN" w:bidi="ar-SA"/>
                    </w:rPr>
                  </w:pPr>
                  <w:r>
                    <w:rPr>
                      <w:rFonts w:hint="eastAsia" w:ascii="Times New Roman" w:hAnsi="Times New Roman" w:eastAsia="宋体" w:cs="Times New Roman"/>
                      <w:color w:val="auto"/>
                      <w:spacing w:val="0"/>
                      <w:kern w:val="2"/>
                      <w:sz w:val="21"/>
                      <w:szCs w:val="22"/>
                      <w:lang w:val="en-US" w:eastAsia="zh-CN" w:bidi="ar-SA"/>
                    </w:rPr>
                    <w:t>半岛珑庭</w:t>
                  </w:r>
                </w:p>
              </w:tc>
              <w:tc>
                <w:tcPr>
                  <w:tcW w:w="745" w:type="pct"/>
                  <w:shd w:val="clear" w:color="auto" w:fill="FFFFFF"/>
                  <w:vAlign w:val="center"/>
                </w:tcPr>
                <w:p>
                  <w:pPr>
                    <w:pStyle w:val="50"/>
                    <w:widowControl w:val="0"/>
                    <w:adjustRightInd w:val="0"/>
                    <w:snapToGrid w:val="0"/>
                    <w:spacing w:before="0" w:line="240" w:lineRule="auto"/>
                    <w:ind w:firstLine="0" w:firstLineChars="0"/>
                    <w:jc w:val="center"/>
                    <w:rPr>
                      <w:rFonts w:hint="eastAsia" w:ascii="Times New Roman" w:hAnsi="Times New Roman" w:eastAsia="宋体" w:cs="Times New Roman"/>
                      <w:color w:val="auto"/>
                      <w:spacing w:val="0"/>
                      <w:kern w:val="2"/>
                      <w:sz w:val="21"/>
                      <w:szCs w:val="22"/>
                      <w:lang w:val="en-US" w:eastAsia="zh-CN" w:bidi="ar-SA"/>
                    </w:rPr>
                  </w:pPr>
                  <w:r>
                    <w:rPr>
                      <w:rFonts w:hint="eastAsia" w:ascii="Times New Roman" w:hAnsi="Times New Roman" w:eastAsia="宋体" w:cs="Times New Roman"/>
                      <w:color w:val="auto"/>
                      <w:spacing w:val="0"/>
                      <w:kern w:val="2"/>
                      <w:sz w:val="21"/>
                      <w:szCs w:val="22"/>
                      <w:lang w:val="en-US" w:eastAsia="zh-CN" w:bidi="ar-SA"/>
                    </w:rPr>
                    <w:t>119.6362</w:t>
                  </w:r>
                </w:p>
              </w:tc>
              <w:tc>
                <w:tcPr>
                  <w:tcW w:w="631" w:type="pct"/>
                  <w:shd w:val="clear" w:color="auto" w:fill="FFFFFF"/>
                  <w:vAlign w:val="center"/>
                </w:tcPr>
                <w:p>
                  <w:pPr>
                    <w:pStyle w:val="50"/>
                    <w:widowControl w:val="0"/>
                    <w:adjustRightInd w:val="0"/>
                    <w:snapToGrid w:val="0"/>
                    <w:spacing w:before="0" w:line="240" w:lineRule="auto"/>
                    <w:ind w:firstLine="0" w:firstLineChars="0"/>
                    <w:jc w:val="center"/>
                    <w:rPr>
                      <w:rFonts w:hint="eastAsia" w:ascii="Times New Roman" w:hAnsi="Times New Roman" w:eastAsia="宋体" w:cs="Times New Roman"/>
                      <w:color w:val="auto"/>
                      <w:spacing w:val="0"/>
                      <w:kern w:val="2"/>
                      <w:sz w:val="21"/>
                      <w:szCs w:val="22"/>
                      <w:lang w:val="en-US" w:eastAsia="zh-CN" w:bidi="ar-SA"/>
                    </w:rPr>
                  </w:pPr>
                  <w:r>
                    <w:rPr>
                      <w:rFonts w:hint="eastAsia" w:ascii="Times New Roman" w:hAnsi="Times New Roman" w:eastAsia="宋体" w:cs="Times New Roman"/>
                      <w:color w:val="auto"/>
                      <w:spacing w:val="0"/>
                      <w:kern w:val="2"/>
                      <w:sz w:val="21"/>
                      <w:szCs w:val="22"/>
                      <w:lang w:val="en-US" w:eastAsia="zh-CN" w:bidi="ar-SA"/>
                    </w:rPr>
                    <w:t>31.7542</w:t>
                  </w:r>
                </w:p>
              </w:tc>
              <w:tc>
                <w:tcPr>
                  <w:tcW w:w="469" w:type="pct"/>
                  <w:shd w:val="clear" w:color="auto" w:fill="FFFFFF"/>
                  <w:vAlign w:val="center"/>
                </w:tcPr>
                <w:p>
                  <w:pPr>
                    <w:jc w:val="center"/>
                    <w:rPr>
                      <w:rFonts w:hint="eastAsia" w:ascii="Times New Roman" w:hAnsi="Times New Roman" w:eastAsia="宋体" w:cs="Times New Roman"/>
                      <w:color w:val="auto"/>
                      <w:spacing w:val="0"/>
                      <w:kern w:val="2"/>
                      <w:sz w:val="21"/>
                      <w:szCs w:val="22"/>
                      <w:lang w:val="en-US" w:eastAsia="zh-CN" w:bidi="ar-SA"/>
                    </w:rPr>
                  </w:pPr>
                  <w:r>
                    <w:rPr>
                      <w:rFonts w:hint="eastAsia" w:ascii="Times New Roman" w:hAnsi="Times New Roman" w:eastAsia="宋体" w:cs="Times New Roman"/>
                      <w:color w:val="auto"/>
                      <w:spacing w:val="0"/>
                      <w:kern w:val="2"/>
                      <w:sz w:val="21"/>
                      <w:szCs w:val="22"/>
                      <w:lang w:val="en-US" w:eastAsia="zh-CN" w:bidi="ar-SA"/>
                    </w:rPr>
                    <w:t>居住区</w:t>
                  </w:r>
                </w:p>
              </w:tc>
              <w:tc>
                <w:tcPr>
                  <w:tcW w:w="469" w:type="pct"/>
                  <w:shd w:val="clear" w:color="auto" w:fill="FFFFFF"/>
                  <w:vAlign w:val="center"/>
                </w:tcPr>
                <w:p>
                  <w:pPr>
                    <w:pStyle w:val="50"/>
                    <w:widowControl w:val="0"/>
                    <w:adjustRightInd w:val="0"/>
                    <w:snapToGrid w:val="0"/>
                    <w:spacing w:before="0" w:line="240" w:lineRule="auto"/>
                    <w:ind w:firstLine="0" w:firstLineChars="0"/>
                    <w:jc w:val="center"/>
                    <w:rPr>
                      <w:rFonts w:hint="eastAsia" w:ascii="Times New Roman" w:hAnsi="Times New Roman" w:eastAsia="宋体" w:cs="Times New Roman"/>
                      <w:color w:val="auto"/>
                      <w:spacing w:val="0"/>
                      <w:kern w:val="2"/>
                      <w:sz w:val="21"/>
                      <w:szCs w:val="22"/>
                      <w:lang w:val="en-US" w:eastAsia="zh-CN" w:bidi="ar-SA"/>
                    </w:rPr>
                  </w:pPr>
                  <w:r>
                    <w:rPr>
                      <w:rFonts w:hint="eastAsia" w:ascii="Times New Roman" w:hAnsi="Times New Roman" w:eastAsia="宋体" w:cs="Times New Roman"/>
                      <w:color w:val="auto"/>
                      <w:spacing w:val="0"/>
                      <w:kern w:val="2"/>
                      <w:sz w:val="21"/>
                      <w:szCs w:val="22"/>
                      <w:lang w:val="en-US" w:eastAsia="zh-CN" w:bidi="ar-SA"/>
                    </w:rPr>
                    <w:t>人群</w:t>
                  </w:r>
                </w:p>
              </w:tc>
              <w:tc>
                <w:tcPr>
                  <w:tcW w:w="424" w:type="pct"/>
                  <w:shd w:val="clear" w:color="auto" w:fill="FFFFFF"/>
                  <w:vAlign w:val="center"/>
                </w:tcPr>
                <w:p>
                  <w:pPr>
                    <w:pStyle w:val="50"/>
                    <w:widowControl w:val="0"/>
                    <w:adjustRightInd w:val="0"/>
                    <w:snapToGrid w:val="0"/>
                    <w:spacing w:before="0" w:line="240" w:lineRule="auto"/>
                    <w:ind w:firstLine="0" w:firstLineChars="0"/>
                    <w:jc w:val="center"/>
                    <w:rPr>
                      <w:rFonts w:hint="eastAsia" w:ascii="Times New Roman" w:hAnsi="Times New Roman" w:eastAsia="宋体" w:cs="Times New Roman"/>
                      <w:color w:val="auto"/>
                      <w:spacing w:val="0"/>
                      <w:kern w:val="2"/>
                      <w:sz w:val="21"/>
                      <w:szCs w:val="22"/>
                      <w:lang w:val="en-US" w:eastAsia="zh-CN" w:bidi="ar-SA"/>
                    </w:rPr>
                  </w:pPr>
                  <w:r>
                    <w:rPr>
                      <w:rFonts w:hint="eastAsia" w:ascii="Times New Roman" w:hAnsi="Times New Roman" w:eastAsia="宋体" w:cs="Times New Roman"/>
                      <w:color w:val="auto"/>
                      <w:spacing w:val="0"/>
                      <w:kern w:val="2"/>
                      <w:sz w:val="21"/>
                      <w:szCs w:val="22"/>
                      <w:lang w:val="en-US" w:eastAsia="zh-CN" w:bidi="ar-SA"/>
                    </w:rPr>
                    <w:t>3000</w:t>
                  </w:r>
                </w:p>
              </w:tc>
              <w:tc>
                <w:tcPr>
                  <w:tcW w:w="627" w:type="pct"/>
                  <w:shd w:val="clear" w:color="auto" w:fill="FFFFFF"/>
                  <w:vAlign w:val="center"/>
                </w:tcPr>
                <w:p>
                  <w:pPr>
                    <w:jc w:val="center"/>
                    <w:rPr>
                      <w:rFonts w:hint="eastAsia" w:ascii="Times New Roman" w:hAnsi="Times New Roman" w:eastAsia="宋体" w:cs="Times New Roman"/>
                      <w:color w:val="auto"/>
                      <w:spacing w:val="0"/>
                      <w:kern w:val="2"/>
                      <w:sz w:val="21"/>
                      <w:szCs w:val="22"/>
                      <w:lang w:val="en-US" w:eastAsia="zh-CN" w:bidi="ar-SA"/>
                    </w:rPr>
                  </w:pPr>
                  <w:r>
                    <w:rPr>
                      <w:rFonts w:hint="eastAsia" w:ascii="Times New Roman" w:hAnsi="Times New Roman" w:eastAsia="宋体" w:cs="Times New Roman"/>
                      <w:color w:val="auto"/>
                      <w:spacing w:val="0"/>
                      <w:kern w:val="2"/>
                      <w:sz w:val="21"/>
                      <w:szCs w:val="22"/>
                      <w:lang w:val="en-US" w:eastAsia="zh-CN" w:bidi="ar-SA"/>
                    </w:rPr>
                    <w:t>二类区</w:t>
                  </w:r>
                </w:p>
              </w:tc>
              <w:tc>
                <w:tcPr>
                  <w:tcW w:w="500" w:type="pct"/>
                  <w:shd w:val="clear" w:color="auto" w:fill="FFFFFF"/>
                  <w:vAlign w:val="center"/>
                </w:tcPr>
                <w:p>
                  <w:pPr>
                    <w:widowControl w:val="0"/>
                    <w:adjustRightInd w:val="0"/>
                    <w:snapToGrid w:val="0"/>
                    <w:spacing w:before="0" w:line="240" w:lineRule="auto"/>
                    <w:ind w:firstLine="0" w:firstLineChars="0"/>
                    <w:jc w:val="center"/>
                    <w:rPr>
                      <w:rFonts w:hint="eastAsia" w:ascii="Times New Roman" w:hAnsi="Times New Roman" w:eastAsia="宋体" w:cs="Times New Roman"/>
                      <w:color w:val="auto"/>
                      <w:spacing w:val="0"/>
                      <w:kern w:val="2"/>
                      <w:sz w:val="21"/>
                      <w:szCs w:val="22"/>
                      <w:lang w:val="en-US" w:eastAsia="zh-CN" w:bidi="ar-SA"/>
                    </w:rPr>
                  </w:pPr>
                  <w:r>
                    <w:rPr>
                      <w:rFonts w:hint="eastAsia" w:ascii="Times New Roman" w:hAnsi="Times New Roman" w:cs="Times New Roman"/>
                      <w:color w:val="auto"/>
                      <w:spacing w:val="0"/>
                      <w:kern w:val="2"/>
                      <w:sz w:val="21"/>
                      <w:szCs w:val="22"/>
                      <w:lang w:val="en-US" w:eastAsia="zh-CN" w:bidi="ar-SA"/>
                    </w:rPr>
                    <w:t>E</w:t>
                  </w:r>
                </w:p>
              </w:tc>
              <w:tc>
                <w:tcPr>
                  <w:tcW w:w="577" w:type="pct"/>
                  <w:shd w:val="clear" w:color="auto" w:fill="FFFFFF"/>
                  <w:vAlign w:val="center"/>
                </w:tcPr>
                <w:p>
                  <w:pPr>
                    <w:pStyle w:val="50"/>
                    <w:widowControl w:val="0"/>
                    <w:adjustRightInd w:val="0"/>
                    <w:snapToGrid w:val="0"/>
                    <w:spacing w:before="0" w:line="240" w:lineRule="auto"/>
                    <w:ind w:firstLine="0" w:firstLineChars="0"/>
                    <w:jc w:val="center"/>
                    <w:rPr>
                      <w:rFonts w:hint="default" w:ascii="Times New Roman" w:hAnsi="Times New Roman" w:eastAsia="宋体" w:cs="Times New Roman"/>
                      <w:color w:val="auto"/>
                      <w:spacing w:val="0"/>
                      <w:kern w:val="2"/>
                      <w:sz w:val="21"/>
                      <w:szCs w:val="22"/>
                      <w:lang w:val="en-US" w:eastAsia="zh-CN" w:bidi="ar-SA"/>
                    </w:rPr>
                  </w:pPr>
                  <w:r>
                    <w:rPr>
                      <w:rFonts w:hint="eastAsia" w:ascii="Times New Roman" w:hAnsi="Times New Roman" w:cs="Times New Roman"/>
                      <w:color w:val="auto"/>
                      <w:spacing w:val="0"/>
                      <w:kern w:val="2"/>
                      <w:sz w:val="21"/>
                      <w:szCs w:val="22"/>
                      <w:lang w:val="en-US" w:eastAsia="zh-CN" w:bidi="ar-SA"/>
                    </w:rPr>
                    <w:t>100</w:t>
                  </w:r>
                </w:p>
              </w:tc>
            </w:tr>
            <w:tr>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0" w:type="dxa"/>
                  <w:left w:w="108" w:type="dxa"/>
                  <w:bottom w:w="0" w:type="dxa"/>
                  <w:right w:w="108" w:type="dxa"/>
                </w:tblCellMar>
              </w:tblPrEx>
              <w:trPr>
                <w:trHeight w:val="717" w:hRule="atLeast"/>
                <w:jc w:val="center"/>
              </w:trPr>
              <w:tc>
                <w:tcPr>
                  <w:tcW w:w="554" w:type="pct"/>
                  <w:shd w:val="clear" w:color="auto" w:fill="FFFFFF"/>
                  <w:vAlign w:val="center"/>
                </w:tcPr>
                <w:p>
                  <w:pPr>
                    <w:pStyle w:val="50"/>
                    <w:widowControl w:val="0"/>
                    <w:adjustRightInd w:val="0"/>
                    <w:snapToGrid w:val="0"/>
                    <w:spacing w:before="0" w:line="240" w:lineRule="auto"/>
                    <w:ind w:firstLine="0"/>
                    <w:jc w:val="center"/>
                    <w:rPr>
                      <w:rFonts w:hint="eastAsia" w:ascii="Times New Roman" w:hAnsi="Times New Roman" w:eastAsia="宋体"/>
                      <w:color w:val="auto"/>
                      <w:sz w:val="21"/>
                      <w:szCs w:val="21"/>
                      <w:lang w:eastAsia="zh-CN"/>
                    </w:rPr>
                  </w:pPr>
                  <w:r>
                    <w:rPr>
                      <w:rFonts w:hint="eastAsia" w:ascii="Times New Roman" w:hAnsi="Times New Roman"/>
                      <w:color w:val="auto"/>
                      <w:sz w:val="21"/>
                      <w:szCs w:val="21"/>
                      <w:lang w:eastAsia="zh-CN"/>
                    </w:rPr>
                    <w:t>中塘社区</w:t>
                  </w:r>
                </w:p>
              </w:tc>
              <w:tc>
                <w:tcPr>
                  <w:tcW w:w="745" w:type="pct"/>
                  <w:shd w:val="clear" w:color="auto" w:fill="FFFFFF"/>
                  <w:vAlign w:val="center"/>
                </w:tcPr>
                <w:p>
                  <w:pPr>
                    <w:jc w:val="center"/>
                    <w:rPr>
                      <w:rFonts w:hint="eastAsia" w:ascii="Times New Roman" w:hAnsi="Times New Roman" w:eastAsia="宋体" w:cs="Times New Roman"/>
                      <w:color w:val="auto"/>
                      <w:kern w:val="2"/>
                      <w:sz w:val="21"/>
                      <w:szCs w:val="21"/>
                      <w:lang w:val="en-US" w:eastAsia="zh-CN" w:bidi="ar-SA"/>
                    </w:rPr>
                  </w:pPr>
                  <w:r>
                    <w:rPr>
                      <w:rFonts w:hint="eastAsia"/>
                      <w:color w:val="auto"/>
                      <w:szCs w:val="21"/>
                    </w:rPr>
                    <w:t>119.6284</w:t>
                  </w:r>
                </w:p>
              </w:tc>
              <w:tc>
                <w:tcPr>
                  <w:tcW w:w="631" w:type="pct"/>
                  <w:shd w:val="clear" w:color="auto" w:fill="FFFFFF"/>
                  <w:vAlign w:val="center"/>
                </w:tcPr>
                <w:p>
                  <w:pPr>
                    <w:jc w:val="center"/>
                    <w:rPr>
                      <w:rFonts w:hint="eastAsia" w:ascii="Times New Roman" w:hAnsi="Times New Roman" w:eastAsia="宋体" w:cs="Times New Roman"/>
                      <w:color w:val="auto"/>
                      <w:kern w:val="2"/>
                      <w:sz w:val="21"/>
                      <w:szCs w:val="21"/>
                      <w:lang w:val="en-US" w:eastAsia="zh-CN" w:bidi="ar-SA"/>
                    </w:rPr>
                  </w:pPr>
                  <w:r>
                    <w:rPr>
                      <w:rFonts w:hint="eastAsia"/>
                      <w:color w:val="auto"/>
                      <w:szCs w:val="21"/>
                    </w:rPr>
                    <w:t>31.7607</w:t>
                  </w:r>
                </w:p>
              </w:tc>
              <w:tc>
                <w:tcPr>
                  <w:tcW w:w="469" w:type="pct"/>
                  <w:shd w:val="clear" w:color="auto" w:fill="FFFFFF"/>
                  <w:vAlign w:val="center"/>
                </w:tcPr>
                <w:p>
                  <w:pPr>
                    <w:jc w:val="center"/>
                    <w:rPr>
                      <w:color w:val="auto"/>
                      <w:szCs w:val="21"/>
                    </w:rPr>
                  </w:pPr>
                  <w:r>
                    <w:rPr>
                      <w:rFonts w:hint="eastAsia" w:ascii="Times New Roman" w:hAnsi="Times New Roman" w:eastAsia="宋体" w:cs="Times New Roman"/>
                      <w:color w:val="auto"/>
                      <w:spacing w:val="0"/>
                      <w:kern w:val="2"/>
                      <w:sz w:val="21"/>
                      <w:szCs w:val="22"/>
                      <w:lang w:val="en-US" w:eastAsia="zh-CN" w:bidi="ar-SA"/>
                    </w:rPr>
                    <w:t>居住区</w:t>
                  </w:r>
                </w:p>
              </w:tc>
              <w:tc>
                <w:tcPr>
                  <w:tcW w:w="469" w:type="pct"/>
                  <w:shd w:val="clear" w:color="auto" w:fill="FFFFFF"/>
                  <w:vAlign w:val="center"/>
                </w:tcPr>
                <w:p>
                  <w:pPr>
                    <w:pStyle w:val="50"/>
                    <w:widowControl w:val="0"/>
                    <w:adjustRightInd w:val="0"/>
                    <w:snapToGrid w:val="0"/>
                    <w:spacing w:before="0" w:line="240" w:lineRule="auto"/>
                    <w:ind w:firstLine="0" w:firstLineChars="0"/>
                    <w:jc w:val="center"/>
                    <w:rPr>
                      <w:rFonts w:ascii="Times New Roman" w:hAnsi="Times New Roman"/>
                      <w:color w:val="auto"/>
                      <w:sz w:val="21"/>
                      <w:szCs w:val="21"/>
                    </w:rPr>
                  </w:pPr>
                  <w:r>
                    <w:rPr>
                      <w:rFonts w:hint="eastAsia" w:ascii="Times New Roman" w:hAnsi="Times New Roman" w:eastAsia="宋体" w:cs="Times New Roman"/>
                      <w:color w:val="auto"/>
                      <w:spacing w:val="0"/>
                      <w:kern w:val="2"/>
                      <w:sz w:val="21"/>
                      <w:szCs w:val="22"/>
                      <w:lang w:val="en-US" w:eastAsia="zh-CN" w:bidi="ar-SA"/>
                    </w:rPr>
                    <w:t>人群</w:t>
                  </w:r>
                </w:p>
              </w:tc>
              <w:tc>
                <w:tcPr>
                  <w:tcW w:w="424" w:type="pct"/>
                  <w:shd w:val="clear" w:color="auto" w:fill="FFFFFF"/>
                  <w:vAlign w:val="center"/>
                </w:tcPr>
                <w:p>
                  <w:pPr>
                    <w:pStyle w:val="50"/>
                    <w:widowControl w:val="0"/>
                    <w:adjustRightInd w:val="0"/>
                    <w:snapToGrid w:val="0"/>
                    <w:spacing w:before="0" w:line="240" w:lineRule="auto"/>
                    <w:ind w:firstLine="0"/>
                    <w:jc w:val="center"/>
                    <w:rPr>
                      <w:rFonts w:hint="default" w:ascii="Times New Roman" w:hAnsi="Times New Roman" w:eastAsia="宋体"/>
                      <w:color w:val="auto"/>
                      <w:sz w:val="21"/>
                      <w:szCs w:val="21"/>
                      <w:lang w:val="en-US" w:eastAsia="zh-CN"/>
                    </w:rPr>
                  </w:pPr>
                  <w:r>
                    <w:rPr>
                      <w:rFonts w:hint="eastAsia" w:ascii="Times New Roman" w:hAnsi="Times New Roman"/>
                      <w:color w:val="auto"/>
                      <w:sz w:val="21"/>
                      <w:szCs w:val="21"/>
                      <w:lang w:val="en-US" w:eastAsia="zh-CN"/>
                    </w:rPr>
                    <w:t>2000</w:t>
                  </w:r>
                </w:p>
              </w:tc>
              <w:tc>
                <w:tcPr>
                  <w:tcW w:w="627" w:type="pct"/>
                  <w:shd w:val="clear" w:color="auto" w:fill="FFFFFF"/>
                  <w:vAlign w:val="center"/>
                </w:tcPr>
                <w:p>
                  <w:pPr>
                    <w:jc w:val="center"/>
                    <w:rPr>
                      <w:color w:val="auto"/>
                      <w:szCs w:val="21"/>
                    </w:rPr>
                  </w:pPr>
                  <w:r>
                    <w:rPr>
                      <w:rFonts w:hint="eastAsia" w:ascii="Times New Roman" w:hAnsi="Times New Roman" w:eastAsia="宋体" w:cs="Times New Roman"/>
                      <w:color w:val="auto"/>
                      <w:spacing w:val="0"/>
                      <w:kern w:val="2"/>
                      <w:sz w:val="21"/>
                      <w:szCs w:val="22"/>
                      <w:lang w:val="en-US" w:eastAsia="zh-CN" w:bidi="ar-SA"/>
                    </w:rPr>
                    <w:t>二类区</w:t>
                  </w:r>
                </w:p>
              </w:tc>
              <w:tc>
                <w:tcPr>
                  <w:tcW w:w="500" w:type="pct"/>
                  <w:shd w:val="clear" w:color="auto" w:fill="FFFFFF"/>
                  <w:vAlign w:val="center"/>
                </w:tcPr>
                <w:p>
                  <w:pPr>
                    <w:pStyle w:val="50"/>
                    <w:widowControl w:val="0"/>
                    <w:adjustRightInd w:val="0"/>
                    <w:snapToGrid w:val="0"/>
                    <w:spacing w:before="0" w:line="240" w:lineRule="auto"/>
                    <w:ind w:firstLine="0"/>
                    <w:jc w:val="center"/>
                    <w:rPr>
                      <w:rFonts w:hint="default" w:ascii="Times New Roman" w:hAnsi="Times New Roman" w:eastAsia="宋体"/>
                      <w:color w:val="auto"/>
                      <w:sz w:val="21"/>
                      <w:szCs w:val="21"/>
                      <w:lang w:val="en-US" w:eastAsia="zh-CN"/>
                    </w:rPr>
                  </w:pPr>
                  <w:r>
                    <w:rPr>
                      <w:rFonts w:hint="eastAsia" w:ascii="Times New Roman" w:hAnsi="Times New Roman"/>
                      <w:color w:val="auto"/>
                      <w:sz w:val="21"/>
                      <w:szCs w:val="21"/>
                      <w:lang w:val="en-US" w:eastAsia="zh-CN"/>
                    </w:rPr>
                    <w:t>NW</w:t>
                  </w:r>
                </w:p>
              </w:tc>
              <w:tc>
                <w:tcPr>
                  <w:tcW w:w="577" w:type="pct"/>
                  <w:shd w:val="clear" w:color="auto" w:fill="FFFFFF"/>
                  <w:vAlign w:val="center"/>
                </w:tcPr>
                <w:p>
                  <w:pPr>
                    <w:pStyle w:val="50"/>
                    <w:widowControl w:val="0"/>
                    <w:adjustRightInd w:val="0"/>
                    <w:snapToGrid w:val="0"/>
                    <w:spacing w:before="0" w:line="240" w:lineRule="auto"/>
                    <w:ind w:firstLine="0"/>
                    <w:jc w:val="center"/>
                    <w:rPr>
                      <w:rFonts w:hint="default" w:ascii="Times New Roman" w:hAnsi="Times New Roman" w:eastAsia="宋体"/>
                      <w:color w:val="auto"/>
                      <w:sz w:val="21"/>
                      <w:szCs w:val="21"/>
                      <w:lang w:val="en-US" w:eastAsia="zh-CN"/>
                    </w:rPr>
                  </w:pPr>
                  <w:r>
                    <w:rPr>
                      <w:rFonts w:hint="eastAsia" w:ascii="Times New Roman" w:hAnsi="Times New Roman"/>
                      <w:color w:val="auto"/>
                      <w:sz w:val="21"/>
                      <w:szCs w:val="21"/>
                      <w:lang w:val="en-US" w:eastAsia="zh-CN"/>
                    </w:rPr>
                    <w:t>530</w:t>
                  </w:r>
                </w:p>
              </w:tc>
            </w:tr>
            <w:tr>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0" w:type="dxa"/>
                  <w:left w:w="108" w:type="dxa"/>
                  <w:bottom w:w="0" w:type="dxa"/>
                  <w:right w:w="108" w:type="dxa"/>
                </w:tblCellMar>
              </w:tblPrEx>
              <w:trPr>
                <w:trHeight w:val="717" w:hRule="atLeast"/>
                <w:jc w:val="center"/>
              </w:trPr>
              <w:tc>
                <w:tcPr>
                  <w:tcW w:w="554" w:type="pct"/>
                  <w:shd w:val="clear" w:color="auto" w:fill="FFFFFF"/>
                  <w:vAlign w:val="center"/>
                </w:tcPr>
                <w:p>
                  <w:pPr>
                    <w:pStyle w:val="50"/>
                    <w:widowControl w:val="0"/>
                    <w:adjustRightInd w:val="0"/>
                    <w:snapToGrid w:val="0"/>
                    <w:spacing w:before="0" w:line="240" w:lineRule="auto"/>
                    <w:ind w:firstLine="0" w:firstLineChars="0"/>
                    <w:jc w:val="center"/>
                    <w:rPr>
                      <w:rFonts w:hint="eastAsia" w:ascii="Times New Roman" w:hAnsi="Times New Roman" w:eastAsia="宋体" w:cs="Times New Roman"/>
                      <w:color w:val="auto"/>
                      <w:spacing w:val="15"/>
                      <w:kern w:val="0"/>
                      <w:sz w:val="21"/>
                      <w:szCs w:val="21"/>
                      <w:lang w:val="en-US" w:eastAsia="zh-CN" w:bidi="ar-SA"/>
                    </w:rPr>
                  </w:pPr>
                  <w:r>
                    <w:rPr>
                      <w:rFonts w:hint="eastAsia" w:ascii="Times New Roman" w:hAnsi="Times New Roman"/>
                      <w:color w:val="auto"/>
                      <w:sz w:val="21"/>
                      <w:szCs w:val="21"/>
                      <w:lang w:eastAsia="zh-CN"/>
                    </w:rPr>
                    <w:t>蔷薇苑</w:t>
                  </w:r>
                </w:p>
              </w:tc>
              <w:tc>
                <w:tcPr>
                  <w:tcW w:w="745" w:type="pct"/>
                  <w:shd w:val="clear" w:color="auto" w:fill="FFFFFF"/>
                  <w:vAlign w:val="center"/>
                </w:tcPr>
                <w:p>
                  <w:pPr>
                    <w:pStyle w:val="50"/>
                    <w:widowControl w:val="0"/>
                    <w:adjustRightInd w:val="0"/>
                    <w:snapToGrid w:val="0"/>
                    <w:spacing w:before="0" w:line="240" w:lineRule="auto"/>
                    <w:ind w:firstLine="0" w:firstLineChars="0"/>
                    <w:jc w:val="center"/>
                    <w:rPr>
                      <w:rFonts w:hint="eastAsia" w:ascii="Times New Roman" w:hAnsi="Times New Roman" w:eastAsia="宋体" w:cs="Times New Roman"/>
                      <w:color w:val="auto"/>
                      <w:spacing w:val="15"/>
                      <w:kern w:val="0"/>
                      <w:sz w:val="21"/>
                      <w:szCs w:val="21"/>
                      <w:lang w:val="en-US" w:eastAsia="zh-CN" w:bidi="ar-SA"/>
                    </w:rPr>
                  </w:pPr>
                  <w:r>
                    <w:rPr>
                      <w:rFonts w:hint="eastAsia" w:ascii="Times New Roman" w:hAnsi="Times New Roman"/>
                      <w:color w:val="auto"/>
                      <w:sz w:val="21"/>
                      <w:szCs w:val="21"/>
                    </w:rPr>
                    <w:t>119.62</w:t>
                  </w:r>
                  <w:r>
                    <w:rPr>
                      <w:rFonts w:hint="eastAsia" w:ascii="Times New Roman" w:hAnsi="Times New Roman"/>
                      <w:color w:val="auto"/>
                      <w:sz w:val="21"/>
                      <w:szCs w:val="21"/>
                      <w:lang w:val="en-US" w:eastAsia="zh-CN"/>
                    </w:rPr>
                    <w:t>25</w:t>
                  </w:r>
                </w:p>
              </w:tc>
              <w:tc>
                <w:tcPr>
                  <w:tcW w:w="631" w:type="pct"/>
                  <w:shd w:val="clear" w:color="auto" w:fill="FFFFFF"/>
                  <w:vAlign w:val="center"/>
                </w:tcPr>
                <w:p>
                  <w:pPr>
                    <w:pStyle w:val="50"/>
                    <w:widowControl w:val="0"/>
                    <w:adjustRightInd w:val="0"/>
                    <w:snapToGrid w:val="0"/>
                    <w:spacing w:before="0" w:line="240" w:lineRule="auto"/>
                    <w:ind w:firstLine="0" w:firstLineChars="0"/>
                    <w:jc w:val="center"/>
                    <w:rPr>
                      <w:rFonts w:hint="eastAsia" w:ascii="Times New Roman" w:hAnsi="Times New Roman" w:eastAsia="宋体" w:cs="Times New Roman"/>
                      <w:color w:val="auto"/>
                      <w:spacing w:val="15"/>
                      <w:kern w:val="0"/>
                      <w:sz w:val="21"/>
                      <w:szCs w:val="21"/>
                      <w:lang w:val="en-US" w:eastAsia="zh-CN" w:bidi="ar-SA"/>
                    </w:rPr>
                  </w:pPr>
                  <w:r>
                    <w:rPr>
                      <w:rFonts w:hint="eastAsia" w:ascii="Times New Roman" w:hAnsi="Times New Roman"/>
                      <w:color w:val="auto"/>
                      <w:sz w:val="21"/>
                      <w:szCs w:val="21"/>
                    </w:rPr>
                    <w:t>31</w:t>
                  </w:r>
                  <w:r>
                    <w:rPr>
                      <w:rFonts w:hint="eastAsia" w:ascii="Times New Roman" w:hAnsi="Times New Roman"/>
                      <w:color w:val="auto"/>
                      <w:sz w:val="21"/>
                      <w:szCs w:val="21"/>
                      <w:lang w:val="en-US" w:eastAsia="zh-CN"/>
                    </w:rPr>
                    <w:t>.7583</w:t>
                  </w:r>
                </w:p>
              </w:tc>
              <w:tc>
                <w:tcPr>
                  <w:tcW w:w="469" w:type="pct"/>
                  <w:shd w:val="clear" w:color="auto" w:fill="FFFFFF"/>
                  <w:vAlign w:val="center"/>
                </w:tcPr>
                <w:p>
                  <w:pPr>
                    <w:jc w:val="center"/>
                    <w:rPr>
                      <w:rFonts w:ascii="Times New Roman" w:hAnsi="Times New Roman" w:eastAsia="宋体" w:cs="Times New Roman"/>
                      <w:color w:val="auto"/>
                      <w:kern w:val="2"/>
                      <w:sz w:val="21"/>
                      <w:szCs w:val="21"/>
                      <w:lang w:val="en-US" w:eastAsia="zh-CN" w:bidi="ar-SA"/>
                    </w:rPr>
                  </w:pPr>
                  <w:r>
                    <w:rPr>
                      <w:color w:val="auto"/>
                      <w:szCs w:val="21"/>
                    </w:rPr>
                    <w:t>居住区</w:t>
                  </w:r>
                </w:p>
              </w:tc>
              <w:tc>
                <w:tcPr>
                  <w:tcW w:w="469" w:type="pct"/>
                  <w:shd w:val="clear" w:color="auto" w:fill="FFFFFF"/>
                  <w:vAlign w:val="center"/>
                </w:tcPr>
                <w:p>
                  <w:pPr>
                    <w:pStyle w:val="50"/>
                    <w:widowControl w:val="0"/>
                    <w:adjustRightInd w:val="0"/>
                    <w:snapToGrid w:val="0"/>
                    <w:spacing w:before="0" w:line="240" w:lineRule="auto"/>
                    <w:ind w:firstLine="0" w:firstLineChars="0"/>
                    <w:jc w:val="center"/>
                    <w:rPr>
                      <w:rFonts w:ascii="Times New Roman" w:hAnsi="Times New Roman" w:eastAsia="宋体" w:cs="Times New Roman"/>
                      <w:color w:val="auto"/>
                      <w:spacing w:val="15"/>
                      <w:kern w:val="0"/>
                      <w:sz w:val="21"/>
                      <w:szCs w:val="21"/>
                      <w:lang w:val="en-US" w:eastAsia="zh-CN" w:bidi="ar-SA"/>
                    </w:rPr>
                  </w:pPr>
                  <w:r>
                    <w:rPr>
                      <w:rFonts w:ascii="Times New Roman" w:hAnsi="Times New Roman"/>
                      <w:color w:val="auto"/>
                      <w:sz w:val="21"/>
                      <w:szCs w:val="21"/>
                    </w:rPr>
                    <w:t>人群</w:t>
                  </w:r>
                </w:p>
              </w:tc>
              <w:tc>
                <w:tcPr>
                  <w:tcW w:w="424" w:type="pct"/>
                  <w:shd w:val="clear" w:color="auto" w:fill="FFFFFF"/>
                  <w:vAlign w:val="center"/>
                </w:tcPr>
                <w:p>
                  <w:pPr>
                    <w:pStyle w:val="50"/>
                    <w:widowControl w:val="0"/>
                    <w:adjustRightInd w:val="0"/>
                    <w:snapToGrid w:val="0"/>
                    <w:spacing w:before="0" w:line="240" w:lineRule="auto"/>
                    <w:ind w:firstLine="0" w:firstLineChars="0"/>
                    <w:jc w:val="center"/>
                    <w:rPr>
                      <w:rFonts w:hint="eastAsia" w:ascii="Times New Roman" w:hAnsi="Times New Roman" w:eastAsia="宋体" w:cs="Times New Roman"/>
                      <w:color w:val="auto"/>
                      <w:spacing w:val="15"/>
                      <w:kern w:val="0"/>
                      <w:sz w:val="21"/>
                      <w:szCs w:val="21"/>
                      <w:lang w:val="en-US" w:eastAsia="zh-CN" w:bidi="ar-SA"/>
                    </w:rPr>
                  </w:pPr>
                  <w:r>
                    <w:rPr>
                      <w:rFonts w:hint="eastAsia" w:ascii="Times New Roman" w:hAnsi="Times New Roman"/>
                      <w:color w:val="auto"/>
                      <w:sz w:val="21"/>
                      <w:szCs w:val="21"/>
                      <w:lang w:val="en-US" w:eastAsia="zh-CN"/>
                    </w:rPr>
                    <w:t>3000</w:t>
                  </w:r>
                </w:p>
              </w:tc>
              <w:tc>
                <w:tcPr>
                  <w:tcW w:w="627" w:type="pct"/>
                  <w:shd w:val="clear" w:color="auto" w:fill="FFFFFF"/>
                  <w:vAlign w:val="center"/>
                </w:tcPr>
                <w:p>
                  <w:pPr>
                    <w:jc w:val="center"/>
                    <w:rPr>
                      <w:rFonts w:ascii="Times New Roman" w:hAnsi="Times New Roman" w:eastAsia="宋体" w:cs="Times New Roman"/>
                      <w:color w:val="auto"/>
                      <w:kern w:val="2"/>
                      <w:sz w:val="21"/>
                      <w:szCs w:val="21"/>
                      <w:lang w:val="en-US" w:eastAsia="zh-CN" w:bidi="ar-SA"/>
                    </w:rPr>
                  </w:pPr>
                  <w:r>
                    <w:rPr>
                      <w:color w:val="auto"/>
                      <w:szCs w:val="21"/>
                    </w:rPr>
                    <w:t>二类区</w:t>
                  </w:r>
                </w:p>
              </w:tc>
              <w:tc>
                <w:tcPr>
                  <w:tcW w:w="500" w:type="pct"/>
                  <w:shd w:val="clear" w:color="auto" w:fill="FFFFFF"/>
                  <w:vAlign w:val="center"/>
                </w:tcPr>
                <w:p>
                  <w:pPr>
                    <w:pStyle w:val="50"/>
                    <w:widowControl w:val="0"/>
                    <w:adjustRightInd w:val="0"/>
                    <w:snapToGrid w:val="0"/>
                    <w:spacing w:before="0" w:line="240" w:lineRule="auto"/>
                    <w:ind w:firstLine="0" w:firstLineChars="0"/>
                    <w:jc w:val="center"/>
                    <w:rPr>
                      <w:rFonts w:hint="eastAsia" w:ascii="Times New Roman" w:hAnsi="Times New Roman" w:eastAsia="宋体" w:cs="Times New Roman"/>
                      <w:color w:val="auto"/>
                      <w:spacing w:val="15"/>
                      <w:kern w:val="0"/>
                      <w:sz w:val="21"/>
                      <w:szCs w:val="21"/>
                      <w:lang w:val="en-US" w:eastAsia="zh-CN" w:bidi="ar-SA"/>
                    </w:rPr>
                  </w:pPr>
                  <w:r>
                    <w:rPr>
                      <w:rFonts w:hint="eastAsia" w:ascii="Times New Roman" w:hAnsi="Times New Roman"/>
                      <w:color w:val="auto"/>
                      <w:sz w:val="21"/>
                      <w:szCs w:val="21"/>
                      <w:lang w:val="en-US" w:eastAsia="zh-CN"/>
                    </w:rPr>
                    <w:t>NW</w:t>
                  </w:r>
                </w:p>
              </w:tc>
              <w:tc>
                <w:tcPr>
                  <w:tcW w:w="577" w:type="pct"/>
                  <w:shd w:val="clear" w:color="auto" w:fill="FFFFFF"/>
                  <w:vAlign w:val="center"/>
                </w:tcPr>
                <w:p>
                  <w:pPr>
                    <w:pStyle w:val="50"/>
                    <w:widowControl w:val="0"/>
                    <w:adjustRightInd w:val="0"/>
                    <w:snapToGrid w:val="0"/>
                    <w:spacing w:before="0" w:line="240" w:lineRule="auto"/>
                    <w:ind w:firstLine="0"/>
                    <w:jc w:val="center"/>
                    <w:rPr>
                      <w:rFonts w:hint="default" w:ascii="Times New Roman" w:hAnsi="Times New Roman" w:eastAsia="宋体"/>
                      <w:color w:val="auto"/>
                      <w:sz w:val="21"/>
                      <w:szCs w:val="21"/>
                      <w:lang w:val="en-US" w:eastAsia="zh-CN"/>
                    </w:rPr>
                  </w:pPr>
                  <w:r>
                    <w:rPr>
                      <w:rFonts w:hint="eastAsia" w:ascii="Times New Roman" w:hAnsi="Times New Roman"/>
                      <w:color w:val="auto"/>
                      <w:sz w:val="21"/>
                      <w:szCs w:val="21"/>
                      <w:lang w:val="en-US" w:eastAsia="zh-CN"/>
                    </w:rPr>
                    <w:t>1000</w:t>
                  </w:r>
                </w:p>
              </w:tc>
            </w:tr>
            <w:tr>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0" w:type="dxa"/>
                  <w:left w:w="108" w:type="dxa"/>
                  <w:bottom w:w="0" w:type="dxa"/>
                  <w:right w:w="108" w:type="dxa"/>
                </w:tblCellMar>
              </w:tblPrEx>
              <w:trPr>
                <w:trHeight w:val="717" w:hRule="atLeast"/>
                <w:jc w:val="center"/>
              </w:trPr>
              <w:tc>
                <w:tcPr>
                  <w:tcW w:w="554" w:type="pct"/>
                  <w:shd w:val="clear" w:color="auto" w:fill="FFFFFF"/>
                  <w:vAlign w:val="center"/>
                </w:tcPr>
                <w:p>
                  <w:pPr>
                    <w:pStyle w:val="50"/>
                    <w:widowControl w:val="0"/>
                    <w:adjustRightInd w:val="0"/>
                    <w:snapToGrid w:val="0"/>
                    <w:spacing w:before="0" w:line="240" w:lineRule="auto"/>
                    <w:ind w:firstLine="0" w:firstLineChars="0"/>
                    <w:jc w:val="center"/>
                    <w:rPr>
                      <w:rFonts w:hint="eastAsia" w:ascii="Times New Roman" w:hAnsi="Times New Roman" w:eastAsia="宋体" w:cs="Times New Roman"/>
                      <w:color w:val="auto"/>
                      <w:spacing w:val="15"/>
                      <w:kern w:val="0"/>
                      <w:sz w:val="21"/>
                      <w:szCs w:val="21"/>
                      <w:lang w:val="en-US" w:eastAsia="zh-CN" w:bidi="ar-SA"/>
                    </w:rPr>
                  </w:pPr>
                  <w:r>
                    <w:rPr>
                      <w:rFonts w:hint="eastAsia" w:ascii="Times New Roman" w:hAnsi="Times New Roman"/>
                      <w:color w:val="auto"/>
                      <w:sz w:val="21"/>
                      <w:szCs w:val="21"/>
                      <w:lang w:val="en-US" w:eastAsia="zh-CN"/>
                    </w:rPr>
                    <w:t>丁香苑</w:t>
                  </w:r>
                </w:p>
              </w:tc>
              <w:tc>
                <w:tcPr>
                  <w:tcW w:w="745" w:type="pct"/>
                  <w:shd w:val="clear" w:color="auto" w:fill="FFFFFF"/>
                  <w:vAlign w:val="center"/>
                </w:tcPr>
                <w:p>
                  <w:pPr>
                    <w:pStyle w:val="50"/>
                    <w:widowControl w:val="0"/>
                    <w:adjustRightInd w:val="0"/>
                    <w:snapToGrid w:val="0"/>
                    <w:spacing w:before="0" w:line="240" w:lineRule="auto"/>
                    <w:ind w:firstLine="0" w:firstLineChars="0"/>
                    <w:jc w:val="center"/>
                    <w:rPr>
                      <w:rFonts w:hint="eastAsia" w:ascii="Times New Roman" w:hAnsi="Times New Roman" w:eastAsia="宋体" w:cs="Times New Roman"/>
                      <w:color w:val="auto"/>
                      <w:spacing w:val="15"/>
                      <w:kern w:val="0"/>
                      <w:sz w:val="21"/>
                      <w:szCs w:val="21"/>
                      <w:lang w:val="en-US" w:eastAsia="zh-CN" w:bidi="ar-SA"/>
                    </w:rPr>
                  </w:pPr>
                  <w:r>
                    <w:rPr>
                      <w:rFonts w:hint="eastAsia" w:ascii="Times New Roman" w:hAnsi="Times New Roman"/>
                      <w:color w:val="auto"/>
                      <w:sz w:val="21"/>
                      <w:szCs w:val="21"/>
                      <w:lang w:val="en-US" w:eastAsia="zh-CN"/>
                    </w:rPr>
                    <w:t>119.6223</w:t>
                  </w:r>
                </w:p>
              </w:tc>
              <w:tc>
                <w:tcPr>
                  <w:tcW w:w="631" w:type="pct"/>
                  <w:shd w:val="clear" w:color="auto" w:fill="FFFFFF"/>
                  <w:vAlign w:val="center"/>
                </w:tcPr>
                <w:p>
                  <w:pPr>
                    <w:pStyle w:val="50"/>
                    <w:widowControl w:val="0"/>
                    <w:adjustRightInd w:val="0"/>
                    <w:snapToGrid w:val="0"/>
                    <w:spacing w:before="0" w:line="240" w:lineRule="auto"/>
                    <w:ind w:firstLine="0" w:firstLineChars="0"/>
                    <w:jc w:val="center"/>
                    <w:rPr>
                      <w:rFonts w:hint="eastAsia" w:ascii="Times New Roman" w:hAnsi="Times New Roman" w:eastAsia="宋体" w:cs="Times New Roman"/>
                      <w:color w:val="auto"/>
                      <w:spacing w:val="15"/>
                      <w:kern w:val="0"/>
                      <w:sz w:val="21"/>
                      <w:szCs w:val="21"/>
                      <w:lang w:val="en-US" w:eastAsia="zh-CN" w:bidi="ar-SA"/>
                    </w:rPr>
                  </w:pPr>
                  <w:r>
                    <w:rPr>
                      <w:rFonts w:hint="eastAsia" w:ascii="Times New Roman" w:hAnsi="Times New Roman"/>
                      <w:color w:val="auto"/>
                      <w:sz w:val="21"/>
                      <w:szCs w:val="21"/>
                      <w:lang w:val="en-US" w:eastAsia="zh-CN"/>
                    </w:rPr>
                    <w:t>31.7602</w:t>
                  </w:r>
                </w:p>
              </w:tc>
              <w:tc>
                <w:tcPr>
                  <w:tcW w:w="469" w:type="pct"/>
                  <w:shd w:val="clear" w:color="auto" w:fill="FFFFFF"/>
                  <w:vAlign w:val="center"/>
                </w:tcPr>
                <w:p>
                  <w:pPr>
                    <w:jc w:val="center"/>
                    <w:rPr>
                      <w:rFonts w:ascii="Times New Roman" w:hAnsi="Times New Roman" w:eastAsia="宋体" w:cs="Times New Roman"/>
                      <w:color w:val="auto"/>
                      <w:kern w:val="2"/>
                      <w:sz w:val="21"/>
                      <w:szCs w:val="21"/>
                      <w:lang w:val="en-US" w:eastAsia="zh-CN" w:bidi="ar-SA"/>
                    </w:rPr>
                  </w:pPr>
                  <w:r>
                    <w:rPr>
                      <w:color w:val="auto"/>
                      <w:szCs w:val="21"/>
                    </w:rPr>
                    <w:t>居住区</w:t>
                  </w:r>
                </w:p>
              </w:tc>
              <w:tc>
                <w:tcPr>
                  <w:tcW w:w="469" w:type="pct"/>
                  <w:shd w:val="clear" w:color="auto" w:fill="FFFFFF"/>
                  <w:vAlign w:val="center"/>
                </w:tcPr>
                <w:p>
                  <w:pPr>
                    <w:pStyle w:val="50"/>
                    <w:widowControl w:val="0"/>
                    <w:adjustRightInd w:val="0"/>
                    <w:snapToGrid w:val="0"/>
                    <w:spacing w:before="0" w:line="240" w:lineRule="auto"/>
                    <w:ind w:firstLine="0" w:firstLineChars="0"/>
                    <w:jc w:val="center"/>
                    <w:rPr>
                      <w:rFonts w:hint="eastAsia" w:ascii="Times New Roman" w:hAnsi="Times New Roman" w:eastAsia="宋体" w:cs="Times New Roman"/>
                      <w:color w:val="auto"/>
                      <w:spacing w:val="15"/>
                      <w:kern w:val="0"/>
                      <w:sz w:val="21"/>
                      <w:szCs w:val="21"/>
                      <w:lang w:val="en-US" w:eastAsia="zh-CN" w:bidi="ar-SA"/>
                    </w:rPr>
                  </w:pPr>
                  <w:r>
                    <w:rPr>
                      <w:rFonts w:hint="eastAsia" w:ascii="Times New Roman" w:hAnsi="Times New Roman"/>
                      <w:color w:val="auto"/>
                      <w:sz w:val="21"/>
                      <w:szCs w:val="21"/>
                      <w:lang w:eastAsia="zh-CN"/>
                    </w:rPr>
                    <w:t>人群</w:t>
                  </w:r>
                </w:p>
              </w:tc>
              <w:tc>
                <w:tcPr>
                  <w:tcW w:w="424" w:type="pct"/>
                  <w:shd w:val="clear" w:color="auto" w:fill="FFFFFF"/>
                  <w:vAlign w:val="center"/>
                </w:tcPr>
                <w:p>
                  <w:pPr>
                    <w:pStyle w:val="50"/>
                    <w:widowControl w:val="0"/>
                    <w:adjustRightInd w:val="0"/>
                    <w:snapToGrid w:val="0"/>
                    <w:spacing w:before="0" w:line="240" w:lineRule="auto"/>
                    <w:ind w:firstLine="0" w:firstLineChars="0"/>
                    <w:jc w:val="center"/>
                    <w:rPr>
                      <w:rFonts w:hint="eastAsia" w:ascii="Times New Roman" w:hAnsi="Times New Roman" w:eastAsia="宋体" w:cs="Times New Roman"/>
                      <w:color w:val="auto"/>
                      <w:spacing w:val="15"/>
                      <w:kern w:val="0"/>
                      <w:sz w:val="21"/>
                      <w:szCs w:val="21"/>
                      <w:lang w:val="en-US" w:eastAsia="zh-CN" w:bidi="ar-SA"/>
                    </w:rPr>
                  </w:pPr>
                  <w:r>
                    <w:rPr>
                      <w:rFonts w:hint="eastAsia" w:ascii="Times New Roman" w:hAnsi="Times New Roman"/>
                      <w:color w:val="auto"/>
                      <w:sz w:val="21"/>
                      <w:szCs w:val="21"/>
                      <w:lang w:val="en-US" w:eastAsia="zh-CN"/>
                    </w:rPr>
                    <w:t>3000</w:t>
                  </w:r>
                </w:p>
              </w:tc>
              <w:tc>
                <w:tcPr>
                  <w:tcW w:w="627" w:type="pct"/>
                  <w:shd w:val="clear" w:color="auto" w:fill="FFFFFF"/>
                  <w:vAlign w:val="center"/>
                </w:tcPr>
                <w:p>
                  <w:pPr>
                    <w:jc w:val="center"/>
                    <w:rPr>
                      <w:rFonts w:ascii="Times New Roman" w:hAnsi="Times New Roman" w:eastAsia="宋体" w:cs="Times New Roman"/>
                      <w:color w:val="auto"/>
                      <w:kern w:val="2"/>
                      <w:sz w:val="21"/>
                      <w:szCs w:val="21"/>
                      <w:lang w:val="en-US" w:eastAsia="zh-CN" w:bidi="ar-SA"/>
                    </w:rPr>
                  </w:pPr>
                  <w:r>
                    <w:rPr>
                      <w:color w:val="auto"/>
                      <w:szCs w:val="21"/>
                    </w:rPr>
                    <w:t>二类区</w:t>
                  </w:r>
                </w:p>
              </w:tc>
              <w:tc>
                <w:tcPr>
                  <w:tcW w:w="500" w:type="pct"/>
                  <w:shd w:val="clear" w:color="auto" w:fill="FFFFFF"/>
                  <w:vAlign w:val="center"/>
                </w:tcPr>
                <w:p>
                  <w:pPr>
                    <w:pStyle w:val="50"/>
                    <w:widowControl w:val="0"/>
                    <w:adjustRightInd w:val="0"/>
                    <w:snapToGrid w:val="0"/>
                    <w:spacing w:before="0" w:line="240" w:lineRule="auto"/>
                    <w:ind w:firstLine="0" w:firstLineChars="0"/>
                    <w:jc w:val="center"/>
                    <w:rPr>
                      <w:rFonts w:hint="eastAsia" w:ascii="Times New Roman" w:hAnsi="Times New Roman" w:eastAsia="宋体" w:cs="Times New Roman"/>
                      <w:color w:val="auto"/>
                      <w:spacing w:val="15"/>
                      <w:kern w:val="0"/>
                      <w:sz w:val="21"/>
                      <w:szCs w:val="21"/>
                      <w:lang w:val="en-US" w:eastAsia="zh-CN" w:bidi="ar-SA"/>
                    </w:rPr>
                  </w:pPr>
                  <w:r>
                    <w:rPr>
                      <w:rFonts w:hint="eastAsia" w:ascii="Times New Roman" w:hAnsi="Times New Roman"/>
                      <w:color w:val="auto"/>
                      <w:sz w:val="21"/>
                      <w:szCs w:val="21"/>
                      <w:lang w:val="en-US" w:eastAsia="zh-CN"/>
                    </w:rPr>
                    <w:t>NW</w:t>
                  </w:r>
                </w:p>
              </w:tc>
              <w:tc>
                <w:tcPr>
                  <w:tcW w:w="577" w:type="pct"/>
                  <w:shd w:val="clear" w:color="auto" w:fill="FFFFFF"/>
                  <w:vAlign w:val="center"/>
                </w:tcPr>
                <w:p>
                  <w:pPr>
                    <w:pStyle w:val="50"/>
                    <w:widowControl w:val="0"/>
                    <w:adjustRightInd w:val="0"/>
                    <w:snapToGrid w:val="0"/>
                    <w:spacing w:before="0" w:line="240" w:lineRule="auto"/>
                    <w:ind w:firstLine="0"/>
                    <w:jc w:val="center"/>
                    <w:rPr>
                      <w:rFonts w:hint="default" w:ascii="Times New Roman" w:hAnsi="Times New Roman" w:eastAsia="宋体"/>
                      <w:color w:val="auto"/>
                      <w:sz w:val="21"/>
                      <w:szCs w:val="21"/>
                      <w:lang w:val="en-US" w:eastAsia="zh-CN"/>
                    </w:rPr>
                  </w:pPr>
                  <w:r>
                    <w:rPr>
                      <w:rFonts w:hint="eastAsia" w:ascii="Times New Roman" w:hAnsi="Times New Roman"/>
                      <w:color w:val="auto"/>
                      <w:sz w:val="21"/>
                      <w:szCs w:val="21"/>
                      <w:lang w:val="en-US" w:eastAsia="zh-CN"/>
                    </w:rPr>
                    <w:t>1050</w:t>
                  </w:r>
                </w:p>
              </w:tc>
            </w:tr>
            <w:tr>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0" w:type="dxa"/>
                  <w:left w:w="108" w:type="dxa"/>
                  <w:bottom w:w="0" w:type="dxa"/>
                  <w:right w:w="108" w:type="dxa"/>
                </w:tblCellMar>
              </w:tblPrEx>
              <w:trPr>
                <w:trHeight w:val="717" w:hRule="atLeast"/>
                <w:jc w:val="center"/>
              </w:trPr>
              <w:tc>
                <w:tcPr>
                  <w:tcW w:w="554" w:type="pct"/>
                  <w:shd w:val="clear" w:color="auto" w:fill="FFFFFF"/>
                  <w:vAlign w:val="center"/>
                </w:tcPr>
                <w:p>
                  <w:pPr>
                    <w:pStyle w:val="50"/>
                    <w:widowControl w:val="0"/>
                    <w:adjustRightInd w:val="0"/>
                    <w:snapToGrid w:val="0"/>
                    <w:spacing w:before="0" w:line="240" w:lineRule="auto"/>
                    <w:ind w:firstLine="0" w:firstLineChars="0"/>
                    <w:jc w:val="both"/>
                    <w:rPr>
                      <w:rFonts w:hint="eastAsia" w:ascii="Times New Roman" w:hAnsi="Times New Roman" w:eastAsia="宋体" w:cs="Times New Roman"/>
                      <w:color w:val="auto"/>
                      <w:spacing w:val="15"/>
                      <w:kern w:val="0"/>
                      <w:sz w:val="21"/>
                      <w:szCs w:val="21"/>
                      <w:lang w:val="en-US" w:eastAsia="zh-CN" w:bidi="ar-SA"/>
                    </w:rPr>
                  </w:pPr>
                  <w:r>
                    <w:rPr>
                      <w:rFonts w:hint="eastAsia" w:ascii="Times New Roman" w:hAnsi="Times New Roman"/>
                      <w:color w:val="auto"/>
                      <w:sz w:val="21"/>
                      <w:szCs w:val="21"/>
                    </w:rPr>
                    <w:t>紫荆苑</w:t>
                  </w:r>
                </w:p>
              </w:tc>
              <w:tc>
                <w:tcPr>
                  <w:tcW w:w="745" w:type="pct"/>
                  <w:shd w:val="clear" w:color="auto" w:fill="FFFFFF"/>
                  <w:vAlign w:val="center"/>
                </w:tcPr>
                <w:p>
                  <w:pPr>
                    <w:pStyle w:val="50"/>
                    <w:widowControl w:val="0"/>
                    <w:adjustRightInd w:val="0"/>
                    <w:snapToGrid w:val="0"/>
                    <w:spacing w:before="0" w:line="240" w:lineRule="auto"/>
                    <w:ind w:firstLine="0" w:firstLineChars="0"/>
                    <w:jc w:val="center"/>
                    <w:rPr>
                      <w:rFonts w:hint="eastAsia" w:ascii="Times New Roman" w:hAnsi="Times New Roman" w:eastAsia="宋体" w:cs="Times New Roman"/>
                      <w:color w:val="auto"/>
                      <w:spacing w:val="15"/>
                      <w:kern w:val="0"/>
                      <w:sz w:val="21"/>
                      <w:szCs w:val="21"/>
                      <w:lang w:val="en-US" w:eastAsia="zh-CN" w:bidi="ar-SA"/>
                    </w:rPr>
                  </w:pPr>
                  <w:r>
                    <w:rPr>
                      <w:rFonts w:hint="eastAsia" w:ascii="Times New Roman" w:hAnsi="Times New Roman"/>
                      <w:color w:val="auto"/>
                      <w:sz w:val="21"/>
                      <w:szCs w:val="21"/>
                    </w:rPr>
                    <w:t>119.6183</w:t>
                  </w:r>
                </w:p>
              </w:tc>
              <w:tc>
                <w:tcPr>
                  <w:tcW w:w="631" w:type="pct"/>
                  <w:shd w:val="clear" w:color="auto" w:fill="FFFFFF"/>
                  <w:vAlign w:val="center"/>
                </w:tcPr>
                <w:p>
                  <w:pPr>
                    <w:pStyle w:val="50"/>
                    <w:widowControl w:val="0"/>
                    <w:adjustRightInd w:val="0"/>
                    <w:snapToGrid w:val="0"/>
                    <w:spacing w:before="0" w:line="240" w:lineRule="auto"/>
                    <w:ind w:firstLine="0" w:firstLineChars="0"/>
                    <w:jc w:val="center"/>
                    <w:rPr>
                      <w:rFonts w:hint="eastAsia" w:ascii="Times New Roman" w:hAnsi="Times New Roman" w:eastAsia="宋体" w:cs="Times New Roman"/>
                      <w:color w:val="auto"/>
                      <w:spacing w:val="15"/>
                      <w:kern w:val="0"/>
                      <w:sz w:val="21"/>
                      <w:szCs w:val="21"/>
                      <w:lang w:val="en-US" w:eastAsia="zh-CN" w:bidi="ar-SA"/>
                    </w:rPr>
                  </w:pPr>
                  <w:r>
                    <w:rPr>
                      <w:rFonts w:hint="eastAsia" w:ascii="Times New Roman" w:hAnsi="Times New Roman"/>
                      <w:color w:val="auto"/>
                      <w:sz w:val="21"/>
                      <w:szCs w:val="21"/>
                    </w:rPr>
                    <w:t>31.7600</w:t>
                  </w:r>
                </w:p>
              </w:tc>
              <w:tc>
                <w:tcPr>
                  <w:tcW w:w="469" w:type="pct"/>
                  <w:shd w:val="clear" w:color="auto" w:fill="FFFFFF"/>
                  <w:vAlign w:val="center"/>
                </w:tcPr>
                <w:p>
                  <w:pPr>
                    <w:jc w:val="center"/>
                    <w:rPr>
                      <w:rFonts w:ascii="Times New Roman" w:hAnsi="Times New Roman" w:eastAsia="宋体" w:cs="Times New Roman"/>
                      <w:color w:val="auto"/>
                      <w:kern w:val="2"/>
                      <w:sz w:val="21"/>
                      <w:szCs w:val="21"/>
                      <w:lang w:val="en-US" w:eastAsia="zh-CN" w:bidi="ar-SA"/>
                    </w:rPr>
                  </w:pPr>
                  <w:r>
                    <w:rPr>
                      <w:color w:val="auto"/>
                      <w:szCs w:val="21"/>
                    </w:rPr>
                    <w:t>居住区</w:t>
                  </w:r>
                </w:p>
              </w:tc>
              <w:tc>
                <w:tcPr>
                  <w:tcW w:w="469" w:type="pct"/>
                  <w:shd w:val="clear" w:color="auto" w:fill="FFFFFF"/>
                  <w:vAlign w:val="center"/>
                </w:tcPr>
                <w:p>
                  <w:pPr>
                    <w:pStyle w:val="50"/>
                    <w:widowControl w:val="0"/>
                    <w:adjustRightInd w:val="0"/>
                    <w:snapToGrid w:val="0"/>
                    <w:spacing w:before="0" w:line="240" w:lineRule="auto"/>
                    <w:ind w:firstLine="0" w:firstLineChars="0"/>
                    <w:jc w:val="center"/>
                    <w:rPr>
                      <w:rFonts w:ascii="Times New Roman" w:hAnsi="Times New Roman" w:eastAsia="宋体" w:cs="Times New Roman"/>
                      <w:color w:val="auto"/>
                      <w:spacing w:val="15"/>
                      <w:kern w:val="0"/>
                      <w:sz w:val="21"/>
                      <w:szCs w:val="21"/>
                      <w:lang w:val="en-US" w:eastAsia="zh-CN" w:bidi="ar-SA"/>
                    </w:rPr>
                  </w:pPr>
                  <w:r>
                    <w:rPr>
                      <w:rFonts w:ascii="Times New Roman" w:hAnsi="Times New Roman"/>
                      <w:color w:val="auto"/>
                      <w:sz w:val="21"/>
                      <w:szCs w:val="21"/>
                    </w:rPr>
                    <w:t>人群</w:t>
                  </w:r>
                </w:p>
              </w:tc>
              <w:tc>
                <w:tcPr>
                  <w:tcW w:w="424" w:type="pct"/>
                  <w:shd w:val="clear" w:color="auto" w:fill="FFFFFF"/>
                  <w:vAlign w:val="center"/>
                </w:tcPr>
                <w:p>
                  <w:pPr>
                    <w:pStyle w:val="50"/>
                    <w:widowControl w:val="0"/>
                    <w:adjustRightInd w:val="0"/>
                    <w:snapToGrid w:val="0"/>
                    <w:spacing w:before="0" w:line="240" w:lineRule="auto"/>
                    <w:ind w:firstLine="0" w:firstLineChars="0"/>
                    <w:jc w:val="center"/>
                    <w:rPr>
                      <w:rFonts w:hint="eastAsia" w:ascii="Times New Roman" w:hAnsi="Times New Roman" w:eastAsia="宋体" w:cs="Times New Roman"/>
                      <w:color w:val="auto"/>
                      <w:spacing w:val="15"/>
                      <w:kern w:val="0"/>
                      <w:sz w:val="21"/>
                      <w:szCs w:val="21"/>
                      <w:lang w:val="en-US" w:eastAsia="zh-CN" w:bidi="ar-SA"/>
                    </w:rPr>
                  </w:pPr>
                  <w:r>
                    <w:rPr>
                      <w:rFonts w:hint="eastAsia" w:ascii="Times New Roman" w:hAnsi="Times New Roman" w:cs="Times New Roman"/>
                      <w:color w:val="auto"/>
                      <w:spacing w:val="15"/>
                      <w:kern w:val="0"/>
                      <w:sz w:val="21"/>
                      <w:szCs w:val="21"/>
                      <w:lang w:val="en-US" w:eastAsia="zh-CN" w:bidi="ar-SA"/>
                    </w:rPr>
                    <w:t>6000</w:t>
                  </w:r>
                </w:p>
              </w:tc>
              <w:tc>
                <w:tcPr>
                  <w:tcW w:w="627" w:type="pct"/>
                  <w:shd w:val="clear" w:color="auto" w:fill="FFFFFF"/>
                  <w:vAlign w:val="center"/>
                </w:tcPr>
                <w:p>
                  <w:pPr>
                    <w:jc w:val="center"/>
                    <w:rPr>
                      <w:rFonts w:ascii="Times New Roman" w:hAnsi="Times New Roman" w:eastAsia="宋体" w:cs="Times New Roman"/>
                      <w:color w:val="auto"/>
                      <w:kern w:val="2"/>
                      <w:sz w:val="21"/>
                      <w:szCs w:val="21"/>
                      <w:lang w:val="en-US" w:eastAsia="zh-CN" w:bidi="ar-SA"/>
                    </w:rPr>
                  </w:pPr>
                  <w:r>
                    <w:rPr>
                      <w:color w:val="auto"/>
                      <w:szCs w:val="21"/>
                    </w:rPr>
                    <w:t>二类区</w:t>
                  </w:r>
                </w:p>
              </w:tc>
              <w:tc>
                <w:tcPr>
                  <w:tcW w:w="500" w:type="pct"/>
                  <w:shd w:val="clear" w:color="auto" w:fill="FFFFFF"/>
                  <w:vAlign w:val="center"/>
                </w:tcPr>
                <w:p>
                  <w:pPr>
                    <w:pStyle w:val="50"/>
                    <w:widowControl w:val="0"/>
                    <w:adjustRightInd w:val="0"/>
                    <w:snapToGrid w:val="0"/>
                    <w:spacing w:before="0" w:line="240" w:lineRule="auto"/>
                    <w:ind w:firstLine="0" w:firstLineChars="0"/>
                    <w:jc w:val="center"/>
                    <w:rPr>
                      <w:rFonts w:hint="eastAsia" w:ascii="Times New Roman" w:hAnsi="Times New Roman" w:eastAsia="宋体" w:cs="Times New Roman"/>
                      <w:color w:val="auto"/>
                      <w:spacing w:val="15"/>
                      <w:kern w:val="0"/>
                      <w:sz w:val="21"/>
                      <w:szCs w:val="21"/>
                      <w:lang w:val="en-US" w:eastAsia="zh-CN" w:bidi="ar-SA"/>
                    </w:rPr>
                  </w:pPr>
                  <w:r>
                    <w:rPr>
                      <w:rFonts w:hint="eastAsia" w:ascii="Times New Roman" w:hAnsi="Times New Roman"/>
                      <w:color w:val="auto"/>
                      <w:sz w:val="21"/>
                      <w:szCs w:val="21"/>
                      <w:lang w:val="en-US" w:eastAsia="zh-CN"/>
                    </w:rPr>
                    <w:t>N</w:t>
                  </w:r>
                  <w:r>
                    <w:rPr>
                      <w:rFonts w:hint="eastAsia" w:ascii="Times New Roman" w:hAnsi="Times New Roman"/>
                      <w:color w:val="auto"/>
                      <w:sz w:val="21"/>
                      <w:szCs w:val="21"/>
                    </w:rPr>
                    <w:t>W</w:t>
                  </w:r>
                </w:p>
              </w:tc>
              <w:tc>
                <w:tcPr>
                  <w:tcW w:w="577" w:type="pct"/>
                  <w:shd w:val="clear" w:color="auto" w:fill="FFFFFF"/>
                  <w:vAlign w:val="center"/>
                </w:tcPr>
                <w:p>
                  <w:pPr>
                    <w:pStyle w:val="50"/>
                    <w:widowControl w:val="0"/>
                    <w:adjustRightInd w:val="0"/>
                    <w:snapToGrid w:val="0"/>
                    <w:spacing w:before="0" w:line="240" w:lineRule="auto"/>
                    <w:ind w:firstLine="0"/>
                    <w:jc w:val="center"/>
                    <w:rPr>
                      <w:rFonts w:hint="default" w:ascii="Times New Roman" w:hAnsi="Times New Roman" w:eastAsia="宋体"/>
                      <w:color w:val="auto"/>
                      <w:sz w:val="21"/>
                      <w:szCs w:val="21"/>
                      <w:lang w:val="en-US" w:eastAsia="zh-CN"/>
                    </w:rPr>
                  </w:pPr>
                  <w:r>
                    <w:rPr>
                      <w:rFonts w:hint="eastAsia" w:ascii="Times New Roman" w:hAnsi="Times New Roman"/>
                      <w:color w:val="auto"/>
                      <w:sz w:val="21"/>
                      <w:szCs w:val="21"/>
                      <w:lang w:val="en-US" w:eastAsia="zh-CN"/>
                    </w:rPr>
                    <w:t>1450</w:t>
                  </w:r>
                </w:p>
              </w:tc>
            </w:tr>
            <w:tr>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0" w:type="dxa"/>
                  <w:left w:w="108" w:type="dxa"/>
                  <w:bottom w:w="0" w:type="dxa"/>
                  <w:right w:w="108" w:type="dxa"/>
                </w:tblCellMar>
              </w:tblPrEx>
              <w:trPr>
                <w:trHeight w:val="717" w:hRule="atLeast"/>
                <w:jc w:val="center"/>
              </w:trPr>
              <w:tc>
                <w:tcPr>
                  <w:tcW w:w="554" w:type="pct"/>
                  <w:shd w:val="clear" w:color="auto" w:fill="FFFFFF"/>
                  <w:vAlign w:val="center"/>
                </w:tcPr>
                <w:p>
                  <w:pPr>
                    <w:pStyle w:val="50"/>
                    <w:widowControl w:val="0"/>
                    <w:adjustRightInd w:val="0"/>
                    <w:snapToGrid w:val="0"/>
                    <w:spacing w:before="0" w:line="240" w:lineRule="auto"/>
                    <w:ind w:firstLine="0" w:firstLineChars="0"/>
                    <w:jc w:val="both"/>
                    <w:rPr>
                      <w:rFonts w:hint="default" w:ascii="Times New Roman" w:hAnsi="Times New Roman" w:eastAsia="宋体"/>
                      <w:color w:val="auto"/>
                      <w:sz w:val="21"/>
                      <w:szCs w:val="21"/>
                      <w:lang w:val="en-US" w:eastAsia="zh-CN"/>
                    </w:rPr>
                  </w:pPr>
                  <w:r>
                    <w:rPr>
                      <w:rFonts w:hint="eastAsia" w:ascii="Times New Roman" w:hAnsi="Times New Roman"/>
                      <w:color w:val="auto"/>
                      <w:sz w:val="21"/>
                      <w:szCs w:val="21"/>
                      <w:lang w:val="en-US" w:eastAsia="zh-CN"/>
                    </w:rPr>
                    <w:t>前中塘</w:t>
                  </w:r>
                </w:p>
              </w:tc>
              <w:tc>
                <w:tcPr>
                  <w:tcW w:w="745" w:type="pct"/>
                  <w:shd w:val="clear" w:color="auto" w:fill="FFFFFF"/>
                  <w:vAlign w:val="center"/>
                </w:tcPr>
                <w:p>
                  <w:pPr>
                    <w:pStyle w:val="50"/>
                    <w:widowControl w:val="0"/>
                    <w:adjustRightInd w:val="0"/>
                    <w:snapToGrid w:val="0"/>
                    <w:spacing w:before="0" w:line="240" w:lineRule="auto"/>
                    <w:ind w:firstLine="0" w:firstLineChars="0"/>
                    <w:jc w:val="center"/>
                    <w:rPr>
                      <w:rFonts w:hint="default" w:ascii="Times New Roman" w:hAnsi="Times New Roman" w:eastAsia="宋体"/>
                      <w:color w:val="auto"/>
                      <w:sz w:val="21"/>
                      <w:szCs w:val="21"/>
                      <w:lang w:val="en-US" w:eastAsia="zh-CN"/>
                    </w:rPr>
                  </w:pPr>
                  <w:r>
                    <w:rPr>
                      <w:rFonts w:hint="eastAsia" w:ascii="Times New Roman" w:hAnsi="Times New Roman"/>
                      <w:color w:val="auto"/>
                      <w:sz w:val="21"/>
                      <w:szCs w:val="21"/>
                      <w:lang w:val="en-US" w:eastAsia="zh-CN"/>
                    </w:rPr>
                    <w:t>119.6275</w:t>
                  </w:r>
                </w:p>
              </w:tc>
              <w:tc>
                <w:tcPr>
                  <w:tcW w:w="631" w:type="pct"/>
                  <w:shd w:val="clear" w:color="auto" w:fill="FFFFFF"/>
                  <w:vAlign w:val="center"/>
                </w:tcPr>
                <w:p>
                  <w:pPr>
                    <w:pStyle w:val="50"/>
                    <w:widowControl w:val="0"/>
                    <w:adjustRightInd w:val="0"/>
                    <w:snapToGrid w:val="0"/>
                    <w:spacing w:before="0" w:line="240" w:lineRule="auto"/>
                    <w:ind w:firstLine="0" w:firstLineChars="0"/>
                    <w:jc w:val="center"/>
                    <w:rPr>
                      <w:rFonts w:hint="default" w:ascii="Times New Roman" w:hAnsi="Times New Roman" w:eastAsia="宋体"/>
                      <w:color w:val="auto"/>
                      <w:sz w:val="21"/>
                      <w:szCs w:val="21"/>
                      <w:lang w:val="en-US" w:eastAsia="zh-CN"/>
                    </w:rPr>
                  </w:pPr>
                  <w:r>
                    <w:rPr>
                      <w:rFonts w:hint="eastAsia" w:ascii="Times New Roman" w:hAnsi="Times New Roman"/>
                      <w:color w:val="auto"/>
                      <w:sz w:val="21"/>
                      <w:szCs w:val="21"/>
                      <w:lang w:val="en-US" w:eastAsia="zh-CN"/>
                    </w:rPr>
                    <w:t>31.7657</w:t>
                  </w:r>
                </w:p>
              </w:tc>
              <w:tc>
                <w:tcPr>
                  <w:tcW w:w="469" w:type="pct"/>
                  <w:shd w:val="clear" w:color="auto" w:fill="FFFFFF"/>
                  <w:vAlign w:val="center"/>
                </w:tcPr>
                <w:p>
                  <w:pPr>
                    <w:jc w:val="center"/>
                    <w:rPr>
                      <w:color w:val="auto"/>
                      <w:szCs w:val="21"/>
                    </w:rPr>
                  </w:pPr>
                  <w:r>
                    <w:rPr>
                      <w:color w:val="auto"/>
                      <w:szCs w:val="21"/>
                    </w:rPr>
                    <w:t>居住区</w:t>
                  </w:r>
                </w:p>
              </w:tc>
              <w:tc>
                <w:tcPr>
                  <w:tcW w:w="469" w:type="pct"/>
                  <w:shd w:val="clear" w:color="auto" w:fill="FFFFFF"/>
                  <w:vAlign w:val="center"/>
                </w:tcPr>
                <w:p>
                  <w:pPr>
                    <w:pStyle w:val="50"/>
                    <w:widowControl w:val="0"/>
                    <w:adjustRightInd w:val="0"/>
                    <w:snapToGrid w:val="0"/>
                    <w:spacing w:before="0" w:line="240" w:lineRule="auto"/>
                    <w:ind w:firstLine="0" w:firstLineChars="0"/>
                    <w:jc w:val="center"/>
                    <w:rPr>
                      <w:rFonts w:ascii="Times New Roman" w:hAnsi="Times New Roman"/>
                      <w:color w:val="auto"/>
                      <w:sz w:val="21"/>
                      <w:szCs w:val="21"/>
                    </w:rPr>
                  </w:pPr>
                  <w:r>
                    <w:rPr>
                      <w:rFonts w:ascii="Times New Roman" w:hAnsi="Times New Roman"/>
                      <w:color w:val="auto"/>
                      <w:sz w:val="21"/>
                      <w:szCs w:val="21"/>
                    </w:rPr>
                    <w:t>人群</w:t>
                  </w:r>
                </w:p>
              </w:tc>
              <w:tc>
                <w:tcPr>
                  <w:tcW w:w="424" w:type="pct"/>
                  <w:shd w:val="clear" w:color="auto" w:fill="FFFFFF"/>
                  <w:vAlign w:val="center"/>
                </w:tcPr>
                <w:p>
                  <w:pPr>
                    <w:pStyle w:val="50"/>
                    <w:widowControl w:val="0"/>
                    <w:adjustRightInd w:val="0"/>
                    <w:snapToGrid w:val="0"/>
                    <w:spacing w:before="0" w:line="240" w:lineRule="auto"/>
                    <w:ind w:firstLine="0" w:firstLineChars="0"/>
                    <w:jc w:val="center"/>
                    <w:rPr>
                      <w:rFonts w:hint="default" w:ascii="Times New Roman" w:hAnsi="Times New Roman" w:cs="Times New Roman"/>
                      <w:color w:val="auto"/>
                      <w:spacing w:val="15"/>
                      <w:kern w:val="0"/>
                      <w:sz w:val="21"/>
                      <w:szCs w:val="21"/>
                      <w:lang w:val="en-US" w:eastAsia="zh-CN" w:bidi="ar-SA"/>
                    </w:rPr>
                  </w:pPr>
                  <w:r>
                    <w:rPr>
                      <w:rFonts w:hint="eastAsia" w:ascii="Times New Roman" w:hAnsi="Times New Roman" w:cs="Times New Roman"/>
                      <w:color w:val="auto"/>
                      <w:spacing w:val="15"/>
                      <w:kern w:val="0"/>
                      <w:sz w:val="21"/>
                      <w:szCs w:val="21"/>
                      <w:lang w:val="en-US" w:eastAsia="zh-CN" w:bidi="ar-SA"/>
                    </w:rPr>
                    <w:t>200</w:t>
                  </w:r>
                </w:p>
              </w:tc>
              <w:tc>
                <w:tcPr>
                  <w:tcW w:w="627" w:type="pct"/>
                  <w:shd w:val="clear" w:color="auto" w:fill="FFFFFF"/>
                  <w:vAlign w:val="center"/>
                </w:tcPr>
                <w:p>
                  <w:pPr>
                    <w:jc w:val="center"/>
                    <w:rPr>
                      <w:color w:val="auto"/>
                      <w:szCs w:val="21"/>
                    </w:rPr>
                  </w:pPr>
                  <w:r>
                    <w:rPr>
                      <w:color w:val="auto"/>
                      <w:szCs w:val="21"/>
                    </w:rPr>
                    <w:t>二类区</w:t>
                  </w:r>
                </w:p>
              </w:tc>
              <w:tc>
                <w:tcPr>
                  <w:tcW w:w="500" w:type="pct"/>
                  <w:shd w:val="clear" w:color="auto" w:fill="FFFFFF"/>
                  <w:vAlign w:val="center"/>
                </w:tcPr>
                <w:p>
                  <w:pPr>
                    <w:pStyle w:val="50"/>
                    <w:widowControl w:val="0"/>
                    <w:adjustRightInd w:val="0"/>
                    <w:snapToGrid w:val="0"/>
                    <w:spacing w:before="0" w:line="240" w:lineRule="auto"/>
                    <w:ind w:firstLine="0" w:firstLineChars="0"/>
                    <w:jc w:val="center"/>
                    <w:rPr>
                      <w:rFonts w:hint="default" w:ascii="Times New Roman" w:hAnsi="Times New Roman"/>
                      <w:color w:val="auto"/>
                      <w:sz w:val="21"/>
                      <w:szCs w:val="21"/>
                      <w:lang w:val="en-US" w:eastAsia="zh-CN"/>
                    </w:rPr>
                  </w:pPr>
                  <w:r>
                    <w:rPr>
                      <w:rFonts w:hint="eastAsia" w:ascii="Times New Roman" w:hAnsi="Times New Roman"/>
                      <w:color w:val="auto"/>
                      <w:sz w:val="21"/>
                      <w:szCs w:val="21"/>
                      <w:lang w:val="en-US" w:eastAsia="zh-CN"/>
                    </w:rPr>
                    <w:t>N</w:t>
                  </w:r>
                </w:p>
              </w:tc>
              <w:tc>
                <w:tcPr>
                  <w:tcW w:w="577" w:type="pct"/>
                  <w:shd w:val="clear" w:color="auto" w:fill="FFFFFF"/>
                  <w:vAlign w:val="center"/>
                </w:tcPr>
                <w:p>
                  <w:pPr>
                    <w:pStyle w:val="50"/>
                    <w:widowControl w:val="0"/>
                    <w:adjustRightInd w:val="0"/>
                    <w:snapToGrid w:val="0"/>
                    <w:spacing w:before="0" w:line="240" w:lineRule="auto"/>
                    <w:ind w:firstLine="0"/>
                    <w:jc w:val="center"/>
                    <w:rPr>
                      <w:rFonts w:hint="default" w:ascii="Times New Roman" w:hAnsi="Times New Roman" w:eastAsia="宋体"/>
                      <w:color w:val="auto"/>
                      <w:sz w:val="21"/>
                      <w:szCs w:val="21"/>
                      <w:lang w:val="en-US" w:eastAsia="zh-CN"/>
                    </w:rPr>
                  </w:pPr>
                  <w:r>
                    <w:rPr>
                      <w:rFonts w:hint="eastAsia" w:ascii="Times New Roman" w:hAnsi="Times New Roman"/>
                      <w:color w:val="auto"/>
                      <w:sz w:val="21"/>
                      <w:szCs w:val="21"/>
                      <w:lang w:val="en-US" w:eastAsia="zh-CN"/>
                    </w:rPr>
                    <w:t>1200</w:t>
                  </w:r>
                </w:p>
              </w:tc>
            </w:tr>
            <w:tr>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0" w:type="dxa"/>
                  <w:left w:w="108" w:type="dxa"/>
                  <w:bottom w:w="0" w:type="dxa"/>
                  <w:right w:w="108" w:type="dxa"/>
                </w:tblCellMar>
              </w:tblPrEx>
              <w:trPr>
                <w:trHeight w:val="717" w:hRule="atLeast"/>
                <w:jc w:val="center"/>
              </w:trPr>
              <w:tc>
                <w:tcPr>
                  <w:tcW w:w="554" w:type="pct"/>
                  <w:shd w:val="clear" w:color="auto" w:fill="FFFFFF"/>
                  <w:vAlign w:val="center"/>
                </w:tcPr>
                <w:p>
                  <w:pPr>
                    <w:pStyle w:val="50"/>
                    <w:widowControl w:val="0"/>
                    <w:adjustRightInd w:val="0"/>
                    <w:snapToGrid w:val="0"/>
                    <w:spacing w:before="0" w:line="240" w:lineRule="auto"/>
                    <w:ind w:firstLine="0" w:firstLineChars="0"/>
                    <w:jc w:val="both"/>
                    <w:rPr>
                      <w:rFonts w:hint="eastAsia" w:ascii="Times New Roman" w:hAnsi="Times New Roman" w:eastAsia="宋体"/>
                      <w:color w:val="auto"/>
                      <w:sz w:val="21"/>
                      <w:szCs w:val="21"/>
                      <w:lang w:eastAsia="zh-CN"/>
                    </w:rPr>
                  </w:pPr>
                  <w:r>
                    <w:rPr>
                      <w:rFonts w:hint="eastAsia" w:ascii="Times New Roman" w:hAnsi="Times New Roman"/>
                      <w:color w:val="auto"/>
                      <w:sz w:val="21"/>
                      <w:szCs w:val="21"/>
                      <w:lang w:eastAsia="zh-CN"/>
                    </w:rPr>
                    <w:t>许城村</w:t>
                  </w:r>
                </w:p>
              </w:tc>
              <w:tc>
                <w:tcPr>
                  <w:tcW w:w="745" w:type="pct"/>
                  <w:shd w:val="clear" w:color="auto" w:fill="FFFFFF"/>
                  <w:vAlign w:val="center"/>
                </w:tcPr>
                <w:p>
                  <w:pPr>
                    <w:pStyle w:val="50"/>
                    <w:widowControl w:val="0"/>
                    <w:adjustRightInd w:val="0"/>
                    <w:snapToGrid w:val="0"/>
                    <w:spacing w:before="0" w:line="240" w:lineRule="auto"/>
                    <w:ind w:firstLine="0" w:firstLineChars="0"/>
                    <w:jc w:val="center"/>
                    <w:rPr>
                      <w:rFonts w:hint="eastAsia" w:ascii="Times New Roman" w:hAnsi="Times New Roman" w:eastAsia="宋体" w:cs="Times New Roman"/>
                      <w:color w:val="auto"/>
                      <w:spacing w:val="15"/>
                      <w:kern w:val="0"/>
                      <w:sz w:val="21"/>
                      <w:szCs w:val="21"/>
                      <w:lang w:val="en-US" w:eastAsia="zh-CN" w:bidi="ar-SA"/>
                    </w:rPr>
                  </w:pPr>
                  <w:r>
                    <w:rPr>
                      <w:rFonts w:hint="eastAsia" w:ascii="Times New Roman" w:hAnsi="Times New Roman"/>
                      <w:color w:val="auto"/>
                      <w:sz w:val="21"/>
                      <w:szCs w:val="21"/>
                      <w:lang w:val="en-US" w:eastAsia="zh-CN"/>
                    </w:rPr>
                    <w:t>119.6320</w:t>
                  </w:r>
                </w:p>
              </w:tc>
              <w:tc>
                <w:tcPr>
                  <w:tcW w:w="631" w:type="pct"/>
                  <w:shd w:val="clear" w:color="auto" w:fill="FFFFFF"/>
                  <w:vAlign w:val="center"/>
                </w:tcPr>
                <w:p>
                  <w:pPr>
                    <w:pStyle w:val="50"/>
                    <w:widowControl w:val="0"/>
                    <w:adjustRightInd w:val="0"/>
                    <w:snapToGrid w:val="0"/>
                    <w:spacing w:before="0" w:line="240" w:lineRule="auto"/>
                    <w:ind w:firstLine="0" w:firstLineChars="0"/>
                    <w:jc w:val="center"/>
                    <w:rPr>
                      <w:rFonts w:hint="eastAsia" w:ascii="Times New Roman" w:hAnsi="Times New Roman" w:eastAsia="宋体" w:cs="Times New Roman"/>
                      <w:color w:val="auto"/>
                      <w:spacing w:val="15"/>
                      <w:kern w:val="0"/>
                      <w:sz w:val="21"/>
                      <w:szCs w:val="21"/>
                      <w:lang w:val="en-US" w:eastAsia="zh-CN" w:bidi="ar-SA"/>
                    </w:rPr>
                  </w:pPr>
                  <w:r>
                    <w:rPr>
                      <w:rFonts w:hint="eastAsia" w:ascii="Times New Roman" w:hAnsi="Times New Roman"/>
                      <w:color w:val="auto"/>
                      <w:sz w:val="21"/>
                      <w:szCs w:val="21"/>
                      <w:lang w:val="en-US" w:eastAsia="zh-CN"/>
                    </w:rPr>
                    <w:t>31.7660</w:t>
                  </w:r>
                </w:p>
              </w:tc>
              <w:tc>
                <w:tcPr>
                  <w:tcW w:w="469" w:type="pct"/>
                  <w:shd w:val="clear" w:color="auto" w:fill="FFFFFF"/>
                  <w:vAlign w:val="center"/>
                </w:tcPr>
                <w:p>
                  <w:pPr>
                    <w:jc w:val="center"/>
                    <w:rPr>
                      <w:color w:val="auto"/>
                      <w:szCs w:val="21"/>
                    </w:rPr>
                  </w:pPr>
                  <w:r>
                    <w:rPr>
                      <w:color w:val="auto"/>
                      <w:szCs w:val="21"/>
                    </w:rPr>
                    <w:t>居住区</w:t>
                  </w:r>
                </w:p>
              </w:tc>
              <w:tc>
                <w:tcPr>
                  <w:tcW w:w="469" w:type="pct"/>
                  <w:shd w:val="clear" w:color="auto" w:fill="FFFFFF"/>
                  <w:vAlign w:val="center"/>
                </w:tcPr>
                <w:p>
                  <w:pPr>
                    <w:pStyle w:val="50"/>
                    <w:widowControl w:val="0"/>
                    <w:adjustRightInd w:val="0"/>
                    <w:snapToGrid w:val="0"/>
                    <w:spacing w:before="0" w:line="240" w:lineRule="auto"/>
                    <w:ind w:firstLine="0" w:firstLineChars="0"/>
                    <w:jc w:val="center"/>
                    <w:rPr>
                      <w:rFonts w:ascii="Times New Roman" w:hAnsi="Times New Roman"/>
                      <w:color w:val="auto"/>
                      <w:sz w:val="21"/>
                      <w:szCs w:val="21"/>
                    </w:rPr>
                  </w:pPr>
                  <w:r>
                    <w:rPr>
                      <w:rFonts w:ascii="Times New Roman" w:hAnsi="Times New Roman"/>
                      <w:color w:val="auto"/>
                      <w:sz w:val="21"/>
                      <w:szCs w:val="21"/>
                    </w:rPr>
                    <w:t>人群</w:t>
                  </w:r>
                </w:p>
              </w:tc>
              <w:tc>
                <w:tcPr>
                  <w:tcW w:w="424" w:type="pct"/>
                  <w:shd w:val="clear" w:color="auto" w:fill="FFFFFF"/>
                  <w:vAlign w:val="center"/>
                </w:tcPr>
                <w:p>
                  <w:pPr>
                    <w:pStyle w:val="50"/>
                    <w:widowControl w:val="0"/>
                    <w:adjustRightInd w:val="0"/>
                    <w:snapToGrid w:val="0"/>
                    <w:spacing w:before="0" w:line="240" w:lineRule="auto"/>
                    <w:ind w:firstLine="0" w:firstLineChars="0"/>
                    <w:jc w:val="center"/>
                    <w:rPr>
                      <w:rFonts w:hint="default" w:ascii="Times New Roman" w:hAnsi="Times New Roman" w:cs="Times New Roman"/>
                      <w:color w:val="auto"/>
                      <w:spacing w:val="15"/>
                      <w:kern w:val="0"/>
                      <w:sz w:val="21"/>
                      <w:szCs w:val="21"/>
                      <w:lang w:val="en-US" w:eastAsia="zh-CN" w:bidi="ar-SA"/>
                    </w:rPr>
                  </w:pPr>
                  <w:r>
                    <w:rPr>
                      <w:rFonts w:hint="eastAsia" w:ascii="Times New Roman" w:hAnsi="Times New Roman" w:cs="Times New Roman"/>
                      <w:color w:val="auto"/>
                      <w:spacing w:val="15"/>
                      <w:kern w:val="0"/>
                      <w:sz w:val="21"/>
                      <w:szCs w:val="21"/>
                      <w:lang w:val="en-US" w:eastAsia="zh-CN" w:bidi="ar-SA"/>
                    </w:rPr>
                    <w:t>300</w:t>
                  </w:r>
                </w:p>
              </w:tc>
              <w:tc>
                <w:tcPr>
                  <w:tcW w:w="627" w:type="pct"/>
                  <w:shd w:val="clear" w:color="auto" w:fill="FFFFFF"/>
                  <w:vAlign w:val="center"/>
                </w:tcPr>
                <w:p>
                  <w:pPr>
                    <w:jc w:val="center"/>
                    <w:rPr>
                      <w:color w:val="auto"/>
                      <w:szCs w:val="21"/>
                    </w:rPr>
                  </w:pPr>
                  <w:r>
                    <w:rPr>
                      <w:color w:val="auto"/>
                      <w:szCs w:val="21"/>
                    </w:rPr>
                    <w:t>二类区</w:t>
                  </w:r>
                </w:p>
              </w:tc>
              <w:tc>
                <w:tcPr>
                  <w:tcW w:w="500" w:type="pct"/>
                  <w:shd w:val="clear" w:color="auto" w:fill="FFFFFF"/>
                  <w:vAlign w:val="center"/>
                </w:tcPr>
                <w:p>
                  <w:pPr>
                    <w:pStyle w:val="50"/>
                    <w:widowControl w:val="0"/>
                    <w:adjustRightInd w:val="0"/>
                    <w:snapToGrid w:val="0"/>
                    <w:spacing w:before="0" w:line="240" w:lineRule="auto"/>
                    <w:ind w:firstLine="0" w:firstLineChars="0"/>
                    <w:jc w:val="center"/>
                    <w:rPr>
                      <w:rFonts w:hint="default" w:ascii="Times New Roman" w:hAnsi="Times New Roman"/>
                      <w:color w:val="auto"/>
                      <w:sz w:val="21"/>
                      <w:szCs w:val="21"/>
                      <w:lang w:val="en-US" w:eastAsia="zh-CN"/>
                    </w:rPr>
                  </w:pPr>
                  <w:r>
                    <w:rPr>
                      <w:rFonts w:hint="eastAsia" w:ascii="Times New Roman" w:hAnsi="Times New Roman"/>
                      <w:color w:val="auto"/>
                      <w:sz w:val="21"/>
                      <w:szCs w:val="21"/>
                      <w:lang w:val="en-US" w:eastAsia="zh-CN"/>
                    </w:rPr>
                    <w:t>N</w:t>
                  </w:r>
                </w:p>
              </w:tc>
              <w:tc>
                <w:tcPr>
                  <w:tcW w:w="577" w:type="pct"/>
                  <w:shd w:val="clear" w:color="auto" w:fill="FFFFFF"/>
                  <w:vAlign w:val="center"/>
                </w:tcPr>
                <w:p>
                  <w:pPr>
                    <w:pStyle w:val="50"/>
                    <w:widowControl w:val="0"/>
                    <w:adjustRightInd w:val="0"/>
                    <w:snapToGrid w:val="0"/>
                    <w:spacing w:before="0" w:line="240" w:lineRule="auto"/>
                    <w:ind w:firstLine="0"/>
                    <w:jc w:val="center"/>
                    <w:rPr>
                      <w:rFonts w:hint="default" w:ascii="Times New Roman" w:hAnsi="Times New Roman" w:eastAsia="宋体"/>
                      <w:color w:val="auto"/>
                      <w:sz w:val="21"/>
                      <w:szCs w:val="21"/>
                      <w:lang w:val="en-US" w:eastAsia="zh-CN"/>
                    </w:rPr>
                  </w:pPr>
                  <w:r>
                    <w:rPr>
                      <w:rFonts w:hint="eastAsia" w:ascii="Times New Roman" w:hAnsi="Times New Roman"/>
                      <w:color w:val="auto"/>
                      <w:sz w:val="21"/>
                      <w:szCs w:val="21"/>
                      <w:lang w:val="en-US" w:eastAsia="zh-CN"/>
                    </w:rPr>
                    <w:t>1100</w:t>
                  </w:r>
                </w:p>
              </w:tc>
            </w:tr>
            <w:tr>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0" w:type="dxa"/>
                  <w:left w:w="108" w:type="dxa"/>
                  <w:bottom w:w="0" w:type="dxa"/>
                  <w:right w:w="108" w:type="dxa"/>
                </w:tblCellMar>
              </w:tblPrEx>
              <w:trPr>
                <w:trHeight w:val="717" w:hRule="atLeast"/>
                <w:jc w:val="center"/>
              </w:trPr>
              <w:tc>
                <w:tcPr>
                  <w:tcW w:w="554" w:type="pct"/>
                  <w:shd w:val="clear" w:color="auto" w:fill="FFFFFF"/>
                  <w:vAlign w:val="center"/>
                </w:tcPr>
                <w:p>
                  <w:pPr>
                    <w:pStyle w:val="50"/>
                    <w:widowControl w:val="0"/>
                    <w:adjustRightInd w:val="0"/>
                    <w:snapToGrid w:val="0"/>
                    <w:spacing w:before="0" w:line="240" w:lineRule="auto"/>
                    <w:ind w:firstLine="0" w:firstLineChars="0"/>
                    <w:jc w:val="center"/>
                    <w:rPr>
                      <w:rFonts w:hint="eastAsia" w:ascii="Times New Roman" w:hAnsi="Times New Roman" w:eastAsia="宋体" w:cs="Times New Roman"/>
                      <w:color w:val="auto"/>
                      <w:spacing w:val="15"/>
                      <w:kern w:val="0"/>
                      <w:sz w:val="21"/>
                      <w:szCs w:val="21"/>
                      <w:lang w:val="en-US" w:eastAsia="zh-CN" w:bidi="ar-SA"/>
                    </w:rPr>
                  </w:pPr>
                  <w:r>
                    <w:rPr>
                      <w:rFonts w:hint="eastAsia" w:ascii="Times New Roman" w:hAnsi="Times New Roman"/>
                      <w:color w:val="auto"/>
                      <w:sz w:val="21"/>
                      <w:szCs w:val="21"/>
                    </w:rPr>
                    <w:t>东城实验小学</w:t>
                  </w:r>
                </w:p>
              </w:tc>
              <w:tc>
                <w:tcPr>
                  <w:tcW w:w="745" w:type="pct"/>
                  <w:shd w:val="clear" w:color="auto" w:fill="FFFFFF"/>
                  <w:vAlign w:val="center"/>
                </w:tcPr>
                <w:p>
                  <w:pPr>
                    <w:pStyle w:val="50"/>
                    <w:widowControl w:val="0"/>
                    <w:adjustRightInd w:val="0"/>
                    <w:snapToGrid w:val="0"/>
                    <w:spacing w:before="0" w:line="240" w:lineRule="auto"/>
                    <w:ind w:firstLine="0" w:firstLineChars="0"/>
                    <w:jc w:val="center"/>
                    <w:rPr>
                      <w:rFonts w:hint="eastAsia" w:ascii="Times New Roman" w:hAnsi="Times New Roman" w:eastAsia="宋体" w:cs="Times New Roman"/>
                      <w:color w:val="auto"/>
                      <w:spacing w:val="15"/>
                      <w:kern w:val="0"/>
                      <w:sz w:val="21"/>
                      <w:szCs w:val="21"/>
                      <w:lang w:val="en-US" w:eastAsia="zh-CN" w:bidi="ar-SA"/>
                    </w:rPr>
                  </w:pPr>
                  <w:r>
                    <w:rPr>
                      <w:rFonts w:hint="eastAsia" w:ascii="Times New Roman" w:hAnsi="Times New Roman"/>
                      <w:color w:val="auto"/>
                      <w:sz w:val="21"/>
                      <w:szCs w:val="21"/>
                    </w:rPr>
                    <w:t>119.634815</w:t>
                  </w:r>
                </w:p>
              </w:tc>
              <w:tc>
                <w:tcPr>
                  <w:tcW w:w="631" w:type="pct"/>
                  <w:shd w:val="clear" w:color="auto" w:fill="FFFFFF"/>
                  <w:vAlign w:val="center"/>
                </w:tcPr>
                <w:p>
                  <w:pPr>
                    <w:pStyle w:val="50"/>
                    <w:widowControl w:val="0"/>
                    <w:adjustRightInd w:val="0"/>
                    <w:snapToGrid w:val="0"/>
                    <w:spacing w:before="0" w:line="240" w:lineRule="auto"/>
                    <w:ind w:firstLine="0" w:firstLineChars="0"/>
                    <w:jc w:val="center"/>
                    <w:rPr>
                      <w:rFonts w:hint="eastAsia" w:ascii="Times New Roman" w:hAnsi="Times New Roman" w:eastAsia="宋体" w:cs="Times New Roman"/>
                      <w:color w:val="auto"/>
                      <w:spacing w:val="15"/>
                      <w:kern w:val="0"/>
                      <w:sz w:val="21"/>
                      <w:szCs w:val="21"/>
                      <w:lang w:val="en-US" w:eastAsia="zh-CN" w:bidi="ar-SA"/>
                    </w:rPr>
                  </w:pPr>
                  <w:r>
                    <w:rPr>
                      <w:rFonts w:hint="eastAsia" w:ascii="Times New Roman" w:hAnsi="Times New Roman"/>
                      <w:color w:val="auto"/>
                      <w:sz w:val="21"/>
                      <w:szCs w:val="21"/>
                    </w:rPr>
                    <w:t>31.744563</w:t>
                  </w:r>
                </w:p>
              </w:tc>
              <w:tc>
                <w:tcPr>
                  <w:tcW w:w="469" w:type="pct"/>
                  <w:shd w:val="clear" w:color="auto" w:fill="FFFFFF"/>
                  <w:vAlign w:val="center"/>
                </w:tcPr>
                <w:p>
                  <w:pPr>
                    <w:jc w:val="center"/>
                    <w:rPr>
                      <w:rFonts w:ascii="Times New Roman" w:hAnsi="Times New Roman" w:eastAsia="宋体" w:cs="Times New Roman"/>
                      <w:color w:val="auto"/>
                      <w:kern w:val="2"/>
                      <w:sz w:val="21"/>
                      <w:szCs w:val="21"/>
                      <w:lang w:val="en-US" w:eastAsia="zh-CN" w:bidi="ar-SA"/>
                    </w:rPr>
                  </w:pPr>
                  <w:r>
                    <w:rPr>
                      <w:color w:val="auto"/>
                      <w:szCs w:val="21"/>
                    </w:rPr>
                    <w:t>居住区</w:t>
                  </w:r>
                </w:p>
              </w:tc>
              <w:tc>
                <w:tcPr>
                  <w:tcW w:w="469" w:type="pct"/>
                  <w:shd w:val="clear" w:color="auto" w:fill="FFFFFF"/>
                  <w:vAlign w:val="center"/>
                </w:tcPr>
                <w:p>
                  <w:pPr>
                    <w:pStyle w:val="50"/>
                    <w:widowControl w:val="0"/>
                    <w:adjustRightInd w:val="0"/>
                    <w:snapToGrid w:val="0"/>
                    <w:spacing w:before="0" w:line="240" w:lineRule="auto"/>
                    <w:ind w:firstLine="0" w:firstLineChars="0"/>
                    <w:jc w:val="center"/>
                    <w:rPr>
                      <w:rFonts w:ascii="Times New Roman" w:hAnsi="Times New Roman" w:eastAsia="宋体" w:cs="Times New Roman"/>
                      <w:color w:val="auto"/>
                      <w:spacing w:val="15"/>
                      <w:kern w:val="0"/>
                      <w:sz w:val="21"/>
                      <w:szCs w:val="21"/>
                      <w:lang w:val="en-US" w:eastAsia="zh-CN" w:bidi="ar-SA"/>
                    </w:rPr>
                  </w:pPr>
                  <w:r>
                    <w:rPr>
                      <w:rFonts w:ascii="Times New Roman" w:hAnsi="Times New Roman"/>
                      <w:color w:val="auto"/>
                      <w:sz w:val="21"/>
                      <w:szCs w:val="21"/>
                    </w:rPr>
                    <w:t>人群</w:t>
                  </w:r>
                </w:p>
              </w:tc>
              <w:tc>
                <w:tcPr>
                  <w:tcW w:w="424" w:type="pct"/>
                  <w:shd w:val="clear" w:color="auto" w:fill="FFFFFF"/>
                  <w:vAlign w:val="center"/>
                </w:tcPr>
                <w:p>
                  <w:pPr>
                    <w:pStyle w:val="50"/>
                    <w:widowControl w:val="0"/>
                    <w:adjustRightInd w:val="0"/>
                    <w:snapToGrid w:val="0"/>
                    <w:spacing w:before="0" w:line="240" w:lineRule="auto"/>
                    <w:ind w:firstLine="0" w:firstLineChars="0"/>
                    <w:jc w:val="center"/>
                    <w:rPr>
                      <w:rFonts w:hint="eastAsia" w:ascii="Times New Roman" w:hAnsi="Times New Roman" w:eastAsia="宋体" w:cs="Times New Roman"/>
                      <w:color w:val="auto"/>
                      <w:spacing w:val="15"/>
                      <w:kern w:val="0"/>
                      <w:sz w:val="21"/>
                      <w:szCs w:val="21"/>
                      <w:lang w:val="en-US" w:eastAsia="zh-CN" w:bidi="ar-SA"/>
                    </w:rPr>
                  </w:pPr>
                  <w:r>
                    <w:rPr>
                      <w:rFonts w:hint="eastAsia" w:ascii="Times New Roman" w:hAnsi="Times New Roman" w:cs="Times New Roman"/>
                      <w:color w:val="auto"/>
                      <w:spacing w:val="15"/>
                      <w:kern w:val="0"/>
                      <w:sz w:val="21"/>
                      <w:szCs w:val="21"/>
                      <w:lang w:val="en-US" w:eastAsia="zh-CN" w:bidi="ar-SA"/>
                    </w:rPr>
                    <w:t>1000</w:t>
                  </w:r>
                </w:p>
              </w:tc>
              <w:tc>
                <w:tcPr>
                  <w:tcW w:w="627" w:type="pct"/>
                  <w:shd w:val="clear" w:color="auto" w:fill="FFFFFF"/>
                  <w:vAlign w:val="center"/>
                </w:tcPr>
                <w:p>
                  <w:pPr>
                    <w:jc w:val="center"/>
                    <w:rPr>
                      <w:rFonts w:ascii="Times New Roman" w:hAnsi="Times New Roman" w:eastAsia="宋体" w:cs="Times New Roman"/>
                      <w:color w:val="auto"/>
                      <w:kern w:val="2"/>
                      <w:sz w:val="21"/>
                      <w:szCs w:val="21"/>
                      <w:lang w:val="en-US" w:eastAsia="zh-CN" w:bidi="ar-SA"/>
                    </w:rPr>
                  </w:pPr>
                  <w:r>
                    <w:rPr>
                      <w:color w:val="auto"/>
                      <w:szCs w:val="21"/>
                    </w:rPr>
                    <w:t>二类区</w:t>
                  </w:r>
                </w:p>
              </w:tc>
              <w:tc>
                <w:tcPr>
                  <w:tcW w:w="500" w:type="pct"/>
                  <w:shd w:val="clear" w:color="auto" w:fill="FFFFFF"/>
                  <w:vAlign w:val="center"/>
                </w:tcPr>
                <w:p>
                  <w:pPr>
                    <w:pStyle w:val="50"/>
                    <w:widowControl w:val="0"/>
                    <w:adjustRightInd w:val="0"/>
                    <w:snapToGrid w:val="0"/>
                    <w:spacing w:before="0" w:line="240" w:lineRule="auto"/>
                    <w:ind w:firstLine="0" w:firstLineChars="0"/>
                    <w:jc w:val="center"/>
                    <w:rPr>
                      <w:rFonts w:hint="eastAsia" w:ascii="Times New Roman" w:hAnsi="Times New Roman" w:eastAsia="宋体" w:cs="Times New Roman"/>
                      <w:color w:val="auto"/>
                      <w:spacing w:val="15"/>
                      <w:kern w:val="0"/>
                      <w:sz w:val="21"/>
                      <w:szCs w:val="21"/>
                      <w:lang w:val="en-US" w:eastAsia="zh-CN" w:bidi="ar-SA"/>
                    </w:rPr>
                  </w:pPr>
                  <w:r>
                    <w:rPr>
                      <w:rFonts w:hint="eastAsia" w:ascii="Times New Roman" w:hAnsi="Times New Roman"/>
                      <w:color w:val="auto"/>
                      <w:sz w:val="21"/>
                      <w:szCs w:val="21"/>
                    </w:rPr>
                    <w:t>SE</w:t>
                  </w:r>
                </w:p>
              </w:tc>
              <w:tc>
                <w:tcPr>
                  <w:tcW w:w="577" w:type="pct"/>
                  <w:shd w:val="clear" w:color="auto" w:fill="FFFFFF"/>
                  <w:vAlign w:val="center"/>
                </w:tcPr>
                <w:p>
                  <w:pPr>
                    <w:pStyle w:val="50"/>
                    <w:widowControl w:val="0"/>
                    <w:adjustRightInd w:val="0"/>
                    <w:snapToGrid w:val="0"/>
                    <w:spacing w:before="0" w:line="240" w:lineRule="auto"/>
                    <w:ind w:firstLine="0" w:firstLineChars="0"/>
                    <w:jc w:val="center"/>
                    <w:rPr>
                      <w:rFonts w:hint="default" w:ascii="Times New Roman" w:hAnsi="Times New Roman" w:eastAsia="宋体" w:cs="Times New Roman"/>
                      <w:color w:val="auto"/>
                      <w:spacing w:val="15"/>
                      <w:kern w:val="0"/>
                      <w:sz w:val="21"/>
                      <w:szCs w:val="21"/>
                      <w:lang w:val="en-US" w:eastAsia="zh-CN" w:bidi="ar-SA"/>
                    </w:rPr>
                  </w:pPr>
                  <w:r>
                    <w:rPr>
                      <w:rFonts w:hint="eastAsia" w:ascii="Times New Roman" w:hAnsi="Times New Roman" w:cs="Times New Roman"/>
                      <w:color w:val="auto"/>
                      <w:spacing w:val="15"/>
                      <w:kern w:val="0"/>
                      <w:sz w:val="21"/>
                      <w:szCs w:val="21"/>
                      <w:lang w:val="en-US" w:eastAsia="zh-CN" w:bidi="ar-SA"/>
                    </w:rPr>
                    <w:t>1270</w:t>
                  </w:r>
                </w:p>
              </w:tc>
            </w:tr>
            <w:tr>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0" w:type="dxa"/>
                  <w:left w:w="108" w:type="dxa"/>
                  <w:bottom w:w="0" w:type="dxa"/>
                  <w:right w:w="108" w:type="dxa"/>
                </w:tblCellMar>
              </w:tblPrEx>
              <w:trPr>
                <w:trHeight w:val="717" w:hRule="atLeast"/>
                <w:jc w:val="center"/>
              </w:trPr>
              <w:tc>
                <w:tcPr>
                  <w:tcW w:w="554" w:type="pct"/>
                  <w:shd w:val="clear" w:color="auto" w:fill="FFFFFF"/>
                  <w:vAlign w:val="center"/>
                </w:tcPr>
                <w:p>
                  <w:pPr>
                    <w:pStyle w:val="50"/>
                    <w:widowControl w:val="0"/>
                    <w:adjustRightInd w:val="0"/>
                    <w:snapToGrid w:val="0"/>
                    <w:spacing w:before="0" w:line="240" w:lineRule="auto"/>
                    <w:ind w:firstLine="0" w:firstLineChars="0"/>
                    <w:jc w:val="center"/>
                    <w:rPr>
                      <w:rFonts w:hint="eastAsia" w:ascii="Times New Roman" w:hAnsi="Times New Roman" w:eastAsia="宋体" w:cs="Times New Roman"/>
                      <w:color w:val="auto"/>
                      <w:spacing w:val="15"/>
                      <w:kern w:val="0"/>
                      <w:sz w:val="21"/>
                      <w:szCs w:val="21"/>
                      <w:lang w:val="en-US" w:eastAsia="zh-CN" w:bidi="ar-SA"/>
                    </w:rPr>
                  </w:pPr>
                  <w:r>
                    <w:rPr>
                      <w:rFonts w:hint="eastAsia" w:ascii="Times New Roman" w:hAnsi="Times New Roman"/>
                      <w:color w:val="auto"/>
                      <w:sz w:val="21"/>
                      <w:szCs w:val="21"/>
                    </w:rPr>
                    <w:t>金田花园</w:t>
                  </w:r>
                </w:p>
              </w:tc>
              <w:tc>
                <w:tcPr>
                  <w:tcW w:w="745" w:type="pct"/>
                  <w:shd w:val="clear" w:color="auto" w:fill="FFFFFF"/>
                  <w:vAlign w:val="center"/>
                </w:tcPr>
                <w:p>
                  <w:pPr>
                    <w:pStyle w:val="50"/>
                    <w:widowControl w:val="0"/>
                    <w:adjustRightInd w:val="0"/>
                    <w:snapToGrid w:val="0"/>
                    <w:spacing w:before="0" w:line="240" w:lineRule="auto"/>
                    <w:ind w:firstLine="0" w:firstLineChars="0"/>
                    <w:jc w:val="center"/>
                    <w:rPr>
                      <w:rFonts w:hint="eastAsia" w:ascii="Times New Roman" w:hAnsi="Times New Roman" w:eastAsia="宋体" w:cs="Times New Roman"/>
                      <w:color w:val="auto"/>
                      <w:spacing w:val="15"/>
                      <w:kern w:val="0"/>
                      <w:sz w:val="21"/>
                      <w:szCs w:val="21"/>
                      <w:lang w:val="en-US" w:eastAsia="zh-CN" w:bidi="ar-SA"/>
                    </w:rPr>
                  </w:pPr>
                  <w:r>
                    <w:rPr>
                      <w:rFonts w:hint="eastAsia" w:ascii="Times New Roman" w:hAnsi="Times New Roman"/>
                      <w:color w:val="auto"/>
                      <w:sz w:val="21"/>
                      <w:szCs w:val="21"/>
                    </w:rPr>
                    <w:t>119.632600</w:t>
                  </w:r>
                </w:p>
              </w:tc>
              <w:tc>
                <w:tcPr>
                  <w:tcW w:w="631" w:type="pct"/>
                  <w:shd w:val="clear" w:color="auto" w:fill="FFFFFF"/>
                  <w:vAlign w:val="center"/>
                </w:tcPr>
                <w:p>
                  <w:pPr>
                    <w:pStyle w:val="50"/>
                    <w:widowControl w:val="0"/>
                    <w:adjustRightInd w:val="0"/>
                    <w:snapToGrid w:val="0"/>
                    <w:spacing w:before="0" w:line="240" w:lineRule="auto"/>
                    <w:ind w:firstLine="0" w:firstLineChars="0"/>
                    <w:jc w:val="center"/>
                    <w:rPr>
                      <w:rFonts w:hint="eastAsia" w:ascii="Times New Roman" w:hAnsi="Times New Roman" w:eastAsia="宋体" w:cs="Times New Roman"/>
                      <w:color w:val="auto"/>
                      <w:spacing w:val="15"/>
                      <w:kern w:val="0"/>
                      <w:sz w:val="21"/>
                      <w:szCs w:val="21"/>
                      <w:lang w:val="en-US" w:eastAsia="zh-CN" w:bidi="ar-SA"/>
                    </w:rPr>
                  </w:pPr>
                  <w:r>
                    <w:rPr>
                      <w:rFonts w:hint="eastAsia" w:ascii="Times New Roman" w:hAnsi="Times New Roman"/>
                      <w:color w:val="auto"/>
                      <w:sz w:val="21"/>
                      <w:szCs w:val="21"/>
                    </w:rPr>
                    <w:t>31.743004</w:t>
                  </w:r>
                </w:p>
              </w:tc>
              <w:tc>
                <w:tcPr>
                  <w:tcW w:w="469" w:type="pct"/>
                  <w:shd w:val="clear" w:color="auto" w:fill="FFFFFF"/>
                  <w:vAlign w:val="center"/>
                </w:tcPr>
                <w:p>
                  <w:pPr>
                    <w:jc w:val="center"/>
                    <w:rPr>
                      <w:rFonts w:ascii="Times New Roman" w:hAnsi="Times New Roman" w:eastAsia="宋体" w:cs="Times New Roman"/>
                      <w:color w:val="auto"/>
                      <w:kern w:val="2"/>
                      <w:sz w:val="21"/>
                      <w:szCs w:val="21"/>
                      <w:lang w:val="en-US" w:eastAsia="zh-CN" w:bidi="ar-SA"/>
                    </w:rPr>
                  </w:pPr>
                  <w:r>
                    <w:rPr>
                      <w:color w:val="auto"/>
                      <w:szCs w:val="21"/>
                    </w:rPr>
                    <w:t>居住区</w:t>
                  </w:r>
                </w:p>
              </w:tc>
              <w:tc>
                <w:tcPr>
                  <w:tcW w:w="469" w:type="pct"/>
                  <w:shd w:val="clear" w:color="auto" w:fill="FFFFFF"/>
                  <w:vAlign w:val="center"/>
                </w:tcPr>
                <w:p>
                  <w:pPr>
                    <w:pStyle w:val="50"/>
                    <w:widowControl w:val="0"/>
                    <w:adjustRightInd w:val="0"/>
                    <w:snapToGrid w:val="0"/>
                    <w:spacing w:before="0" w:line="240" w:lineRule="auto"/>
                    <w:ind w:firstLine="0" w:firstLineChars="0"/>
                    <w:jc w:val="center"/>
                    <w:rPr>
                      <w:rFonts w:ascii="Times New Roman" w:hAnsi="Times New Roman" w:eastAsia="宋体" w:cs="Times New Roman"/>
                      <w:color w:val="auto"/>
                      <w:spacing w:val="15"/>
                      <w:kern w:val="0"/>
                      <w:sz w:val="21"/>
                      <w:szCs w:val="21"/>
                      <w:lang w:val="en-US" w:eastAsia="zh-CN" w:bidi="ar-SA"/>
                    </w:rPr>
                  </w:pPr>
                  <w:r>
                    <w:rPr>
                      <w:rFonts w:ascii="Times New Roman" w:hAnsi="Times New Roman"/>
                      <w:color w:val="auto"/>
                      <w:sz w:val="21"/>
                      <w:szCs w:val="21"/>
                    </w:rPr>
                    <w:t>人群</w:t>
                  </w:r>
                </w:p>
              </w:tc>
              <w:tc>
                <w:tcPr>
                  <w:tcW w:w="424" w:type="pct"/>
                  <w:shd w:val="clear" w:color="auto" w:fill="FFFFFF"/>
                  <w:vAlign w:val="center"/>
                </w:tcPr>
                <w:p>
                  <w:pPr>
                    <w:pStyle w:val="50"/>
                    <w:widowControl w:val="0"/>
                    <w:adjustRightInd w:val="0"/>
                    <w:snapToGrid w:val="0"/>
                    <w:spacing w:before="0" w:line="240" w:lineRule="auto"/>
                    <w:ind w:firstLine="0" w:firstLineChars="0"/>
                    <w:jc w:val="center"/>
                    <w:rPr>
                      <w:rFonts w:hint="eastAsia" w:ascii="Times New Roman" w:hAnsi="Times New Roman" w:eastAsia="宋体" w:cs="Times New Roman"/>
                      <w:color w:val="auto"/>
                      <w:spacing w:val="15"/>
                      <w:kern w:val="0"/>
                      <w:sz w:val="21"/>
                      <w:szCs w:val="21"/>
                      <w:lang w:val="en-US" w:eastAsia="zh-CN" w:bidi="ar-SA"/>
                    </w:rPr>
                  </w:pPr>
                  <w:r>
                    <w:rPr>
                      <w:rFonts w:hint="eastAsia" w:ascii="Times New Roman" w:hAnsi="Times New Roman" w:cs="Times New Roman"/>
                      <w:color w:val="auto"/>
                      <w:spacing w:val="15"/>
                      <w:kern w:val="0"/>
                      <w:sz w:val="21"/>
                      <w:szCs w:val="21"/>
                      <w:lang w:val="en-US" w:eastAsia="zh-CN" w:bidi="ar-SA"/>
                    </w:rPr>
                    <w:t>1500</w:t>
                  </w:r>
                </w:p>
              </w:tc>
              <w:tc>
                <w:tcPr>
                  <w:tcW w:w="627" w:type="pct"/>
                  <w:shd w:val="clear" w:color="auto" w:fill="FFFFFF"/>
                  <w:vAlign w:val="center"/>
                </w:tcPr>
                <w:p>
                  <w:pPr>
                    <w:jc w:val="center"/>
                    <w:rPr>
                      <w:rFonts w:ascii="Times New Roman" w:hAnsi="Times New Roman" w:eastAsia="宋体" w:cs="Times New Roman"/>
                      <w:color w:val="auto"/>
                      <w:kern w:val="2"/>
                      <w:sz w:val="21"/>
                      <w:szCs w:val="21"/>
                      <w:lang w:val="en-US" w:eastAsia="zh-CN" w:bidi="ar-SA"/>
                    </w:rPr>
                  </w:pPr>
                  <w:r>
                    <w:rPr>
                      <w:color w:val="auto"/>
                      <w:szCs w:val="21"/>
                    </w:rPr>
                    <w:t>二类区</w:t>
                  </w:r>
                </w:p>
              </w:tc>
              <w:tc>
                <w:tcPr>
                  <w:tcW w:w="500" w:type="pct"/>
                  <w:shd w:val="clear" w:color="auto" w:fill="FFFFFF"/>
                  <w:vAlign w:val="center"/>
                </w:tcPr>
                <w:p>
                  <w:pPr>
                    <w:pStyle w:val="50"/>
                    <w:widowControl w:val="0"/>
                    <w:adjustRightInd w:val="0"/>
                    <w:snapToGrid w:val="0"/>
                    <w:spacing w:before="0" w:line="240" w:lineRule="auto"/>
                    <w:ind w:firstLine="0" w:firstLineChars="0"/>
                    <w:jc w:val="center"/>
                    <w:rPr>
                      <w:rFonts w:hint="eastAsia" w:ascii="Times New Roman" w:hAnsi="Times New Roman" w:eastAsia="宋体" w:cs="Times New Roman"/>
                      <w:color w:val="auto"/>
                      <w:spacing w:val="15"/>
                      <w:kern w:val="0"/>
                      <w:sz w:val="21"/>
                      <w:szCs w:val="21"/>
                      <w:lang w:val="en-US" w:eastAsia="zh-CN" w:bidi="ar-SA"/>
                    </w:rPr>
                  </w:pPr>
                  <w:r>
                    <w:rPr>
                      <w:rFonts w:hint="eastAsia" w:ascii="Times New Roman" w:hAnsi="Times New Roman"/>
                      <w:color w:val="auto"/>
                      <w:sz w:val="21"/>
                      <w:szCs w:val="21"/>
                    </w:rPr>
                    <w:t>S</w:t>
                  </w:r>
                </w:p>
              </w:tc>
              <w:tc>
                <w:tcPr>
                  <w:tcW w:w="577" w:type="pct"/>
                  <w:shd w:val="clear" w:color="auto" w:fill="FFFFFF"/>
                  <w:vAlign w:val="center"/>
                </w:tcPr>
                <w:p>
                  <w:pPr>
                    <w:pStyle w:val="50"/>
                    <w:widowControl w:val="0"/>
                    <w:adjustRightInd w:val="0"/>
                    <w:snapToGrid w:val="0"/>
                    <w:spacing w:before="0" w:line="240" w:lineRule="auto"/>
                    <w:ind w:firstLine="0" w:firstLineChars="0"/>
                    <w:jc w:val="center"/>
                    <w:rPr>
                      <w:rFonts w:hint="default" w:ascii="Times New Roman" w:hAnsi="Times New Roman" w:eastAsia="宋体" w:cs="Times New Roman"/>
                      <w:color w:val="auto"/>
                      <w:spacing w:val="15"/>
                      <w:kern w:val="0"/>
                      <w:sz w:val="21"/>
                      <w:szCs w:val="21"/>
                      <w:lang w:val="en-US" w:eastAsia="zh-CN" w:bidi="ar-SA"/>
                    </w:rPr>
                  </w:pPr>
                  <w:r>
                    <w:rPr>
                      <w:rFonts w:hint="eastAsia" w:ascii="Times New Roman" w:hAnsi="Times New Roman" w:cs="Times New Roman"/>
                      <w:color w:val="auto"/>
                      <w:spacing w:val="15"/>
                      <w:kern w:val="0"/>
                      <w:sz w:val="21"/>
                      <w:szCs w:val="21"/>
                      <w:lang w:val="en-US" w:eastAsia="zh-CN" w:bidi="ar-SA"/>
                    </w:rPr>
                    <w:t>1200</w:t>
                  </w:r>
                </w:p>
              </w:tc>
            </w:tr>
            <w:tr>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0" w:type="dxa"/>
                  <w:left w:w="108" w:type="dxa"/>
                  <w:bottom w:w="0" w:type="dxa"/>
                  <w:right w:w="108" w:type="dxa"/>
                </w:tblCellMar>
              </w:tblPrEx>
              <w:trPr>
                <w:trHeight w:val="717" w:hRule="atLeast"/>
                <w:jc w:val="center"/>
              </w:trPr>
              <w:tc>
                <w:tcPr>
                  <w:tcW w:w="554" w:type="pct"/>
                  <w:shd w:val="clear" w:color="auto" w:fill="FFFFFF"/>
                  <w:vAlign w:val="center"/>
                </w:tcPr>
                <w:p>
                  <w:pPr>
                    <w:pStyle w:val="50"/>
                    <w:widowControl w:val="0"/>
                    <w:adjustRightInd w:val="0"/>
                    <w:snapToGrid w:val="0"/>
                    <w:spacing w:before="0" w:line="240" w:lineRule="auto"/>
                    <w:ind w:firstLine="0" w:firstLineChars="0"/>
                    <w:jc w:val="center"/>
                    <w:rPr>
                      <w:rFonts w:hint="eastAsia" w:ascii="Times New Roman" w:hAnsi="Times New Roman" w:eastAsia="宋体" w:cs="Times New Roman"/>
                      <w:color w:val="auto"/>
                      <w:spacing w:val="15"/>
                      <w:kern w:val="0"/>
                      <w:sz w:val="21"/>
                      <w:szCs w:val="21"/>
                      <w:lang w:val="en-US" w:eastAsia="zh-CN" w:bidi="ar-SA"/>
                    </w:rPr>
                  </w:pPr>
                  <w:r>
                    <w:rPr>
                      <w:rFonts w:hint="eastAsia" w:ascii="Times New Roman" w:hAnsi="Times New Roman"/>
                      <w:color w:val="auto"/>
                      <w:sz w:val="21"/>
                      <w:szCs w:val="21"/>
                    </w:rPr>
                    <w:t>金江</w:t>
                  </w:r>
                  <w:r>
                    <w:rPr>
                      <w:rFonts w:hint="eastAsia" w:ascii="Times New Roman" w:hAnsi="Times New Roman"/>
                      <w:color w:val="auto"/>
                      <w:sz w:val="21"/>
                      <w:szCs w:val="21"/>
                      <w:lang w:eastAsia="zh-CN"/>
                    </w:rPr>
                    <w:t>东</w:t>
                  </w:r>
                  <w:r>
                    <w:rPr>
                      <w:rFonts w:hint="eastAsia" w:ascii="Times New Roman" w:hAnsi="Times New Roman"/>
                      <w:color w:val="auto"/>
                      <w:sz w:val="21"/>
                      <w:szCs w:val="21"/>
                    </w:rPr>
                    <w:t>苑</w:t>
                  </w:r>
                </w:p>
              </w:tc>
              <w:tc>
                <w:tcPr>
                  <w:tcW w:w="745" w:type="pct"/>
                  <w:shd w:val="clear" w:color="auto" w:fill="FFFFFF"/>
                  <w:vAlign w:val="center"/>
                </w:tcPr>
                <w:p>
                  <w:pPr>
                    <w:pStyle w:val="50"/>
                    <w:widowControl w:val="0"/>
                    <w:adjustRightInd w:val="0"/>
                    <w:snapToGrid w:val="0"/>
                    <w:spacing w:before="0" w:line="240" w:lineRule="auto"/>
                    <w:ind w:firstLine="0" w:firstLineChars="0"/>
                    <w:jc w:val="center"/>
                    <w:rPr>
                      <w:rFonts w:hint="eastAsia" w:ascii="Times New Roman" w:hAnsi="Times New Roman" w:eastAsia="宋体" w:cs="Times New Roman"/>
                      <w:color w:val="auto"/>
                      <w:spacing w:val="15"/>
                      <w:kern w:val="0"/>
                      <w:sz w:val="21"/>
                      <w:szCs w:val="21"/>
                      <w:lang w:val="en-US" w:eastAsia="zh-CN" w:bidi="ar-SA"/>
                    </w:rPr>
                  </w:pPr>
                  <w:r>
                    <w:rPr>
                      <w:rFonts w:hint="eastAsia" w:ascii="Times New Roman" w:hAnsi="Times New Roman"/>
                      <w:color w:val="auto"/>
                      <w:sz w:val="21"/>
                      <w:szCs w:val="21"/>
                    </w:rPr>
                    <w:t>119.620420</w:t>
                  </w:r>
                </w:p>
              </w:tc>
              <w:tc>
                <w:tcPr>
                  <w:tcW w:w="631" w:type="pct"/>
                  <w:shd w:val="clear" w:color="auto" w:fill="FFFFFF"/>
                  <w:vAlign w:val="center"/>
                </w:tcPr>
                <w:p>
                  <w:pPr>
                    <w:pStyle w:val="50"/>
                    <w:widowControl w:val="0"/>
                    <w:adjustRightInd w:val="0"/>
                    <w:snapToGrid w:val="0"/>
                    <w:spacing w:before="0" w:line="240" w:lineRule="auto"/>
                    <w:ind w:firstLine="0" w:firstLineChars="0"/>
                    <w:jc w:val="center"/>
                    <w:rPr>
                      <w:rFonts w:hint="eastAsia" w:ascii="Times New Roman" w:hAnsi="Times New Roman" w:eastAsia="宋体" w:cs="Times New Roman"/>
                      <w:color w:val="auto"/>
                      <w:spacing w:val="15"/>
                      <w:kern w:val="0"/>
                      <w:sz w:val="21"/>
                      <w:szCs w:val="21"/>
                      <w:lang w:val="en-US" w:eastAsia="zh-CN" w:bidi="ar-SA"/>
                    </w:rPr>
                  </w:pPr>
                  <w:r>
                    <w:rPr>
                      <w:rFonts w:hint="eastAsia" w:ascii="Times New Roman" w:hAnsi="Times New Roman"/>
                      <w:color w:val="auto"/>
                      <w:sz w:val="21"/>
                      <w:szCs w:val="21"/>
                    </w:rPr>
                    <w:t>31.742784</w:t>
                  </w:r>
                </w:p>
              </w:tc>
              <w:tc>
                <w:tcPr>
                  <w:tcW w:w="469" w:type="pct"/>
                  <w:shd w:val="clear" w:color="auto" w:fill="FFFFFF"/>
                  <w:vAlign w:val="center"/>
                </w:tcPr>
                <w:p>
                  <w:pPr>
                    <w:jc w:val="center"/>
                    <w:rPr>
                      <w:rFonts w:ascii="Times New Roman" w:hAnsi="Times New Roman" w:eastAsia="宋体" w:cs="Times New Roman"/>
                      <w:color w:val="auto"/>
                      <w:kern w:val="2"/>
                      <w:sz w:val="21"/>
                      <w:szCs w:val="21"/>
                      <w:lang w:val="en-US" w:eastAsia="zh-CN" w:bidi="ar-SA"/>
                    </w:rPr>
                  </w:pPr>
                  <w:r>
                    <w:rPr>
                      <w:color w:val="auto"/>
                      <w:szCs w:val="21"/>
                    </w:rPr>
                    <w:t>居住区</w:t>
                  </w:r>
                </w:p>
              </w:tc>
              <w:tc>
                <w:tcPr>
                  <w:tcW w:w="469" w:type="pct"/>
                  <w:shd w:val="clear" w:color="auto" w:fill="FFFFFF"/>
                  <w:vAlign w:val="center"/>
                </w:tcPr>
                <w:p>
                  <w:pPr>
                    <w:pStyle w:val="50"/>
                    <w:widowControl w:val="0"/>
                    <w:adjustRightInd w:val="0"/>
                    <w:snapToGrid w:val="0"/>
                    <w:spacing w:before="0" w:line="240" w:lineRule="auto"/>
                    <w:ind w:firstLine="0" w:firstLineChars="0"/>
                    <w:jc w:val="center"/>
                    <w:rPr>
                      <w:rFonts w:ascii="Times New Roman" w:hAnsi="Times New Roman" w:eastAsia="宋体" w:cs="Times New Roman"/>
                      <w:color w:val="auto"/>
                      <w:spacing w:val="15"/>
                      <w:kern w:val="0"/>
                      <w:sz w:val="21"/>
                      <w:szCs w:val="21"/>
                      <w:lang w:val="en-US" w:eastAsia="zh-CN" w:bidi="ar-SA"/>
                    </w:rPr>
                  </w:pPr>
                  <w:r>
                    <w:rPr>
                      <w:rFonts w:ascii="Times New Roman" w:hAnsi="Times New Roman"/>
                      <w:color w:val="auto"/>
                      <w:sz w:val="21"/>
                      <w:szCs w:val="21"/>
                    </w:rPr>
                    <w:t>人群</w:t>
                  </w:r>
                </w:p>
              </w:tc>
              <w:tc>
                <w:tcPr>
                  <w:tcW w:w="424" w:type="pct"/>
                  <w:shd w:val="clear" w:color="auto" w:fill="FFFFFF"/>
                  <w:vAlign w:val="center"/>
                </w:tcPr>
                <w:p>
                  <w:pPr>
                    <w:pStyle w:val="50"/>
                    <w:widowControl w:val="0"/>
                    <w:adjustRightInd w:val="0"/>
                    <w:snapToGrid w:val="0"/>
                    <w:spacing w:before="0" w:line="240" w:lineRule="auto"/>
                    <w:ind w:firstLine="0" w:firstLineChars="0"/>
                    <w:jc w:val="center"/>
                    <w:rPr>
                      <w:rFonts w:hint="eastAsia" w:ascii="Times New Roman" w:hAnsi="Times New Roman" w:eastAsia="宋体" w:cs="Times New Roman"/>
                      <w:color w:val="auto"/>
                      <w:spacing w:val="15"/>
                      <w:kern w:val="0"/>
                      <w:sz w:val="21"/>
                      <w:szCs w:val="21"/>
                      <w:lang w:val="en-US" w:eastAsia="zh-CN" w:bidi="ar-SA"/>
                    </w:rPr>
                  </w:pPr>
                  <w:r>
                    <w:rPr>
                      <w:rFonts w:hint="eastAsia" w:ascii="Times New Roman" w:hAnsi="Times New Roman" w:cs="Times New Roman"/>
                      <w:color w:val="auto"/>
                      <w:spacing w:val="15"/>
                      <w:kern w:val="0"/>
                      <w:sz w:val="21"/>
                      <w:szCs w:val="21"/>
                      <w:lang w:val="en-US" w:eastAsia="zh-CN" w:bidi="ar-SA"/>
                    </w:rPr>
                    <w:t>1500</w:t>
                  </w:r>
                </w:p>
              </w:tc>
              <w:tc>
                <w:tcPr>
                  <w:tcW w:w="627" w:type="pct"/>
                  <w:shd w:val="clear" w:color="auto" w:fill="FFFFFF"/>
                  <w:vAlign w:val="center"/>
                </w:tcPr>
                <w:p>
                  <w:pPr>
                    <w:jc w:val="center"/>
                    <w:rPr>
                      <w:rFonts w:ascii="Times New Roman" w:hAnsi="Times New Roman" w:eastAsia="宋体" w:cs="Times New Roman"/>
                      <w:color w:val="auto"/>
                      <w:kern w:val="2"/>
                      <w:sz w:val="21"/>
                      <w:szCs w:val="21"/>
                      <w:lang w:val="en-US" w:eastAsia="zh-CN" w:bidi="ar-SA"/>
                    </w:rPr>
                  </w:pPr>
                  <w:r>
                    <w:rPr>
                      <w:color w:val="auto"/>
                      <w:szCs w:val="21"/>
                    </w:rPr>
                    <w:t>二类区</w:t>
                  </w:r>
                </w:p>
              </w:tc>
              <w:tc>
                <w:tcPr>
                  <w:tcW w:w="500" w:type="pct"/>
                  <w:shd w:val="clear" w:color="auto" w:fill="FFFFFF"/>
                  <w:vAlign w:val="center"/>
                </w:tcPr>
                <w:p>
                  <w:pPr>
                    <w:pStyle w:val="50"/>
                    <w:widowControl w:val="0"/>
                    <w:adjustRightInd w:val="0"/>
                    <w:snapToGrid w:val="0"/>
                    <w:spacing w:before="0" w:line="240" w:lineRule="auto"/>
                    <w:ind w:firstLine="0" w:firstLineChars="0"/>
                    <w:jc w:val="center"/>
                    <w:rPr>
                      <w:rFonts w:hint="eastAsia" w:ascii="Times New Roman" w:hAnsi="Times New Roman" w:eastAsia="宋体" w:cs="Times New Roman"/>
                      <w:color w:val="auto"/>
                      <w:spacing w:val="15"/>
                      <w:kern w:val="0"/>
                      <w:sz w:val="21"/>
                      <w:szCs w:val="21"/>
                      <w:lang w:val="en-US" w:eastAsia="zh-CN" w:bidi="ar-SA"/>
                    </w:rPr>
                  </w:pPr>
                  <w:r>
                    <w:rPr>
                      <w:rFonts w:hint="eastAsia" w:ascii="Times New Roman" w:hAnsi="Times New Roman"/>
                      <w:color w:val="auto"/>
                      <w:sz w:val="21"/>
                      <w:szCs w:val="21"/>
                    </w:rPr>
                    <w:t>SW</w:t>
                  </w:r>
                </w:p>
              </w:tc>
              <w:tc>
                <w:tcPr>
                  <w:tcW w:w="577" w:type="pct"/>
                  <w:shd w:val="clear" w:color="auto" w:fill="FFFFFF"/>
                  <w:vAlign w:val="center"/>
                </w:tcPr>
                <w:p>
                  <w:pPr>
                    <w:pStyle w:val="50"/>
                    <w:widowControl w:val="0"/>
                    <w:adjustRightInd w:val="0"/>
                    <w:snapToGrid w:val="0"/>
                    <w:spacing w:before="0" w:line="240" w:lineRule="auto"/>
                    <w:ind w:firstLine="0" w:firstLineChars="0"/>
                    <w:jc w:val="center"/>
                    <w:rPr>
                      <w:rFonts w:hint="default" w:ascii="Times New Roman" w:hAnsi="Times New Roman" w:eastAsia="宋体" w:cs="Times New Roman"/>
                      <w:color w:val="auto"/>
                      <w:spacing w:val="15"/>
                      <w:kern w:val="0"/>
                      <w:sz w:val="21"/>
                      <w:szCs w:val="21"/>
                      <w:lang w:val="en-US" w:eastAsia="zh-CN" w:bidi="ar-SA"/>
                    </w:rPr>
                  </w:pPr>
                  <w:r>
                    <w:rPr>
                      <w:rFonts w:hint="eastAsia" w:ascii="Times New Roman" w:hAnsi="Times New Roman" w:cs="Times New Roman"/>
                      <w:color w:val="auto"/>
                      <w:spacing w:val="15"/>
                      <w:kern w:val="0"/>
                      <w:sz w:val="21"/>
                      <w:szCs w:val="21"/>
                      <w:lang w:val="en-US" w:eastAsia="zh-CN" w:bidi="ar-SA"/>
                    </w:rPr>
                    <w:t>1280</w:t>
                  </w:r>
                </w:p>
              </w:tc>
            </w:tr>
            <w:tr>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0" w:type="dxa"/>
                  <w:left w:w="108" w:type="dxa"/>
                  <w:bottom w:w="0" w:type="dxa"/>
                  <w:right w:w="108" w:type="dxa"/>
                </w:tblCellMar>
              </w:tblPrEx>
              <w:trPr>
                <w:trHeight w:val="717" w:hRule="atLeast"/>
                <w:jc w:val="center"/>
              </w:trPr>
              <w:tc>
                <w:tcPr>
                  <w:tcW w:w="554" w:type="pct"/>
                  <w:shd w:val="clear" w:color="auto" w:fill="FFFFFF"/>
                  <w:vAlign w:val="center"/>
                </w:tcPr>
                <w:p>
                  <w:pPr>
                    <w:pStyle w:val="50"/>
                    <w:widowControl w:val="0"/>
                    <w:adjustRightInd w:val="0"/>
                    <w:snapToGrid w:val="0"/>
                    <w:spacing w:before="0" w:line="240" w:lineRule="auto"/>
                    <w:ind w:firstLine="0" w:firstLineChars="0"/>
                    <w:jc w:val="center"/>
                    <w:rPr>
                      <w:rFonts w:hint="eastAsia" w:ascii="Times New Roman" w:hAnsi="Times New Roman" w:eastAsia="宋体" w:cs="Times New Roman"/>
                      <w:color w:val="auto"/>
                      <w:spacing w:val="15"/>
                      <w:kern w:val="0"/>
                      <w:sz w:val="21"/>
                      <w:szCs w:val="21"/>
                      <w:lang w:val="en-US" w:eastAsia="zh-CN" w:bidi="ar-SA"/>
                    </w:rPr>
                  </w:pPr>
                  <w:r>
                    <w:rPr>
                      <w:rFonts w:hint="eastAsia" w:ascii="Times New Roman" w:hAnsi="Times New Roman"/>
                      <w:color w:val="auto"/>
                      <w:sz w:val="21"/>
                      <w:szCs w:val="21"/>
                      <w:lang w:val="en-US" w:eastAsia="zh-CN"/>
                    </w:rPr>
                    <w:t>金池花园</w:t>
                  </w:r>
                </w:p>
              </w:tc>
              <w:tc>
                <w:tcPr>
                  <w:tcW w:w="745" w:type="pct"/>
                  <w:shd w:val="clear" w:color="auto" w:fill="FFFFFF"/>
                  <w:vAlign w:val="center"/>
                </w:tcPr>
                <w:p>
                  <w:pPr>
                    <w:pStyle w:val="50"/>
                    <w:widowControl w:val="0"/>
                    <w:adjustRightInd w:val="0"/>
                    <w:snapToGrid w:val="0"/>
                    <w:spacing w:before="0" w:line="240" w:lineRule="auto"/>
                    <w:ind w:firstLine="0" w:firstLineChars="0"/>
                    <w:jc w:val="center"/>
                    <w:rPr>
                      <w:rFonts w:hint="eastAsia" w:ascii="Times New Roman" w:hAnsi="Times New Roman" w:eastAsia="宋体" w:cs="Times New Roman"/>
                      <w:color w:val="auto"/>
                      <w:spacing w:val="15"/>
                      <w:kern w:val="0"/>
                      <w:sz w:val="21"/>
                      <w:szCs w:val="21"/>
                      <w:lang w:val="en-US" w:eastAsia="zh-CN" w:bidi="ar-SA"/>
                    </w:rPr>
                  </w:pPr>
                  <w:r>
                    <w:rPr>
                      <w:rFonts w:hint="eastAsia" w:ascii="Times New Roman" w:hAnsi="Times New Roman"/>
                      <w:color w:val="auto"/>
                      <w:sz w:val="21"/>
                      <w:szCs w:val="21"/>
                      <w:lang w:val="en-US" w:eastAsia="zh-CN"/>
                    </w:rPr>
                    <w:t>119.62372873</w:t>
                  </w:r>
                </w:p>
              </w:tc>
              <w:tc>
                <w:tcPr>
                  <w:tcW w:w="631" w:type="pct"/>
                  <w:shd w:val="clear" w:color="auto" w:fill="FFFFFF"/>
                  <w:vAlign w:val="center"/>
                </w:tcPr>
                <w:p>
                  <w:pPr>
                    <w:pStyle w:val="50"/>
                    <w:widowControl w:val="0"/>
                    <w:adjustRightInd w:val="0"/>
                    <w:snapToGrid w:val="0"/>
                    <w:spacing w:before="0" w:line="240" w:lineRule="auto"/>
                    <w:ind w:firstLine="0" w:firstLineChars="0"/>
                    <w:jc w:val="center"/>
                    <w:rPr>
                      <w:rFonts w:hint="eastAsia" w:ascii="Times New Roman" w:hAnsi="Times New Roman" w:eastAsia="宋体" w:cs="Times New Roman"/>
                      <w:color w:val="auto"/>
                      <w:spacing w:val="15"/>
                      <w:kern w:val="0"/>
                      <w:sz w:val="21"/>
                      <w:szCs w:val="21"/>
                      <w:lang w:val="en-US" w:eastAsia="zh-CN" w:bidi="ar-SA"/>
                    </w:rPr>
                  </w:pPr>
                  <w:r>
                    <w:rPr>
                      <w:rFonts w:hint="eastAsia" w:ascii="Times New Roman" w:hAnsi="Times New Roman"/>
                      <w:color w:val="auto"/>
                      <w:sz w:val="21"/>
                      <w:szCs w:val="21"/>
                      <w:lang w:val="en-US" w:eastAsia="zh-CN"/>
                    </w:rPr>
                    <w:t>31.74274926</w:t>
                  </w:r>
                </w:p>
              </w:tc>
              <w:tc>
                <w:tcPr>
                  <w:tcW w:w="469" w:type="pct"/>
                  <w:shd w:val="clear" w:color="auto" w:fill="FFFFFF"/>
                  <w:vAlign w:val="center"/>
                </w:tcPr>
                <w:p>
                  <w:pPr>
                    <w:jc w:val="center"/>
                    <w:rPr>
                      <w:rFonts w:ascii="Times New Roman" w:hAnsi="Times New Roman" w:eastAsia="宋体" w:cs="Times New Roman"/>
                      <w:color w:val="auto"/>
                      <w:kern w:val="2"/>
                      <w:sz w:val="21"/>
                      <w:szCs w:val="21"/>
                      <w:lang w:val="en-US" w:eastAsia="zh-CN" w:bidi="ar-SA"/>
                    </w:rPr>
                  </w:pPr>
                  <w:r>
                    <w:rPr>
                      <w:color w:val="auto"/>
                      <w:szCs w:val="21"/>
                    </w:rPr>
                    <w:t>居住区</w:t>
                  </w:r>
                </w:p>
              </w:tc>
              <w:tc>
                <w:tcPr>
                  <w:tcW w:w="469" w:type="pct"/>
                  <w:shd w:val="clear" w:color="auto" w:fill="FFFFFF"/>
                  <w:vAlign w:val="center"/>
                </w:tcPr>
                <w:p>
                  <w:pPr>
                    <w:widowControl w:val="0"/>
                    <w:adjustRightInd w:val="0"/>
                    <w:snapToGrid w:val="0"/>
                    <w:spacing w:before="0" w:line="240" w:lineRule="auto"/>
                    <w:ind w:firstLine="0" w:firstLineChars="0"/>
                    <w:jc w:val="center"/>
                    <w:rPr>
                      <w:rFonts w:ascii="Times New Roman" w:hAnsi="Times New Roman" w:eastAsia="宋体" w:cs="Times New Roman"/>
                      <w:color w:val="auto"/>
                      <w:kern w:val="2"/>
                      <w:sz w:val="21"/>
                      <w:szCs w:val="21"/>
                      <w:lang w:val="en-US" w:eastAsia="zh-CN" w:bidi="ar-SA"/>
                    </w:rPr>
                  </w:pPr>
                  <w:r>
                    <w:rPr>
                      <w:rFonts w:ascii="Times New Roman" w:hAnsi="Times New Roman"/>
                      <w:color w:val="auto"/>
                      <w:sz w:val="21"/>
                      <w:szCs w:val="21"/>
                    </w:rPr>
                    <w:t>人群</w:t>
                  </w:r>
                </w:p>
              </w:tc>
              <w:tc>
                <w:tcPr>
                  <w:tcW w:w="424" w:type="pct"/>
                  <w:shd w:val="clear" w:color="auto" w:fill="FFFFFF"/>
                  <w:vAlign w:val="center"/>
                </w:tcPr>
                <w:p>
                  <w:pPr>
                    <w:pStyle w:val="50"/>
                    <w:widowControl w:val="0"/>
                    <w:adjustRightInd w:val="0"/>
                    <w:snapToGrid w:val="0"/>
                    <w:spacing w:before="0" w:line="240" w:lineRule="auto"/>
                    <w:ind w:firstLine="0" w:firstLineChars="0"/>
                    <w:jc w:val="center"/>
                    <w:rPr>
                      <w:rFonts w:hint="eastAsia" w:ascii="Times New Roman" w:hAnsi="Times New Roman" w:eastAsia="宋体" w:cs="Times New Roman"/>
                      <w:color w:val="auto"/>
                      <w:spacing w:val="15"/>
                      <w:kern w:val="0"/>
                      <w:sz w:val="21"/>
                      <w:szCs w:val="21"/>
                      <w:lang w:val="en-US" w:eastAsia="zh-CN" w:bidi="ar-SA"/>
                    </w:rPr>
                  </w:pPr>
                  <w:r>
                    <w:rPr>
                      <w:rFonts w:hint="eastAsia" w:ascii="Times New Roman" w:hAnsi="Times New Roman"/>
                      <w:color w:val="auto"/>
                      <w:sz w:val="21"/>
                      <w:szCs w:val="21"/>
                      <w:lang w:val="en-US" w:eastAsia="zh-CN"/>
                    </w:rPr>
                    <w:t>1500</w:t>
                  </w:r>
                </w:p>
              </w:tc>
              <w:tc>
                <w:tcPr>
                  <w:tcW w:w="627" w:type="pct"/>
                  <w:shd w:val="clear" w:color="auto" w:fill="FFFFFF"/>
                  <w:vAlign w:val="center"/>
                </w:tcPr>
                <w:p>
                  <w:pPr>
                    <w:jc w:val="center"/>
                    <w:rPr>
                      <w:rFonts w:ascii="Times New Roman" w:hAnsi="Times New Roman" w:eastAsia="宋体" w:cs="Times New Roman"/>
                      <w:color w:val="auto"/>
                      <w:kern w:val="2"/>
                      <w:sz w:val="21"/>
                      <w:szCs w:val="21"/>
                      <w:lang w:val="en-US" w:eastAsia="zh-CN" w:bidi="ar-SA"/>
                    </w:rPr>
                  </w:pPr>
                  <w:r>
                    <w:rPr>
                      <w:rFonts w:ascii="Times New Roman" w:hAnsi="Times New Roman"/>
                      <w:color w:val="auto"/>
                      <w:sz w:val="21"/>
                      <w:szCs w:val="21"/>
                    </w:rPr>
                    <w:t>人群</w:t>
                  </w:r>
                </w:p>
              </w:tc>
              <w:tc>
                <w:tcPr>
                  <w:tcW w:w="500" w:type="pct"/>
                  <w:shd w:val="clear" w:color="auto" w:fill="FFFFFF"/>
                  <w:vAlign w:val="center"/>
                </w:tcPr>
                <w:p>
                  <w:pPr>
                    <w:pStyle w:val="50"/>
                    <w:widowControl w:val="0"/>
                    <w:adjustRightInd w:val="0"/>
                    <w:snapToGrid w:val="0"/>
                    <w:spacing w:before="0" w:line="240" w:lineRule="auto"/>
                    <w:ind w:firstLine="0" w:firstLineChars="0"/>
                    <w:jc w:val="center"/>
                    <w:rPr>
                      <w:rFonts w:hint="eastAsia" w:ascii="Times New Roman" w:hAnsi="Times New Roman" w:eastAsia="宋体" w:cs="Times New Roman"/>
                      <w:color w:val="auto"/>
                      <w:spacing w:val="15"/>
                      <w:kern w:val="0"/>
                      <w:sz w:val="21"/>
                      <w:szCs w:val="21"/>
                      <w:lang w:val="en-US" w:eastAsia="zh-CN" w:bidi="ar-SA"/>
                    </w:rPr>
                  </w:pPr>
                  <w:r>
                    <w:rPr>
                      <w:rFonts w:hint="eastAsia" w:ascii="Times New Roman" w:hAnsi="Times New Roman"/>
                      <w:color w:val="auto"/>
                      <w:sz w:val="21"/>
                      <w:szCs w:val="21"/>
                      <w:lang w:val="en-US" w:eastAsia="zh-CN"/>
                    </w:rPr>
                    <w:t>S</w:t>
                  </w:r>
                </w:p>
              </w:tc>
              <w:tc>
                <w:tcPr>
                  <w:tcW w:w="577" w:type="pct"/>
                  <w:shd w:val="clear" w:color="auto" w:fill="FFFFFF"/>
                  <w:vAlign w:val="center"/>
                </w:tcPr>
                <w:p>
                  <w:pPr>
                    <w:pStyle w:val="50"/>
                    <w:widowControl w:val="0"/>
                    <w:adjustRightInd w:val="0"/>
                    <w:snapToGrid w:val="0"/>
                    <w:spacing w:before="0" w:line="240" w:lineRule="auto"/>
                    <w:ind w:firstLine="0" w:firstLineChars="0"/>
                    <w:jc w:val="center"/>
                    <w:rPr>
                      <w:rFonts w:hint="default" w:ascii="Times New Roman" w:hAnsi="Times New Roman" w:eastAsia="宋体" w:cs="Times New Roman"/>
                      <w:color w:val="auto"/>
                      <w:spacing w:val="15"/>
                      <w:kern w:val="0"/>
                      <w:sz w:val="21"/>
                      <w:szCs w:val="21"/>
                      <w:lang w:val="en-US" w:eastAsia="zh-CN" w:bidi="ar-SA"/>
                    </w:rPr>
                  </w:pPr>
                  <w:r>
                    <w:rPr>
                      <w:rFonts w:hint="eastAsia" w:ascii="Times New Roman" w:hAnsi="Times New Roman" w:cs="Times New Roman"/>
                      <w:color w:val="auto"/>
                      <w:spacing w:val="15"/>
                      <w:kern w:val="0"/>
                      <w:sz w:val="21"/>
                      <w:szCs w:val="21"/>
                      <w:lang w:val="en-US" w:eastAsia="zh-CN" w:bidi="ar-SA"/>
                    </w:rPr>
                    <w:t>1580</w:t>
                  </w:r>
                </w:p>
              </w:tc>
            </w:tr>
            <w:tr>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0" w:type="dxa"/>
                  <w:left w:w="108" w:type="dxa"/>
                  <w:bottom w:w="0" w:type="dxa"/>
                  <w:right w:w="108" w:type="dxa"/>
                </w:tblCellMar>
              </w:tblPrEx>
              <w:trPr>
                <w:trHeight w:val="717" w:hRule="atLeast"/>
                <w:jc w:val="center"/>
              </w:trPr>
              <w:tc>
                <w:tcPr>
                  <w:tcW w:w="554" w:type="pct"/>
                  <w:shd w:val="clear" w:color="auto" w:fill="FFFFFF"/>
                  <w:vAlign w:val="center"/>
                </w:tcPr>
                <w:p>
                  <w:pPr>
                    <w:pStyle w:val="50"/>
                    <w:widowControl w:val="0"/>
                    <w:adjustRightInd w:val="0"/>
                    <w:snapToGrid w:val="0"/>
                    <w:spacing w:before="0" w:line="240" w:lineRule="auto"/>
                    <w:ind w:firstLine="0" w:firstLineChars="0"/>
                    <w:jc w:val="center"/>
                    <w:rPr>
                      <w:rFonts w:hint="eastAsia" w:ascii="Times New Roman" w:hAnsi="Times New Roman" w:eastAsia="宋体" w:cs="Times New Roman"/>
                      <w:color w:val="auto"/>
                      <w:spacing w:val="15"/>
                      <w:kern w:val="0"/>
                      <w:sz w:val="21"/>
                      <w:szCs w:val="21"/>
                      <w:lang w:val="en-US" w:eastAsia="zh-CN" w:bidi="ar-SA"/>
                    </w:rPr>
                  </w:pPr>
                  <w:r>
                    <w:rPr>
                      <w:rFonts w:hint="eastAsia" w:ascii="Times New Roman" w:hAnsi="Times New Roman"/>
                      <w:color w:val="auto"/>
                      <w:sz w:val="21"/>
                      <w:szCs w:val="21"/>
                      <w:lang w:eastAsia="zh-CN"/>
                    </w:rPr>
                    <w:t>金海花苑</w:t>
                  </w:r>
                </w:p>
              </w:tc>
              <w:tc>
                <w:tcPr>
                  <w:tcW w:w="745" w:type="pct"/>
                  <w:shd w:val="clear" w:color="auto" w:fill="FFFFFF"/>
                  <w:vAlign w:val="center"/>
                </w:tcPr>
                <w:p>
                  <w:pPr>
                    <w:pStyle w:val="50"/>
                    <w:widowControl w:val="0"/>
                    <w:adjustRightInd w:val="0"/>
                    <w:snapToGrid w:val="0"/>
                    <w:spacing w:before="0" w:line="240" w:lineRule="auto"/>
                    <w:ind w:firstLine="0" w:firstLineChars="0"/>
                    <w:jc w:val="center"/>
                    <w:rPr>
                      <w:rFonts w:hint="eastAsia" w:ascii="Times New Roman" w:hAnsi="Times New Roman" w:eastAsia="宋体" w:cs="Times New Roman"/>
                      <w:color w:val="auto"/>
                      <w:spacing w:val="15"/>
                      <w:kern w:val="0"/>
                      <w:sz w:val="21"/>
                      <w:szCs w:val="21"/>
                      <w:lang w:val="en-US" w:eastAsia="zh-CN" w:bidi="ar-SA"/>
                    </w:rPr>
                  </w:pPr>
                  <w:r>
                    <w:rPr>
                      <w:rFonts w:hint="eastAsia" w:ascii="Times New Roman" w:hAnsi="Times New Roman"/>
                      <w:color w:val="auto"/>
                      <w:sz w:val="21"/>
                      <w:szCs w:val="21"/>
                      <w:lang w:val="en-US" w:eastAsia="zh-CN"/>
                    </w:rPr>
                    <w:t>119.626978</w:t>
                  </w:r>
                </w:p>
              </w:tc>
              <w:tc>
                <w:tcPr>
                  <w:tcW w:w="631" w:type="pct"/>
                  <w:shd w:val="clear" w:color="auto" w:fill="FFFFFF"/>
                  <w:vAlign w:val="center"/>
                </w:tcPr>
                <w:p>
                  <w:pPr>
                    <w:pStyle w:val="50"/>
                    <w:widowControl w:val="0"/>
                    <w:adjustRightInd w:val="0"/>
                    <w:snapToGrid w:val="0"/>
                    <w:spacing w:before="0" w:line="240" w:lineRule="auto"/>
                    <w:ind w:firstLine="0" w:firstLineChars="0"/>
                    <w:jc w:val="center"/>
                    <w:rPr>
                      <w:rFonts w:hint="eastAsia" w:ascii="Times New Roman" w:hAnsi="Times New Roman" w:eastAsia="宋体" w:cs="Times New Roman"/>
                      <w:color w:val="auto"/>
                      <w:spacing w:val="15"/>
                      <w:kern w:val="0"/>
                      <w:sz w:val="21"/>
                      <w:szCs w:val="21"/>
                      <w:lang w:val="en-US" w:eastAsia="zh-CN" w:bidi="ar-SA"/>
                    </w:rPr>
                  </w:pPr>
                  <w:r>
                    <w:rPr>
                      <w:rFonts w:hint="eastAsia" w:ascii="Times New Roman" w:hAnsi="Times New Roman"/>
                      <w:color w:val="auto"/>
                      <w:sz w:val="21"/>
                      <w:szCs w:val="21"/>
                      <w:lang w:val="en-US" w:eastAsia="zh-CN"/>
                    </w:rPr>
                    <w:t>31.744283</w:t>
                  </w:r>
                </w:p>
              </w:tc>
              <w:tc>
                <w:tcPr>
                  <w:tcW w:w="469" w:type="pct"/>
                  <w:shd w:val="clear" w:color="auto" w:fill="FFFFFF"/>
                  <w:vAlign w:val="center"/>
                </w:tcPr>
                <w:p>
                  <w:pPr>
                    <w:jc w:val="center"/>
                    <w:rPr>
                      <w:rFonts w:ascii="Times New Roman" w:hAnsi="Times New Roman" w:eastAsia="宋体" w:cs="Times New Roman"/>
                      <w:color w:val="auto"/>
                      <w:kern w:val="2"/>
                      <w:sz w:val="21"/>
                      <w:szCs w:val="21"/>
                      <w:lang w:val="en-US" w:eastAsia="zh-CN" w:bidi="ar-SA"/>
                    </w:rPr>
                  </w:pPr>
                  <w:r>
                    <w:rPr>
                      <w:color w:val="auto"/>
                      <w:szCs w:val="21"/>
                    </w:rPr>
                    <w:t>居住区</w:t>
                  </w:r>
                </w:p>
              </w:tc>
              <w:tc>
                <w:tcPr>
                  <w:tcW w:w="469" w:type="pct"/>
                  <w:shd w:val="clear" w:color="auto" w:fill="FFFFFF"/>
                  <w:vAlign w:val="center"/>
                </w:tcPr>
                <w:p>
                  <w:pPr>
                    <w:widowControl w:val="0"/>
                    <w:adjustRightInd w:val="0"/>
                    <w:snapToGrid w:val="0"/>
                    <w:spacing w:before="0" w:line="240" w:lineRule="auto"/>
                    <w:ind w:firstLine="0" w:firstLineChars="0"/>
                    <w:jc w:val="center"/>
                    <w:rPr>
                      <w:rFonts w:ascii="Times New Roman" w:hAnsi="Times New Roman" w:eastAsia="宋体" w:cs="Times New Roman"/>
                      <w:color w:val="auto"/>
                      <w:kern w:val="2"/>
                      <w:sz w:val="21"/>
                      <w:szCs w:val="21"/>
                      <w:lang w:val="en-US" w:eastAsia="zh-CN" w:bidi="ar-SA"/>
                    </w:rPr>
                  </w:pPr>
                  <w:r>
                    <w:rPr>
                      <w:rFonts w:ascii="Times New Roman" w:hAnsi="Times New Roman"/>
                      <w:color w:val="auto"/>
                      <w:sz w:val="21"/>
                      <w:szCs w:val="21"/>
                    </w:rPr>
                    <w:t>人群</w:t>
                  </w:r>
                </w:p>
              </w:tc>
              <w:tc>
                <w:tcPr>
                  <w:tcW w:w="424" w:type="pct"/>
                  <w:shd w:val="clear" w:color="auto" w:fill="FFFFFF"/>
                  <w:vAlign w:val="center"/>
                </w:tcPr>
                <w:p>
                  <w:pPr>
                    <w:pStyle w:val="50"/>
                    <w:widowControl w:val="0"/>
                    <w:adjustRightInd w:val="0"/>
                    <w:snapToGrid w:val="0"/>
                    <w:spacing w:before="0" w:line="240" w:lineRule="auto"/>
                    <w:ind w:firstLine="0" w:firstLineChars="0"/>
                    <w:jc w:val="center"/>
                    <w:rPr>
                      <w:rFonts w:hint="eastAsia" w:ascii="Times New Roman" w:hAnsi="Times New Roman" w:eastAsia="宋体" w:cs="Times New Roman"/>
                      <w:color w:val="auto"/>
                      <w:spacing w:val="15"/>
                      <w:kern w:val="0"/>
                      <w:sz w:val="21"/>
                      <w:szCs w:val="21"/>
                      <w:lang w:val="en-US" w:eastAsia="zh-CN" w:bidi="ar-SA"/>
                    </w:rPr>
                  </w:pPr>
                  <w:r>
                    <w:rPr>
                      <w:rFonts w:hint="eastAsia" w:ascii="Times New Roman" w:hAnsi="Times New Roman"/>
                      <w:color w:val="auto"/>
                      <w:sz w:val="21"/>
                      <w:szCs w:val="21"/>
                      <w:lang w:val="en-US" w:eastAsia="zh-CN"/>
                    </w:rPr>
                    <w:t>1500</w:t>
                  </w:r>
                </w:p>
              </w:tc>
              <w:tc>
                <w:tcPr>
                  <w:tcW w:w="627" w:type="pct"/>
                  <w:shd w:val="clear" w:color="auto" w:fill="FFFFFF"/>
                  <w:vAlign w:val="center"/>
                </w:tcPr>
                <w:p>
                  <w:pPr>
                    <w:jc w:val="center"/>
                    <w:rPr>
                      <w:rFonts w:ascii="Times New Roman" w:hAnsi="Times New Roman" w:eastAsia="宋体" w:cs="Times New Roman"/>
                      <w:color w:val="auto"/>
                      <w:kern w:val="2"/>
                      <w:sz w:val="21"/>
                      <w:szCs w:val="21"/>
                      <w:lang w:val="en-US" w:eastAsia="zh-CN" w:bidi="ar-SA"/>
                    </w:rPr>
                  </w:pPr>
                  <w:r>
                    <w:rPr>
                      <w:rFonts w:ascii="Times New Roman" w:hAnsi="Times New Roman"/>
                      <w:color w:val="auto"/>
                      <w:sz w:val="21"/>
                      <w:szCs w:val="21"/>
                    </w:rPr>
                    <w:t>人群</w:t>
                  </w:r>
                </w:p>
              </w:tc>
              <w:tc>
                <w:tcPr>
                  <w:tcW w:w="500" w:type="pct"/>
                  <w:shd w:val="clear" w:color="auto" w:fill="FFFFFF"/>
                  <w:vAlign w:val="center"/>
                </w:tcPr>
                <w:p>
                  <w:pPr>
                    <w:pStyle w:val="50"/>
                    <w:widowControl w:val="0"/>
                    <w:adjustRightInd w:val="0"/>
                    <w:snapToGrid w:val="0"/>
                    <w:spacing w:before="0" w:line="240" w:lineRule="auto"/>
                    <w:ind w:firstLine="0" w:firstLineChars="0"/>
                    <w:jc w:val="center"/>
                    <w:rPr>
                      <w:rFonts w:hint="eastAsia" w:ascii="Times New Roman" w:hAnsi="Times New Roman" w:eastAsia="宋体" w:cs="Times New Roman"/>
                      <w:color w:val="auto"/>
                      <w:spacing w:val="15"/>
                      <w:kern w:val="0"/>
                      <w:sz w:val="21"/>
                      <w:szCs w:val="21"/>
                      <w:lang w:val="en-US" w:eastAsia="zh-CN" w:bidi="ar-SA"/>
                    </w:rPr>
                  </w:pPr>
                  <w:r>
                    <w:rPr>
                      <w:rFonts w:hint="eastAsia" w:ascii="Times New Roman" w:hAnsi="Times New Roman"/>
                      <w:color w:val="auto"/>
                      <w:sz w:val="21"/>
                      <w:szCs w:val="21"/>
                      <w:lang w:val="en-US" w:eastAsia="zh-CN"/>
                    </w:rPr>
                    <w:t>S</w:t>
                  </w:r>
                </w:p>
              </w:tc>
              <w:tc>
                <w:tcPr>
                  <w:tcW w:w="577" w:type="pct"/>
                  <w:shd w:val="clear" w:color="auto" w:fill="FFFFFF"/>
                  <w:vAlign w:val="center"/>
                </w:tcPr>
                <w:p>
                  <w:pPr>
                    <w:pStyle w:val="50"/>
                    <w:widowControl w:val="0"/>
                    <w:adjustRightInd w:val="0"/>
                    <w:snapToGrid w:val="0"/>
                    <w:spacing w:before="0" w:line="240" w:lineRule="auto"/>
                    <w:ind w:firstLine="0" w:firstLineChars="0"/>
                    <w:jc w:val="center"/>
                    <w:rPr>
                      <w:rFonts w:hint="default" w:ascii="Times New Roman" w:hAnsi="Times New Roman" w:eastAsia="宋体" w:cs="Times New Roman"/>
                      <w:color w:val="auto"/>
                      <w:spacing w:val="15"/>
                      <w:kern w:val="0"/>
                      <w:sz w:val="21"/>
                      <w:szCs w:val="21"/>
                      <w:lang w:val="en-US" w:eastAsia="zh-CN" w:bidi="ar-SA"/>
                    </w:rPr>
                  </w:pPr>
                  <w:r>
                    <w:rPr>
                      <w:rFonts w:hint="eastAsia" w:ascii="Times New Roman" w:hAnsi="Times New Roman" w:cs="Times New Roman"/>
                      <w:color w:val="auto"/>
                      <w:spacing w:val="15"/>
                      <w:kern w:val="0"/>
                      <w:sz w:val="21"/>
                      <w:szCs w:val="21"/>
                      <w:lang w:val="en-US" w:eastAsia="zh-CN" w:bidi="ar-SA"/>
                    </w:rPr>
                    <w:t>1320</w:t>
                  </w:r>
                </w:p>
              </w:tc>
            </w:tr>
            <w:tr>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0" w:type="dxa"/>
                  <w:left w:w="108" w:type="dxa"/>
                  <w:bottom w:w="0" w:type="dxa"/>
                  <w:right w:w="108" w:type="dxa"/>
                </w:tblCellMar>
              </w:tblPrEx>
              <w:trPr>
                <w:trHeight w:val="717" w:hRule="atLeast"/>
                <w:jc w:val="center"/>
              </w:trPr>
              <w:tc>
                <w:tcPr>
                  <w:tcW w:w="554" w:type="pct"/>
                  <w:shd w:val="clear" w:color="auto" w:fill="FFFFFF"/>
                  <w:vAlign w:val="center"/>
                </w:tcPr>
                <w:p>
                  <w:pPr>
                    <w:pStyle w:val="50"/>
                    <w:widowControl w:val="0"/>
                    <w:adjustRightInd w:val="0"/>
                    <w:snapToGrid w:val="0"/>
                    <w:spacing w:before="0" w:line="240" w:lineRule="auto"/>
                    <w:ind w:firstLine="0" w:firstLineChars="0"/>
                    <w:jc w:val="center"/>
                    <w:rPr>
                      <w:rFonts w:hint="eastAsia" w:ascii="Times New Roman" w:hAnsi="Times New Roman" w:eastAsia="宋体" w:cs="Times New Roman"/>
                      <w:color w:val="auto"/>
                      <w:spacing w:val="15"/>
                      <w:kern w:val="0"/>
                      <w:sz w:val="21"/>
                      <w:szCs w:val="21"/>
                      <w:lang w:val="en-US" w:eastAsia="zh-CN" w:bidi="ar-SA"/>
                    </w:rPr>
                  </w:pPr>
                  <w:r>
                    <w:rPr>
                      <w:rFonts w:hint="eastAsia" w:ascii="Times New Roman" w:hAnsi="Times New Roman"/>
                      <w:color w:val="auto"/>
                      <w:sz w:val="21"/>
                      <w:szCs w:val="21"/>
                      <w:lang w:eastAsia="zh-CN"/>
                    </w:rPr>
                    <w:t>金江苑三村一区</w:t>
                  </w:r>
                </w:p>
              </w:tc>
              <w:tc>
                <w:tcPr>
                  <w:tcW w:w="745" w:type="pct"/>
                  <w:shd w:val="clear" w:color="auto" w:fill="FFFFFF"/>
                  <w:vAlign w:val="center"/>
                </w:tcPr>
                <w:p>
                  <w:pPr>
                    <w:pStyle w:val="50"/>
                    <w:widowControl w:val="0"/>
                    <w:adjustRightInd w:val="0"/>
                    <w:snapToGrid w:val="0"/>
                    <w:spacing w:before="0" w:line="240" w:lineRule="auto"/>
                    <w:ind w:firstLine="0" w:firstLineChars="0"/>
                    <w:jc w:val="center"/>
                    <w:rPr>
                      <w:rFonts w:hint="eastAsia" w:ascii="Times New Roman" w:hAnsi="Times New Roman" w:eastAsia="宋体" w:cs="Times New Roman"/>
                      <w:color w:val="auto"/>
                      <w:spacing w:val="15"/>
                      <w:kern w:val="0"/>
                      <w:sz w:val="21"/>
                      <w:szCs w:val="21"/>
                      <w:lang w:val="en-US" w:eastAsia="zh-CN" w:bidi="ar-SA"/>
                    </w:rPr>
                  </w:pPr>
                  <w:r>
                    <w:rPr>
                      <w:rFonts w:hint="eastAsia" w:ascii="Times New Roman" w:hAnsi="Times New Roman"/>
                      <w:color w:val="auto"/>
                      <w:sz w:val="21"/>
                      <w:szCs w:val="21"/>
                      <w:lang w:val="en-US" w:eastAsia="zh-CN"/>
                    </w:rPr>
                    <w:t>119.625052</w:t>
                  </w:r>
                </w:p>
              </w:tc>
              <w:tc>
                <w:tcPr>
                  <w:tcW w:w="631" w:type="pct"/>
                  <w:shd w:val="clear" w:color="auto" w:fill="FFFFFF"/>
                  <w:vAlign w:val="center"/>
                </w:tcPr>
                <w:p>
                  <w:pPr>
                    <w:pStyle w:val="50"/>
                    <w:widowControl w:val="0"/>
                    <w:adjustRightInd w:val="0"/>
                    <w:snapToGrid w:val="0"/>
                    <w:spacing w:before="0" w:line="240" w:lineRule="auto"/>
                    <w:ind w:firstLine="0" w:firstLineChars="0"/>
                    <w:jc w:val="center"/>
                    <w:rPr>
                      <w:rFonts w:hint="eastAsia" w:ascii="Times New Roman" w:hAnsi="Times New Roman" w:eastAsia="宋体" w:cs="Times New Roman"/>
                      <w:color w:val="auto"/>
                      <w:spacing w:val="15"/>
                      <w:kern w:val="0"/>
                      <w:sz w:val="21"/>
                      <w:szCs w:val="21"/>
                      <w:lang w:val="en-US" w:eastAsia="zh-CN" w:bidi="ar-SA"/>
                    </w:rPr>
                  </w:pPr>
                  <w:r>
                    <w:rPr>
                      <w:rFonts w:hint="eastAsia" w:ascii="Times New Roman" w:hAnsi="Times New Roman"/>
                      <w:color w:val="auto"/>
                      <w:sz w:val="21"/>
                      <w:szCs w:val="21"/>
                      <w:lang w:val="en-US" w:eastAsia="zh-CN"/>
                    </w:rPr>
                    <w:t>31.744031</w:t>
                  </w:r>
                </w:p>
              </w:tc>
              <w:tc>
                <w:tcPr>
                  <w:tcW w:w="469" w:type="pct"/>
                  <w:shd w:val="clear" w:color="auto" w:fill="FFFFFF"/>
                  <w:vAlign w:val="center"/>
                </w:tcPr>
                <w:p>
                  <w:pPr>
                    <w:jc w:val="center"/>
                    <w:rPr>
                      <w:rFonts w:ascii="Times New Roman" w:hAnsi="Times New Roman" w:eastAsia="宋体" w:cs="Times New Roman"/>
                      <w:color w:val="auto"/>
                      <w:kern w:val="2"/>
                      <w:sz w:val="21"/>
                      <w:szCs w:val="21"/>
                      <w:lang w:val="en-US" w:eastAsia="zh-CN" w:bidi="ar-SA"/>
                    </w:rPr>
                  </w:pPr>
                  <w:r>
                    <w:rPr>
                      <w:color w:val="auto"/>
                      <w:szCs w:val="21"/>
                    </w:rPr>
                    <w:t>居住区</w:t>
                  </w:r>
                </w:p>
              </w:tc>
              <w:tc>
                <w:tcPr>
                  <w:tcW w:w="469" w:type="pct"/>
                  <w:shd w:val="clear" w:color="auto" w:fill="FFFFFF"/>
                  <w:vAlign w:val="center"/>
                </w:tcPr>
                <w:p>
                  <w:pPr>
                    <w:widowControl w:val="0"/>
                    <w:adjustRightInd w:val="0"/>
                    <w:snapToGrid w:val="0"/>
                    <w:spacing w:before="0" w:line="240" w:lineRule="auto"/>
                    <w:ind w:firstLine="0" w:firstLineChars="0"/>
                    <w:jc w:val="center"/>
                    <w:rPr>
                      <w:rFonts w:ascii="Times New Roman" w:hAnsi="Times New Roman" w:eastAsia="宋体" w:cs="Times New Roman"/>
                      <w:color w:val="auto"/>
                      <w:kern w:val="2"/>
                      <w:sz w:val="21"/>
                      <w:szCs w:val="21"/>
                      <w:lang w:val="en-US" w:eastAsia="zh-CN" w:bidi="ar-SA"/>
                    </w:rPr>
                  </w:pPr>
                  <w:r>
                    <w:rPr>
                      <w:rFonts w:ascii="Times New Roman" w:hAnsi="Times New Roman"/>
                      <w:color w:val="auto"/>
                      <w:sz w:val="21"/>
                      <w:szCs w:val="21"/>
                    </w:rPr>
                    <w:t>人群</w:t>
                  </w:r>
                </w:p>
              </w:tc>
              <w:tc>
                <w:tcPr>
                  <w:tcW w:w="424" w:type="pct"/>
                  <w:shd w:val="clear" w:color="auto" w:fill="FFFFFF"/>
                  <w:vAlign w:val="center"/>
                </w:tcPr>
                <w:p>
                  <w:pPr>
                    <w:pStyle w:val="50"/>
                    <w:widowControl w:val="0"/>
                    <w:adjustRightInd w:val="0"/>
                    <w:snapToGrid w:val="0"/>
                    <w:spacing w:before="0" w:line="240" w:lineRule="auto"/>
                    <w:ind w:firstLine="0" w:firstLineChars="0"/>
                    <w:jc w:val="center"/>
                    <w:rPr>
                      <w:rFonts w:hint="eastAsia" w:ascii="Times New Roman" w:hAnsi="Times New Roman" w:eastAsia="宋体" w:cs="Times New Roman"/>
                      <w:color w:val="auto"/>
                      <w:spacing w:val="15"/>
                      <w:kern w:val="0"/>
                      <w:sz w:val="21"/>
                      <w:szCs w:val="21"/>
                      <w:lang w:val="en-US" w:eastAsia="zh-CN" w:bidi="ar-SA"/>
                    </w:rPr>
                  </w:pPr>
                  <w:r>
                    <w:rPr>
                      <w:rFonts w:hint="eastAsia" w:ascii="Times New Roman" w:hAnsi="Times New Roman"/>
                      <w:color w:val="auto"/>
                      <w:sz w:val="21"/>
                      <w:szCs w:val="21"/>
                      <w:lang w:val="en-US" w:eastAsia="zh-CN"/>
                    </w:rPr>
                    <w:t>1500</w:t>
                  </w:r>
                </w:p>
              </w:tc>
              <w:tc>
                <w:tcPr>
                  <w:tcW w:w="627" w:type="pct"/>
                  <w:shd w:val="clear" w:color="auto" w:fill="FFFFFF"/>
                  <w:vAlign w:val="center"/>
                </w:tcPr>
                <w:p>
                  <w:pPr>
                    <w:jc w:val="center"/>
                    <w:rPr>
                      <w:rFonts w:ascii="Times New Roman" w:hAnsi="Times New Roman" w:eastAsia="宋体" w:cs="Times New Roman"/>
                      <w:color w:val="auto"/>
                      <w:kern w:val="2"/>
                      <w:sz w:val="21"/>
                      <w:szCs w:val="21"/>
                      <w:lang w:val="en-US" w:eastAsia="zh-CN" w:bidi="ar-SA"/>
                    </w:rPr>
                  </w:pPr>
                  <w:r>
                    <w:rPr>
                      <w:rFonts w:ascii="Times New Roman" w:hAnsi="Times New Roman"/>
                      <w:color w:val="auto"/>
                      <w:sz w:val="21"/>
                      <w:szCs w:val="21"/>
                    </w:rPr>
                    <w:t>人群</w:t>
                  </w:r>
                </w:p>
              </w:tc>
              <w:tc>
                <w:tcPr>
                  <w:tcW w:w="500" w:type="pct"/>
                  <w:shd w:val="clear" w:color="auto" w:fill="FFFFFF"/>
                  <w:vAlign w:val="center"/>
                </w:tcPr>
                <w:p>
                  <w:pPr>
                    <w:pStyle w:val="50"/>
                    <w:widowControl w:val="0"/>
                    <w:adjustRightInd w:val="0"/>
                    <w:snapToGrid w:val="0"/>
                    <w:spacing w:before="0" w:line="240" w:lineRule="auto"/>
                    <w:ind w:firstLine="0" w:firstLineChars="0"/>
                    <w:jc w:val="center"/>
                    <w:rPr>
                      <w:rFonts w:hint="eastAsia" w:ascii="Times New Roman" w:hAnsi="Times New Roman" w:eastAsia="宋体" w:cs="Times New Roman"/>
                      <w:color w:val="auto"/>
                      <w:spacing w:val="15"/>
                      <w:kern w:val="0"/>
                      <w:sz w:val="21"/>
                      <w:szCs w:val="21"/>
                      <w:lang w:val="en-US" w:eastAsia="zh-CN" w:bidi="ar-SA"/>
                    </w:rPr>
                  </w:pPr>
                  <w:r>
                    <w:rPr>
                      <w:rFonts w:hint="eastAsia" w:ascii="Times New Roman" w:hAnsi="Times New Roman"/>
                      <w:color w:val="auto"/>
                      <w:sz w:val="21"/>
                      <w:szCs w:val="21"/>
                      <w:lang w:val="en-US" w:eastAsia="zh-CN"/>
                    </w:rPr>
                    <w:t>S</w:t>
                  </w:r>
                </w:p>
              </w:tc>
              <w:tc>
                <w:tcPr>
                  <w:tcW w:w="577" w:type="pct"/>
                  <w:shd w:val="clear" w:color="auto" w:fill="FFFFFF"/>
                  <w:vAlign w:val="center"/>
                </w:tcPr>
                <w:p>
                  <w:pPr>
                    <w:pStyle w:val="50"/>
                    <w:widowControl w:val="0"/>
                    <w:adjustRightInd w:val="0"/>
                    <w:snapToGrid w:val="0"/>
                    <w:spacing w:before="0" w:line="240" w:lineRule="auto"/>
                    <w:ind w:firstLine="0" w:firstLineChars="0"/>
                    <w:jc w:val="center"/>
                    <w:rPr>
                      <w:rFonts w:hint="default" w:ascii="Times New Roman" w:hAnsi="Times New Roman" w:eastAsia="宋体" w:cs="Times New Roman"/>
                      <w:color w:val="auto"/>
                      <w:spacing w:val="15"/>
                      <w:kern w:val="0"/>
                      <w:sz w:val="21"/>
                      <w:szCs w:val="21"/>
                      <w:lang w:val="en-US" w:eastAsia="zh-CN" w:bidi="ar-SA"/>
                    </w:rPr>
                  </w:pPr>
                  <w:r>
                    <w:rPr>
                      <w:rFonts w:hint="eastAsia" w:ascii="Times New Roman" w:hAnsi="Times New Roman" w:cs="Times New Roman"/>
                      <w:color w:val="auto"/>
                      <w:spacing w:val="15"/>
                      <w:kern w:val="0"/>
                      <w:sz w:val="21"/>
                      <w:szCs w:val="21"/>
                      <w:lang w:val="en-US" w:eastAsia="zh-CN" w:bidi="ar-SA"/>
                    </w:rPr>
                    <w:t>1420</w:t>
                  </w:r>
                </w:p>
              </w:tc>
            </w:tr>
            <w:tr>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0" w:type="dxa"/>
                  <w:left w:w="108" w:type="dxa"/>
                  <w:bottom w:w="0" w:type="dxa"/>
                  <w:right w:w="108" w:type="dxa"/>
                </w:tblCellMar>
              </w:tblPrEx>
              <w:trPr>
                <w:trHeight w:val="717" w:hRule="atLeast"/>
                <w:jc w:val="center"/>
              </w:trPr>
              <w:tc>
                <w:tcPr>
                  <w:tcW w:w="554" w:type="pct"/>
                  <w:shd w:val="clear" w:color="auto" w:fill="FFFFFF"/>
                  <w:vAlign w:val="center"/>
                </w:tcPr>
                <w:p>
                  <w:pPr>
                    <w:pStyle w:val="50"/>
                    <w:widowControl w:val="0"/>
                    <w:adjustRightInd w:val="0"/>
                    <w:snapToGrid w:val="0"/>
                    <w:spacing w:before="0" w:line="240" w:lineRule="auto"/>
                    <w:ind w:firstLine="0" w:firstLineChars="0"/>
                    <w:jc w:val="center"/>
                    <w:rPr>
                      <w:rFonts w:hint="eastAsia" w:ascii="Times New Roman" w:hAnsi="Times New Roman" w:eastAsia="宋体" w:cs="Times New Roman"/>
                      <w:color w:val="auto"/>
                      <w:spacing w:val="15"/>
                      <w:kern w:val="0"/>
                      <w:sz w:val="21"/>
                      <w:szCs w:val="21"/>
                      <w:lang w:val="en-US" w:eastAsia="zh-CN" w:bidi="ar-SA"/>
                    </w:rPr>
                  </w:pPr>
                  <w:r>
                    <w:rPr>
                      <w:rFonts w:hint="eastAsia" w:ascii="Times New Roman" w:hAnsi="Times New Roman"/>
                      <w:color w:val="auto"/>
                      <w:sz w:val="21"/>
                      <w:szCs w:val="21"/>
                      <w:lang w:eastAsia="zh-CN"/>
                    </w:rPr>
                    <w:t>金江苑三村二区</w:t>
                  </w:r>
                </w:p>
              </w:tc>
              <w:tc>
                <w:tcPr>
                  <w:tcW w:w="745" w:type="pct"/>
                  <w:shd w:val="clear" w:color="auto" w:fill="FFFFFF"/>
                  <w:vAlign w:val="center"/>
                </w:tcPr>
                <w:p>
                  <w:pPr>
                    <w:pStyle w:val="50"/>
                    <w:widowControl w:val="0"/>
                    <w:adjustRightInd w:val="0"/>
                    <w:snapToGrid w:val="0"/>
                    <w:spacing w:before="0" w:line="240" w:lineRule="auto"/>
                    <w:ind w:firstLine="0" w:firstLineChars="0"/>
                    <w:jc w:val="center"/>
                    <w:rPr>
                      <w:rFonts w:hint="eastAsia" w:ascii="Times New Roman" w:hAnsi="Times New Roman" w:eastAsia="宋体" w:cs="Times New Roman"/>
                      <w:color w:val="auto"/>
                      <w:spacing w:val="15"/>
                      <w:kern w:val="0"/>
                      <w:sz w:val="21"/>
                      <w:szCs w:val="21"/>
                      <w:lang w:val="en-US" w:eastAsia="zh-CN" w:bidi="ar-SA"/>
                    </w:rPr>
                  </w:pPr>
                  <w:r>
                    <w:rPr>
                      <w:rFonts w:hint="eastAsia" w:ascii="Times New Roman" w:hAnsi="Times New Roman"/>
                      <w:color w:val="auto"/>
                      <w:sz w:val="21"/>
                      <w:szCs w:val="21"/>
                      <w:lang w:val="en-US" w:eastAsia="zh-CN"/>
                    </w:rPr>
                    <w:t>119.625223</w:t>
                  </w:r>
                </w:p>
              </w:tc>
              <w:tc>
                <w:tcPr>
                  <w:tcW w:w="631" w:type="pct"/>
                  <w:shd w:val="clear" w:color="auto" w:fill="FFFFFF"/>
                  <w:vAlign w:val="center"/>
                </w:tcPr>
                <w:p>
                  <w:pPr>
                    <w:pStyle w:val="50"/>
                    <w:widowControl w:val="0"/>
                    <w:adjustRightInd w:val="0"/>
                    <w:snapToGrid w:val="0"/>
                    <w:spacing w:before="0" w:line="240" w:lineRule="auto"/>
                    <w:ind w:firstLine="0" w:firstLineChars="0"/>
                    <w:jc w:val="center"/>
                    <w:rPr>
                      <w:rFonts w:hint="eastAsia" w:ascii="Times New Roman" w:hAnsi="Times New Roman" w:eastAsia="宋体" w:cs="Times New Roman"/>
                      <w:color w:val="auto"/>
                      <w:spacing w:val="15"/>
                      <w:kern w:val="0"/>
                      <w:sz w:val="21"/>
                      <w:szCs w:val="21"/>
                      <w:lang w:val="en-US" w:eastAsia="zh-CN" w:bidi="ar-SA"/>
                    </w:rPr>
                  </w:pPr>
                  <w:r>
                    <w:rPr>
                      <w:rFonts w:hint="eastAsia" w:ascii="Times New Roman" w:hAnsi="Times New Roman"/>
                      <w:color w:val="auto"/>
                      <w:sz w:val="21"/>
                      <w:szCs w:val="21"/>
                      <w:lang w:val="en-US" w:eastAsia="zh-CN"/>
                    </w:rPr>
                    <w:t>31.741134</w:t>
                  </w:r>
                </w:p>
              </w:tc>
              <w:tc>
                <w:tcPr>
                  <w:tcW w:w="469" w:type="pct"/>
                  <w:shd w:val="clear" w:color="auto" w:fill="FFFFFF"/>
                  <w:vAlign w:val="center"/>
                </w:tcPr>
                <w:p>
                  <w:pPr>
                    <w:jc w:val="center"/>
                    <w:rPr>
                      <w:rFonts w:ascii="Times New Roman" w:hAnsi="Times New Roman" w:eastAsia="宋体" w:cs="Times New Roman"/>
                      <w:color w:val="auto"/>
                      <w:kern w:val="2"/>
                      <w:sz w:val="21"/>
                      <w:szCs w:val="21"/>
                      <w:lang w:val="en-US" w:eastAsia="zh-CN" w:bidi="ar-SA"/>
                    </w:rPr>
                  </w:pPr>
                  <w:r>
                    <w:rPr>
                      <w:color w:val="auto"/>
                      <w:szCs w:val="21"/>
                    </w:rPr>
                    <w:t>居住区</w:t>
                  </w:r>
                </w:p>
              </w:tc>
              <w:tc>
                <w:tcPr>
                  <w:tcW w:w="469" w:type="pct"/>
                  <w:shd w:val="clear" w:color="auto" w:fill="FFFFFF"/>
                  <w:vAlign w:val="center"/>
                </w:tcPr>
                <w:p>
                  <w:pPr>
                    <w:widowControl w:val="0"/>
                    <w:adjustRightInd w:val="0"/>
                    <w:snapToGrid w:val="0"/>
                    <w:spacing w:before="0" w:line="240" w:lineRule="auto"/>
                    <w:ind w:firstLine="0" w:firstLineChars="0"/>
                    <w:jc w:val="center"/>
                    <w:rPr>
                      <w:rFonts w:ascii="Times New Roman" w:hAnsi="Times New Roman" w:eastAsia="宋体" w:cs="Times New Roman"/>
                      <w:color w:val="auto"/>
                      <w:kern w:val="2"/>
                      <w:sz w:val="21"/>
                      <w:szCs w:val="21"/>
                      <w:lang w:val="en-US" w:eastAsia="zh-CN" w:bidi="ar-SA"/>
                    </w:rPr>
                  </w:pPr>
                  <w:r>
                    <w:rPr>
                      <w:rFonts w:ascii="Times New Roman" w:hAnsi="Times New Roman"/>
                      <w:color w:val="auto"/>
                      <w:sz w:val="21"/>
                      <w:szCs w:val="21"/>
                    </w:rPr>
                    <w:t>人群</w:t>
                  </w:r>
                </w:p>
              </w:tc>
              <w:tc>
                <w:tcPr>
                  <w:tcW w:w="424" w:type="pct"/>
                  <w:shd w:val="clear" w:color="auto" w:fill="FFFFFF"/>
                  <w:vAlign w:val="center"/>
                </w:tcPr>
                <w:p>
                  <w:pPr>
                    <w:pStyle w:val="50"/>
                    <w:widowControl w:val="0"/>
                    <w:adjustRightInd w:val="0"/>
                    <w:snapToGrid w:val="0"/>
                    <w:spacing w:before="0" w:line="240" w:lineRule="auto"/>
                    <w:ind w:firstLine="0" w:firstLineChars="0"/>
                    <w:jc w:val="center"/>
                    <w:rPr>
                      <w:rFonts w:hint="eastAsia" w:ascii="Times New Roman" w:hAnsi="Times New Roman" w:eastAsia="宋体" w:cs="Times New Roman"/>
                      <w:color w:val="auto"/>
                      <w:spacing w:val="15"/>
                      <w:kern w:val="0"/>
                      <w:sz w:val="21"/>
                      <w:szCs w:val="21"/>
                      <w:lang w:val="en-US" w:eastAsia="zh-CN" w:bidi="ar-SA"/>
                    </w:rPr>
                  </w:pPr>
                  <w:r>
                    <w:rPr>
                      <w:rFonts w:hint="eastAsia" w:ascii="Times New Roman" w:hAnsi="Times New Roman"/>
                      <w:color w:val="auto"/>
                      <w:sz w:val="21"/>
                      <w:szCs w:val="21"/>
                      <w:lang w:val="en-US" w:eastAsia="zh-CN"/>
                    </w:rPr>
                    <w:t>1500</w:t>
                  </w:r>
                </w:p>
              </w:tc>
              <w:tc>
                <w:tcPr>
                  <w:tcW w:w="627" w:type="pct"/>
                  <w:shd w:val="clear" w:color="auto" w:fill="FFFFFF"/>
                  <w:vAlign w:val="center"/>
                </w:tcPr>
                <w:p>
                  <w:pPr>
                    <w:jc w:val="center"/>
                    <w:rPr>
                      <w:rFonts w:ascii="Times New Roman" w:hAnsi="Times New Roman" w:eastAsia="宋体" w:cs="Times New Roman"/>
                      <w:color w:val="auto"/>
                      <w:kern w:val="2"/>
                      <w:sz w:val="21"/>
                      <w:szCs w:val="21"/>
                      <w:lang w:val="en-US" w:eastAsia="zh-CN" w:bidi="ar-SA"/>
                    </w:rPr>
                  </w:pPr>
                  <w:r>
                    <w:rPr>
                      <w:rFonts w:ascii="Times New Roman" w:hAnsi="Times New Roman"/>
                      <w:color w:val="auto"/>
                      <w:sz w:val="21"/>
                      <w:szCs w:val="21"/>
                    </w:rPr>
                    <w:t>人群</w:t>
                  </w:r>
                </w:p>
              </w:tc>
              <w:tc>
                <w:tcPr>
                  <w:tcW w:w="500" w:type="pct"/>
                  <w:shd w:val="clear" w:color="auto" w:fill="FFFFFF"/>
                  <w:vAlign w:val="center"/>
                </w:tcPr>
                <w:p>
                  <w:pPr>
                    <w:widowControl w:val="0"/>
                    <w:adjustRightInd w:val="0"/>
                    <w:snapToGrid w:val="0"/>
                    <w:spacing w:before="0" w:line="240" w:lineRule="auto"/>
                    <w:ind w:firstLine="0" w:firstLineChars="0"/>
                    <w:jc w:val="center"/>
                    <w:rPr>
                      <w:rFonts w:hint="eastAsia" w:ascii="Times New Roman" w:hAnsi="Times New Roman" w:eastAsia="宋体" w:cs="Times New Roman"/>
                      <w:color w:val="auto"/>
                      <w:kern w:val="2"/>
                      <w:sz w:val="21"/>
                      <w:szCs w:val="21"/>
                      <w:lang w:val="en-US" w:eastAsia="zh-CN" w:bidi="ar-SA"/>
                    </w:rPr>
                  </w:pPr>
                  <w:r>
                    <w:rPr>
                      <w:rFonts w:hint="eastAsia" w:ascii="Times New Roman" w:hAnsi="Times New Roman"/>
                      <w:color w:val="auto"/>
                      <w:sz w:val="21"/>
                      <w:szCs w:val="21"/>
                      <w:lang w:val="en-US" w:eastAsia="zh-CN"/>
                    </w:rPr>
                    <w:t>S</w:t>
                  </w:r>
                </w:p>
              </w:tc>
              <w:tc>
                <w:tcPr>
                  <w:tcW w:w="577" w:type="pct"/>
                  <w:shd w:val="clear" w:color="auto" w:fill="FFFFFF"/>
                  <w:vAlign w:val="center"/>
                </w:tcPr>
                <w:p>
                  <w:pPr>
                    <w:pStyle w:val="50"/>
                    <w:widowControl w:val="0"/>
                    <w:adjustRightInd w:val="0"/>
                    <w:snapToGrid w:val="0"/>
                    <w:spacing w:before="0" w:line="240" w:lineRule="auto"/>
                    <w:ind w:firstLine="0" w:firstLineChars="0"/>
                    <w:jc w:val="center"/>
                    <w:rPr>
                      <w:rFonts w:hint="default" w:ascii="Times New Roman" w:hAnsi="Times New Roman" w:eastAsia="宋体" w:cs="Times New Roman"/>
                      <w:color w:val="auto"/>
                      <w:spacing w:val="15"/>
                      <w:kern w:val="0"/>
                      <w:sz w:val="21"/>
                      <w:szCs w:val="21"/>
                      <w:lang w:val="en-US" w:eastAsia="zh-CN" w:bidi="ar-SA"/>
                    </w:rPr>
                  </w:pPr>
                  <w:r>
                    <w:rPr>
                      <w:rFonts w:hint="eastAsia" w:ascii="Times New Roman" w:hAnsi="Times New Roman" w:cs="Times New Roman"/>
                      <w:color w:val="auto"/>
                      <w:spacing w:val="15"/>
                      <w:kern w:val="0"/>
                      <w:sz w:val="21"/>
                      <w:szCs w:val="21"/>
                      <w:lang w:val="en-US" w:eastAsia="zh-CN" w:bidi="ar-SA"/>
                    </w:rPr>
                    <w:t>1700</w:t>
                  </w:r>
                </w:p>
              </w:tc>
            </w:tr>
          </w:tbl>
          <w:p>
            <w:pPr>
              <w:snapToGrid w:val="0"/>
              <w:spacing w:line="360" w:lineRule="auto"/>
              <w:ind w:left="63" w:leftChars="30" w:right="63" w:rightChars="30" w:firstLine="480" w:firstLineChars="200"/>
              <w:rPr>
                <w:b/>
                <w:sz w:val="24"/>
              </w:rPr>
            </w:pPr>
            <w:r>
              <w:rPr>
                <w:rFonts w:hint="eastAsia"/>
                <w:b/>
                <w:sz w:val="24"/>
                <w:lang w:val="en-US" w:eastAsia="zh-CN"/>
              </w:rPr>
              <w:t>7</w:t>
            </w:r>
            <w:r>
              <w:rPr>
                <w:b/>
                <w:sz w:val="24"/>
              </w:rPr>
              <w:t xml:space="preserve">.3 </w:t>
            </w:r>
            <w:r>
              <w:rPr>
                <w:rFonts w:hint="eastAsia"/>
                <w:b/>
                <w:sz w:val="24"/>
              </w:rPr>
              <w:t>环境风险识别</w:t>
            </w:r>
          </w:p>
          <w:p>
            <w:pPr>
              <w:snapToGrid w:val="0"/>
              <w:spacing w:line="360" w:lineRule="auto"/>
              <w:ind w:left="480"/>
              <w:outlineLvl w:val="3"/>
              <w:rPr>
                <w:sz w:val="24"/>
                <w:szCs w:val="24"/>
              </w:rPr>
            </w:pPr>
            <w:r>
              <w:rPr>
                <w:rFonts w:hint="eastAsia"/>
                <w:sz w:val="24"/>
                <w:szCs w:val="24"/>
              </w:rPr>
              <w:t>①</w:t>
            </w:r>
            <w:r>
              <w:rPr>
                <w:sz w:val="24"/>
                <w:szCs w:val="24"/>
              </w:rPr>
              <w:t>物质风险识别</w:t>
            </w:r>
          </w:p>
          <w:p>
            <w:pPr>
              <w:snapToGrid w:val="0"/>
              <w:spacing w:line="360" w:lineRule="auto"/>
              <w:ind w:firstLine="480" w:firstLineChars="200"/>
              <w:outlineLvl w:val="3"/>
              <w:rPr>
                <w:sz w:val="24"/>
                <w:szCs w:val="24"/>
              </w:rPr>
            </w:pPr>
            <w:r>
              <w:rPr>
                <w:sz w:val="24"/>
                <w:szCs w:val="24"/>
              </w:rPr>
              <w:t>按照《建设项目环境风险评价技术导则》（HJ/T 169-2018）附录</w:t>
            </w:r>
            <w:r>
              <w:rPr>
                <w:rFonts w:hint="eastAsia"/>
                <w:sz w:val="24"/>
                <w:szCs w:val="24"/>
              </w:rPr>
              <w:t>B</w:t>
            </w:r>
            <w:r>
              <w:rPr>
                <w:sz w:val="24"/>
                <w:szCs w:val="24"/>
              </w:rPr>
              <w:t>.1中表1“</w:t>
            </w:r>
            <w:r>
              <w:rPr>
                <w:rFonts w:hint="eastAsia"/>
                <w:sz w:val="24"/>
                <w:szCs w:val="24"/>
              </w:rPr>
              <w:t>突发环境事件风险物质及临界量</w:t>
            </w:r>
            <w:r>
              <w:rPr>
                <w:sz w:val="24"/>
                <w:szCs w:val="24"/>
              </w:rPr>
              <w:t>”和《重大危险源辨识》（GB18218-2018），经过筛选、评估，项目所涉及的主要物质为</w:t>
            </w:r>
            <w:r>
              <w:rPr>
                <w:rFonts w:hint="eastAsia"/>
                <w:bCs/>
                <w:sz w:val="24"/>
                <w:szCs w:val="24"/>
                <w:lang w:eastAsia="zh-CN"/>
              </w:rPr>
              <w:t>切削液、润滑油及危险废物废切削液、废润滑油</w:t>
            </w:r>
            <w:r>
              <w:rPr>
                <w:sz w:val="24"/>
                <w:szCs w:val="24"/>
              </w:rPr>
              <w:t>。</w:t>
            </w:r>
          </w:p>
          <w:p>
            <w:pPr>
              <w:snapToGrid w:val="0"/>
              <w:spacing w:line="360" w:lineRule="auto"/>
              <w:ind w:left="480"/>
              <w:outlineLvl w:val="3"/>
              <w:rPr>
                <w:sz w:val="24"/>
                <w:szCs w:val="24"/>
              </w:rPr>
            </w:pPr>
            <w:r>
              <w:rPr>
                <w:rFonts w:hint="eastAsia"/>
                <w:sz w:val="24"/>
                <w:szCs w:val="24"/>
              </w:rPr>
              <w:t>②主要危险物质分布情况，可能影响环境的途径</w:t>
            </w:r>
          </w:p>
          <w:p>
            <w:pPr>
              <w:jc w:val="center"/>
              <w:rPr>
                <w:b/>
                <w:bCs/>
                <w:szCs w:val="21"/>
              </w:rPr>
            </w:pPr>
            <w:r>
              <w:rPr>
                <w:b/>
                <w:bCs/>
                <w:szCs w:val="21"/>
              </w:rPr>
              <w:t>表7-2</w:t>
            </w:r>
            <w:r>
              <w:rPr>
                <w:rFonts w:hint="eastAsia"/>
                <w:b/>
                <w:bCs/>
                <w:szCs w:val="21"/>
                <w:lang w:val="en-US" w:eastAsia="zh-CN"/>
              </w:rPr>
              <w:t>8</w:t>
            </w:r>
            <w:r>
              <w:rPr>
                <w:b/>
                <w:bCs/>
                <w:szCs w:val="21"/>
              </w:rPr>
              <w:t>厂区生产过程危险性分析一览表</w:t>
            </w:r>
          </w:p>
          <w:tbl>
            <w:tblPr>
              <w:tblStyle w:val="56"/>
              <w:tblW w:w="8312" w:type="dxa"/>
              <w:tblInd w:w="0" w:type="dxa"/>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520"/>
              <w:gridCol w:w="1725"/>
              <w:gridCol w:w="1410"/>
              <w:gridCol w:w="1185"/>
              <w:gridCol w:w="3472"/>
            </w:tblGrid>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tblHeader/>
              </w:trPr>
              <w:tc>
                <w:tcPr>
                  <w:tcW w:w="520" w:type="dxa"/>
                  <w:vAlign w:val="center"/>
                </w:tcPr>
                <w:p>
                  <w:pPr>
                    <w:jc w:val="center"/>
                    <w:rPr>
                      <w:b/>
                      <w:szCs w:val="21"/>
                    </w:rPr>
                  </w:pPr>
                  <w:r>
                    <w:rPr>
                      <w:b/>
                      <w:szCs w:val="21"/>
                    </w:rPr>
                    <w:t>序号</w:t>
                  </w:r>
                </w:p>
              </w:tc>
              <w:tc>
                <w:tcPr>
                  <w:tcW w:w="1725" w:type="dxa"/>
                  <w:vAlign w:val="center"/>
                </w:tcPr>
                <w:p>
                  <w:pPr>
                    <w:jc w:val="center"/>
                    <w:rPr>
                      <w:b/>
                      <w:szCs w:val="21"/>
                    </w:rPr>
                  </w:pPr>
                  <w:r>
                    <w:rPr>
                      <w:rFonts w:hint="eastAsia"/>
                      <w:b/>
                      <w:szCs w:val="21"/>
                    </w:rPr>
                    <w:t>危险物质</w:t>
                  </w:r>
                </w:p>
              </w:tc>
              <w:tc>
                <w:tcPr>
                  <w:tcW w:w="1410" w:type="dxa"/>
                  <w:vAlign w:val="center"/>
                </w:tcPr>
                <w:p>
                  <w:pPr>
                    <w:jc w:val="center"/>
                    <w:rPr>
                      <w:b/>
                      <w:szCs w:val="21"/>
                    </w:rPr>
                  </w:pPr>
                  <w:r>
                    <w:rPr>
                      <w:rFonts w:hint="eastAsia"/>
                      <w:b/>
                      <w:szCs w:val="21"/>
                    </w:rPr>
                    <w:t>分布情况</w:t>
                  </w:r>
                </w:p>
              </w:tc>
              <w:tc>
                <w:tcPr>
                  <w:tcW w:w="1185" w:type="dxa"/>
                  <w:vAlign w:val="center"/>
                </w:tcPr>
                <w:p>
                  <w:pPr>
                    <w:jc w:val="center"/>
                    <w:rPr>
                      <w:b/>
                      <w:szCs w:val="21"/>
                    </w:rPr>
                  </w:pPr>
                  <w:r>
                    <w:rPr>
                      <w:b/>
                      <w:szCs w:val="21"/>
                    </w:rPr>
                    <w:t>产生事故模式</w:t>
                  </w:r>
                </w:p>
              </w:tc>
              <w:tc>
                <w:tcPr>
                  <w:tcW w:w="3472" w:type="dxa"/>
                  <w:vAlign w:val="center"/>
                </w:tcPr>
                <w:p>
                  <w:pPr>
                    <w:jc w:val="center"/>
                    <w:rPr>
                      <w:b/>
                      <w:szCs w:val="21"/>
                    </w:rPr>
                  </w:pPr>
                  <w:r>
                    <w:rPr>
                      <w:rFonts w:hint="eastAsia"/>
                      <w:b/>
                      <w:szCs w:val="21"/>
                    </w:rPr>
                    <w:t>影响环境的途径</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520" w:type="dxa"/>
                  <w:vAlign w:val="center"/>
                </w:tcPr>
                <w:p>
                  <w:pPr>
                    <w:widowControl/>
                    <w:jc w:val="center"/>
                    <w:rPr>
                      <w:kern w:val="0"/>
                      <w:szCs w:val="21"/>
                    </w:rPr>
                  </w:pPr>
                  <w:r>
                    <w:rPr>
                      <w:rFonts w:hint="eastAsia"/>
                      <w:kern w:val="0"/>
                      <w:szCs w:val="21"/>
                    </w:rPr>
                    <w:t>1</w:t>
                  </w:r>
                </w:p>
              </w:tc>
              <w:tc>
                <w:tcPr>
                  <w:tcW w:w="1725" w:type="dxa"/>
                  <w:vAlign w:val="center"/>
                </w:tcPr>
                <w:p>
                  <w:pPr>
                    <w:snapToGrid w:val="0"/>
                    <w:jc w:val="center"/>
                    <w:outlineLvl w:val="3"/>
                    <w:rPr>
                      <w:rFonts w:hint="eastAsia"/>
                      <w:szCs w:val="21"/>
                    </w:rPr>
                  </w:pPr>
                  <w:r>
                    <w:rPr>
                      <w:rFonts w:hint="eastAsia"/>
                      <w:szCs w:val="21"/>
                      <w:lang w:eastAsia="zh-CN"/>
                    </w:rPr>
                    <w:t>切削液、润滑油</w:t>
                  </w:r>
                </w:p>
              </w:tc>
              <w:tc>
                <w:tcPr>
                  <w:tcW w:w="1410" w:type="dxa"/>
                  <w:vAlign w:val="center"/>
                </w:tcPr>
                <w:p>
                  <w:pPr>
                    <w:snapToGrid w:val="0"/>
                    <w:jc w:val="center"/>
                    <w:outlineLvl w:val="3"/>
                    <w:rPr>
                      <w:szCs w:val="21"/>
                    </w:rPr>
                  </w:pPr>
                  <w:r>
                    <w:rPr>
                      <w:rFonts w:hint="eastAsia"/>
                      <w:szCs w:val="21"/>
                    </w:rPr>
                    <w:t>原料仓库、生产车间</w:t>
                  </w:r>
                </w:p>
              </w:tc>
              <w:tc>
                <w:tcPr>
                  <w:tcW w:w="1185" w:type="dxa"/>
                  <w:vAlign w:val="center"/>
                </w:tcPr>
                <w:p>
                  <w:pPr>
                    <w:snapToGrid w:val="0"/>
                    <w:jc w:val="center"/>
                    <w:outlineLvl w:val="3"/>
                    <w:rPr>
                      <w:szCs w:val="21"/>
                    </w:rPr>
                  </w:pPr>
                  <w:r>
                    <w:rPr>
                      <w:szCs w:val="21"/>
                    </w:rPr>
                    <w:t>火灾</w:t>
                  </w:r>
                </w:p>
              </w:tc>
              <w:tc>
                <w:tcPr>
                  <w:tcW w:w="3472" w:type="dxa"/>
                  <w:vAlign w:val="center"/>
                </w:tcPr>
                <w:p>
                  <w:pPr>
                    <w:snapToGrid w:val="0"/>
                    <w:outlineLvl w:val="3"/>
                    <w:rPr>
                      <w:szCs w:val="21"/>
                    </w:rPr>
                  </w:pPr>
                  <w:r>
                    <w:rPr>
                      <w:rFonts w:hint="eastAsia"/>
                      <w:szCs w:val="21"/>
                    </w:rPr>
                    <w:t>①在</w:t>
                  </w:r>
                  <w:r>
                    <w:rPr>
                      <w:szCs w:val="21"/>
                    </w:rPr>
                    <w:t>发生火灾的情况下不完全燃烧会产生CO等危害大气环境</w:t>
                  </w:r>
                  <w:r>
                    <w:rPr>
                      <w:rFonts w:hint="eastAsia"/>
                      <w:szCs w:val="21"/>
                    </w:rPr>
                    <w:t>；</w:t>
                  </w:r>
                </w:p>
                <w:p>
                  <w:pPr>
                    <w:snapToGrid w:val="0"/>
                    <w:outlineLvl w:val="3"/>
                    <w:rPr>
                      <w:szCs w:val="21"/>
                    </w:rPr>
                  </w:pPr>
                  <w:r>
                    <w:rPr>
                      <w:rFonts w:hint="eastAsia"/>
                      <w:szCs w:val="21"/>
                    </w:rPr>
                    <w:t>②物料泄露等进入</w:t>
                  </w:r>
                  <w:r>
                    <w:rPr>
                      <w:szCs w:val="21"/>
                    </w:rPr>
                    <w:t>地表水、土壤、地下</w:t>
                  </w:r>
                  <w:r>
                    <w:rPr>
                      <w:rFonts w:hint="eastAsia"/>
                      <w:szCs w:val="21"/>
                    </w:rPr>
                    <w:t>水</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520" w:type="dxa"/>
                  <w:vAlign w:val="center"/>
                </w:tcPr>
                <w:p>
                  <w:pPr>
                    <w:widowControl/>
                    <w:jc w:val="center"/>
                    <w:rPr>
                      <w:kern w:val="0"/>
                      <w:szCs w:val="21"/>
                    </w:rPr>
                  </w:pPr>
                  <w:r>
                    <w:rPr>
                      <w:rFonts w:hint="eastAsia"/>
                      <w:kern w:val="0"/>
                      <w:szCs w:val="21"/>
                    </w:rPr>
                    <w:t>3</w:t>
                  </w:r>
                </w:p>
              </w:tc>
              <w:tc>
                <w:tcPr>
                  <w:tcW w:w="1725" w:type="dxa"/>
                  <w:vAlign w:val="center"/>
                </w:tcPr>
                <w:p>
                  <w:pPr>
                    <w:snapToGrid w:val="0"/>
                    <w:jc w:val="center"/>
                    <w:outlineLvl w:val="3"/>
                    <w:rPr>
                      <w:rFonts w:hint="eastAsia"/>
                      <w:szCs w:val="21"/>
                    </w:rPr>
                  </w:pPr>
                  <w:r>
                    <w:rPr>
                      <w:rFonts w:hint="eastAsia"/>
                      <w:szCs w:val="21"/>
                      <w:lang w:eastAsia="zh-CN"/>
                    </w:rPr>
                    <w:t>废切削液、废润滑油</w:t>
                  </w:r>
                </w:p>
              </w:tc>
              <w:tc>
                <w:tcPr>
                  <w:tcW w:w="1410" w:type="dxa"/>
                  <w:vAlign w:val="center"/>
                </w:tcPr>
                <w:p>
                  <w:pPr>
                    <w:snapToGrid w:val="0"/>
                    <w:jc w:val="center"/>
                    <w:outlineLvl w:val="3"/>
                    <w:rPr>
                      <w:szCs w:val="21"/>
                    </w:rPr>
                  </w:pPr>
                  <w:r>
                    <w:rPr>
                      <w:rFonts w:hint="eastAsia"/>
                      <w:szCs w:val="21"/>
                    </w:rPr>
                    <w:t>危废仓库</w:t>
                  </w:r>
                </w:p>
              </w:tc>
              <w:tc>
                <w:tcPr>
                  <w:tcW w:w="1185" w:type="dxa"/>
                  <w:vAlign w:val="center"/>
                </w:tcPr>
                <w:p>
                  <w:pPr>
                    <w:snapToGrid w:val="0"/>
                    <w:jc w:val="center"/>
                    <w:outlineLvl w:val="3"/>
                    <w:rPr>
                      <w:szCs w:val="21"/>
                    </w:rPr>
                  </w:pPr>
                  <w:r>
                    <w:rPr>
                      <w:szCs w:val="21"/>
                    </w:rPr>
                    <w:t>火灾、物料泄漏</w:t>
                  </w:r>
                </w:p>
              </w:tc>
              <w:tc>
                <w:tcPr>
                  <w:tcW w:w="3472" w:type="dxa"/>
                  <w:vAlign w:val="center"/>
                </w:tcPr>
                <w:p>
                  <w:pPr>
                    <w:snapToGrid w:val="0"/>
                    <w:outlineLvl w:val="3"/>
                    <w:rPr>
                      <w:szCs w:val="21"/>
                    </w:rPr>
                  </w:pPr>
                  <w:r>
                    <w:rPr>
                      <w:rFonts w:hint="eastAsia"/>
                      <w:szCs w:val="21"/>
                    </w:rPr>
                    <w:t>①</w:t>
                  </w:r>
                  <w:r>
                    <w:rPr>
                      <w:szCs w:val="21"/>
                    </w:rPr>
                    <w:t>发生火灾的情况下不完全燃烧会产生CO等危害大气环境</w:t>
                  </w:r>
                  <w:r>
                    <w:rPr>
                      <w:rFonts w:hint="eastAsia"/>
                      <w:szCs w:val="21"/>
                    </w:rPr>
                    <w:t>；</w:t>
                  </w:r>
                </w:p>
                <w:p>
                  <w:pPr>
                    <w:snapToGrid w:val="0"/>
                    <w:outlineLvl w:val="3"/>
                    <w:rPr>
                      <w:szCs w:val="21"/>
                    </w:rPr>
                  </w:pPr>
                  <w:r>
                    <w:rPr>
                      <w:rFonts w:hint="eastAsia"/>
                      <w:szCs w:val="21"/>
                    </w:rPr>
                    <w:t>②物料泄露等进入</w:t>
                  </w:r>
                  <w:r>
                    <w:rPr>
                      <w:szCs w:val="21"/>
                    </w:rPr>
                    <w:t>地表水、土壤、地下</w:t>
                  </w:r>
                  <w:r>
                    <w:rPr>
                      <w:rFonts w:hint="eastAsia"/>
                      <w:szCs w:val="21"/>
                    </w:rPr>
                    <w:t>水</w:t>
                  </w:r>
                </w:p>
              </w:tc>
            </w:tr>
          </w:tbl>
          <w:p>
            <w:pPr>
              <w:snapToGrid w:val="0"/>
              <w:spacing w:line="360" w:lineRule="auto"/>
              <w:ind w:left="63" w:leftChars="30" w:right="63" w:rightChars="30" w:firstLine="480" w:firstLineChars="200"/>
              <w:rPr>
                <w:b/>
                <w:sz w:val="24"/>
              </w:rPr>
            </w:pPr>
            <w:r>
              <w:rPr>
                <w:rFonts w:hint="eastAsia"/>
                <w:b/>
                <w:sz w:val="24"/>
                <w:lang w:val="en-US" w:eastAsia="zh-CN"/>
              </w:rPr>
              <w:t>7</w:t>
            </w:r>
            <w:r>
              <w:rPr>
                <w:b/>
                <w:sz w:val="24"/>
              </w:rPr>
              <w:t xml:space="preserve">.4 </w:t>
            </w:r>
            <w:r>
              <w:rPr>
                <w:rFonts w:hint="eastAsia"/>
                <w:b/>
                <w:sz w:val="24"/>
              </w:rPr>
              <w:t>环境风险分析</w:t>
            </w:r>
          </w:p>
          <w:p>
            <w:pPr>
              <w:pStyle w:val="5"/>
              <w:adjustRightInd w:val="0"/>
              <w:snapToGrid w:val="0"/>
              <w:spacing w:line="360" w:lineRule="auto"/>
              <w:ind w:left="63" w:leftChars="30" w:right="63" w:rightChars="30" w:firstLine="482"/>
              <w:rPr>
                <w:b/>
                <w:bCs/>
                <w:sz w:val="24"/>
                <w:szCs w:val="24"/>
              </w:rPr>
            </w:pPr>
            <w:r>
              <w:rPr>
                <w:rFonts w:hint="eastAsia"/>
                <w:b/>
                <w:bCs/>
                <w:sz w:val="24"/>
                <w:szCs w:val="24"/>
              </w:rPr>
              <w:t>（1）大气环境：</w:t>
            </w:r>
          </w:p>
          <w:p>
            <w:pPr>
              <w:snapToGrid w:val="0"/>
              <w:spacing w:line="360" w:lineRule="auto"/>
              <w:ind w:firstLine="480" w:firstLineChars="200"/>
              <w:rPr>
                <w:bCs/>
                <w:sz w:val="24"/>
                <w:szCs w:val="24"/>
              </w:rPr>
            </w:pPr>
            <w:r>
              <w:rPr>
                <w:rFonts w:hint="eastAsia"/>
                <w:bCs/>
                <w:sz w:val="24"/>
                <w:szCs w:val="24"/>
              </w:rPr>
              <w:t>①</w:t>
            </w:r>
            <w:r>
              <w:rPr>
                <w:rFonts w:hint="eastAsia"/>
                <w:sz w:val="24"/>
                <w:szCs w:val="24"/>
              </w:rPr>
              <w:t>切削液、润滑油及危险废物废切削液、废润滑油</w:t>
            </w:r>
            <w:r>
              <w:rPr>
                <w:rFonts w:hint="eastAsia"/>
                <w:bCs/>
                <w:sz w:val="24"/>
                <w:szCs w:val="24"/>
              </w:rPr>
              <w:t>在发生火灾的情况下不完全燃烧会产生CO等危害大气环境。</w:t>
            </w:r>
          </w:p>
          <w:p>
            <w:pPr>
              <w:snapToGrid w:val="0"/>
              <w:spacing w:line="360" w:lineRule="auto"/>
              <w:ind w:firstLine="480" w:firstLineChars="200"/>
              <w:rPr>
                <w:bCs/>
                <w:sz w:val="24"/>
                <w:szCs w:val="24"/>
              </w:rPr>
            </w:pPr>
            <w:r>
              <w:rPr>
                <w:rFonts w:hint="eastAsia" w:ascii="宋体" w:hAnsi="宋体"/>
                <w:bCs/>
                <w:sz w:val="24"/>
                <w:szCs w:val="24"/>
              </w:rPr>
              <w:t>②</w:t>
            </w:r>
            <w:r>
              <w:rPr>
                <w:rFonts w:hint="eastAsia"/>
                <w:bCs/>
                <w:sz w:val="24"/>
                <w:szCs w:val="24"/>
              </w:rPr>
              <w:t>废气处理装置发生故障时（以废气处理装置完全失效，废气处理效率为0计）导致废气未经处理直接排向大气环境，废气</w:t>
            </w:r>
            <w:r>
              <w:rPr>
                <w:rFonts w:hint="eastAsia"/>
                <w:bCs/>
                <w:sz w:val="24"/>
                <w:szCs w:val="24"/>
                <w:lang w:eastAsia="zh-CN"/>
              </w:rPr>
              <w:t>虽达标排放</w:t>
            </w:r>
            <w:r>
              <w:rPr>
                <w:rFonts w:hint="eastAsia"/>
                <w:bCs/>
                <w:sz w:val="24"/>
                <w:szCs w:val="24"/>
              </w:rPr>
              <w:t>，</w:t>
            </w:r>
            <w:r>
              <w:rPr>
                <w:rFonts w:hint="eastAsia"/>
                <w:bCs/>
                <w:sz w:val="24"/>
                <w:szCs w:val="24"/>
                <w:lang w:eastAsia="zh-CN"/>
              </w:rPr>
              <w:t>但</w:t>
            </w:r>
            <w:r>
              <w:rPr>
                <w:rFonts w:hint="eastAsia"/>
                <w:bCs/>
                <w:sz w:val="24"/>
                <w:szCs w:val="24"/>
              </w:rPr>
              <w:t>加大对大气环境的影响。</w:t>
            </w:r>
          </w:p>
          <w:p>
            <w:pPr>
              <w:snapToGrid w:val="0"/>
              <w:spacing w:line="360" w:lineRule="auto"/>
              <w:ind w:firstLine="480" w:firstLineChars="200"/>
              <w:rPr>
                <w:b/>
                <w:bCs/>
                <w:sz w:val="24"/>
                <w:szCs w:val="24"/>
              </w:rPr>
            </w:pPr>
            <w:r>
              <w:rPr>
                <w:rFonts w:hint="eastAsia"/>
                <w:b/>
                <w:bCs/>
                <w:sz w:val="24"/>
                <w:szCs w:val="24"/>
              </w:rPr>
              <w:t>（2）地表水环境：</w:t>
            </w:r>
          </w:p>
          <w:p>
            <w:pPr>
              <w:snapToGrid w:val="0"/>
              <w:spacing w:line="360" w:lineRule="auto"/>
              <w:ind w:firstLine="480" w:firstLineChars="200"/>
              <w:rPr>
                <w:bCs/>
                <w:sz w:val="24"/>
                <w:szCs w:val="24"/>
              </w:rPr>
            </w:pPr>
            <w:r>
              <w:rPr>
                <w:rFonts w:hint="eastAsia"/>
                <w:bCs/>
                <w:sz w:val="24"/>
                <w:szCs w:val="24"/>
              </w:rPr>
              <w:t>本项目园区</w:t>
            </w:r>
            <w:r>
              <w:rPr>
                <w:bCs/>
                <w:sz w:val="24"/>
                <w:szCs w:val="24"/>
              </w:rPr>
              <w:t>雨污分流，雨水直接排入市政雨水管网，</w:t>
            </w:r>
            <w:r>
              <w:rPr>
                <w:rFonts w:hint="eastAsia"/>
                <w:bCs/>
                <w:sz w:val="24"/>
                <w:szCs w:val="24"/>
              </w:rPr>
              <w:t>生活污水经化粪池收集预处理后通过园区总排口接管至金坛区第二污水处理厂</w:t>
            </w:r>
            <w:r>
              <w:rPr>
                <w:bCs/>
                <w:sz w:val="24"/>
                <w:szCs w:val="24"/>
              </w:rPr>
              <w:t>。事故</w:t>
            </w:r>
            <w:r>
              <w:rPr>
                <w:rFonts w:hint="eastAsia"/>
                <w:bCs/>
                <w:sz w:val="24"/>
                <w:szCs w:val="24"/>
              </w:rPr>
              <w:t>状态下</w:t>
            </w:r>
            <w:r>
              <w:rPr>
                <w:bCs/>
                <w:sz w:val="24"/>
                <w:szCs w:val="24"/>
              </w:rPr>
              <w:t>，</w:t>
            </w:r>
            <w:r>
              <w:rPr>
                <w:rFonts w:hint="eastAsia"/>
                <w:bCs/>
                <w:sz w:val="24"/>
                <w:szCs w:val="24"/>
              </w:rPr>
              <w:t>生活污水、</w:t>
            </w:r>
            <w:r>
              <w:rPr>
                <w:bCs/>
                <w:sz w:val="24"/>
                <w:szCs w:val="24"/>
              </w:rPr>
              <w:t>消防水</w:t>
            </w:r>
            <w:r>
              <w:rPr>
                <w:rFonts w:hint="eastAsia"/>
                <w:bCs/>
                <w:sz w:val="24"/>
                <w:szCs w:val="24"/>
              </w:rPr>
              <w:t>可能会直接进入地表水环境，污染地表水</w:t>
            </w:r>
            <w:r>
              <w:rPr>
                <w:bCs/>
                <w:sz w:val="24"/>
                <w:szCs w:val="24"/>
              </w:rPr>
              <w:t>。</w:t>
            </w:r>
          </w:p>
          <w:p>
            <w:pPr>
              <w:pStyle w:val="21"/>
              <w:spacing w:after="0" w:line="360" w:lineRule="auto"/>
              <w:ind w:firstLine="480" w:firstLineChars="200"/>
              <w:rPr>
                <w:b/>
                <w:sz w:val="24"/>
                <w:szCs w:val="24"/>
              </w:rPr>
            </w:pPr>
            <w:r>
              <w:rPr>
                <w:rFonts w:hint="eastAsia"/>
                <w:b/>
                <w:sz w:val="24"/>
                <w:szCs w:val="24"/>
              </w:rPr>
              <w:t>（3）地下水环境：</w:t>
            </w:r>
          </w:p>
          <w:p>
            <w:pPr>
              <w:pStyle w:val="21"/>
              <w:spacing w:after="0" w:line="360" w:lineRule="auto"/>
              <w:ind w:firstLine="480" w:firstLineChars="200"/>
              <w:rPr>
                <w:sz w:val="24"/>
                <w:szCs w:val="24"/>
              </w:rPr>
            </w:pPr>
            <w:r>
              <w:rPr>
                <w:rFonts w:hint="eastAsia" w:ascii="宋体" w:hAnsi="宋体"/>
                <w:bCs/>
                <w:sz w:val="24"/>
                <w:szCs w:val="24"/>
              </w:rPr>
              <w:t>①</w:t>
            </w:r>
            <w:r>
              <w:rPr>
                <w:bCs/>
                <w:sz w:val="24"/>
                <w:szCs w:val="24"/>
              </w:rPr>
              <w:t>事故</w:t>
            </w:r>
            <w:r>
              <w:rPr>
                <w:rFonts w:hint="eastAsia"/>
                <w:bCs/>
                <w:sz w:val="24"/>
                <w:szCs w:val="24"/>
              </w:rPr>
              <w:t>状态下</w:t>
            </w:r>
            <w:r>
              <w:rPr>
                <w:bCs/>
                <w:sz w:val="24"/>
                <w:szCs w:val="24"/>
              </w:rPr>
              <w:t>，</w:t>
            </w:r>
            <w:r>
              <w:rPr>
                <w:rFonts w:hint="eastAsia"/>
                <w:bCs/>
                <w:sz w:val="24"/>
                <w:szCs w:val="24"/>
              </w:rPr>
              <w:t>生活污水、</w:t>
            </w:r>
            <w:r>
              <w:rPr>
                <w:bCs/>
                <w:sz w:val="24"/>
                <w:szCs w:val="24"/>
              </w:rPr>
              <w:t>消防水</w:t>
            </w:r>
            <w:r>
              <w:rPr>
                <w:rFonts w:hint="eastAsia"/>
                <w:bCs/>
                <w:sz w:val="24"/>
                <w:szCs w:val="24"/>
              </w:rPr>
              <w:t>可能会直接进入地下水环境，污染地下水</w:t>
            </w:r>
            <w:r>
              <w:rPr>
                <w:bCs/>
                <w:sz w:val="24"/>
                <w:szCs w:val="24"/>
              </w:rPr>
              <w:t>。</w:t>
            </w:r>
          </w:p>
          <w:p>
            <w:pPr>
              <w:pStyle w:val="21"/>
              <w:spacing w:after="0" w:line="360" w:lineRule="auto"/>
              <w:ind w:firstLine="480" w:firstLineChars="200"/>
              <w:rPr>
                <w:sz w:val="24"/>
                <w:szCs w:val="24"/>
              </w:rPr>
            </w:pPr>
            <w:r>
              <w:rPr>
                <w:rFonts w:hint="eastAsia" w:ascii="宋体" w:hAnsi="宋体"/>
                <w:sz w:val="24"/>
                <w:szCs w:val="24"/>
              </w:rPr>
              <w:t>②</w:t>
            </w:r>
            <w:r>
              <w:rPr>
                <w:bCs/>
                <w:sz w:val="24"/>
                <w:szCs w:val="24"/>
              </w:rPr>
              <w:t>事故</w:t>
            </w:r>
            <w:r>
              <w:rPr>
                <w:rFonts w:hint="eastAsia"/>
                <w:bCs/>
                <w:sz w:val="24"/>
                <w:szCs w:val="24"/>
              </w:rPr>
              <w:t>状态下</w:t>
            </w:r>
            <w:r>
              <w:rPr>
                <w:bCs/>
                <w:sz w:val="24"/>
                <w:szCs w:val="24"/>
              </w:rPr>
              <w:t>，</w:t>
            </w:r>
            <w:r>
              <w:rPr>
                <w:rFonts w:hint="eastAsia"/>
                <w:bCs/>
                <w:sz w:val="24"/>
                <w:szCs w:val="24"/>
                <w:lang w:eastAsia="zh-CN"/>
              </w:rPr>
              <w:t>切削液、润滑油及危险废物废切削液、废润滑油</w:t>
            </w:r>
            <w:r>
              <w:rPr>
                <w:rFonts w:hint="eastAsia"/>
                <w:bCs/>
                <w:sz w:val="24"/>
                <w:szCs w:val="24"/>
              </w:rPr>
              <w:t>泄露可能会影响地下水环境。</w:t>
            </w:r>
          </w:p>
          <w:p>
            <w:pPr>
              <w:pStyle w:val="21"/>
              <w:spacing w:after="0" w:line="360" w:lineRule="auto"/>
              <w:ind w:firstLine="480" w:firstLineChars="200"/>
              <w:rPr>
                <w:b/>
                <w:sz w:val="24"/>
                <w:szCs w:val="24"/>
              </w:rPr>
            </w:pPr>
            <w:r>
              <w:rPr>
                <w:rFonts w:hint="eastAsia"/>
                <w:b/>
                <w:sz w:val="24"/>
                <w:szCs w:val="24"/>
              </w:rPr>
              <w:t>（4）土壤环境</w:t>
            </w:r>
          </w:p>
          <w:p>
            <w:pPr>
              <w:pStyle w:val="21"/>
              <w:spacing w:after="0" w:line="360" w:lineRule="auto"/>
              <w:ind w:firstLine="480" w:firstLineChars="200"/>
              <w:rPr>
                <w:bCs/>
                <w:sz w:val="24"/>
                <w:szCs w:val="24"/>
              </w:rPr>
            </w:pPr>
            <w:r>
              <w:rPr>
                <w:rFonts w:hint="eastAsia"/>
                <w:bCs/>
                <w:sz w:val="24"/>
                <w:szCs w:val="24"/>
              </w:rPr>
              <w:t>①</w:t>
            </w:r>
            <w:r>
              <w:rPr>
                <w:bCs/>
                <w:sz w:val="24"/>
                <w:szCs w:val="24"/>
              </w:rPr>
              <w:t>事故</w:t>
            </w:r>
            <w:r>
              <w:rPr>
                <w:rFonts w:hint="eastAsia"/>
                <w:bCs/>
                <w:sz w:val="24"/>
                <w:szCs w:val="24"/>
              </w:rPr>
              <w:t>状态下</w:t>
            </w:r>
            <w:r>
              <w:rPr>
                <w:bCs/>
                <w:sz w:val="24"/>
                <w:szCs w:val="24"/>
              </w:rPr>
              <w:t>，</w:t>
            </w:r>
            <w:r>
              <w:rPr>
                <w:rFonts w:hint="eastAsia"/>
                <w:bCs/>
                <w:sz w:val="24"/>
                <w:szCs w:val="24"/>
              </w:rPr>
              <w:t>生活污水、</w:t>
            </w:r>
            <w:r>
              <w:rPr>
                <w:bCs/>
                <w:sz w:val="24"/>
                <w:szCs w:val="24"/>
              </w:rPr>
              <w:t>消防水</w:t>
            </w:r>
            <w:r>
              <w:rPr>
                <w:rFonts w:hint="eastAsia"/>
                <w:bCs/>
                <w:sz w:val="24"/>
                <w:szCs w:val="24"/>
              </w:rPr>
              <w:t>可能会直接进入地下水环境，污染土壤环境</w:t>
            </w:r>
            <w:r>
              <w:rPr>
                <w:bCs/>
                <w:sz w:val="24"/>
                <w:szCs w:val="24"/>
              </w:rPr>
              <w:t>。</w:t>
            </w:r>
          </w:p>
          <w:p>
            <w:pPr>
              <w:pStyle w:val="21"/>
              <w:spacing w:after="0" w:line="360" w:lineRule="auto"/>
              <w:ind w:firstLine="480" w:firstLineChars="200"/>
              <w:rPr>
                <w:bCs/>
                <w:sz w:val="24"/>
                <w:szCs w:val="24"/>
              </w:rPr>
            </w:pPr>
            <w:r>
              <w:rPr>
                <w:rFonts w:hint="eastAsia"/>
                <w:bCs/>
                <w:sz w:val="24"/>
                <w:szCs w:val="24"/>
              </w:rPr>
              <w:t>②</w:t>
            </w:r>
            <w:r>
              <w:rPr>
                <w:bCs/>
                <w:sz w:val="24"/>
                <w:szCs w:val="24"/>
              </w:rPr>
              <w:t>事故</w:t>
            </w:r>
            <w:r>
              <w:rPr>
                <w:rFonts w:hint="eastAsia"/>
                <w:bCs/>
                <w:sz w:val="24"/>
                <w:szCs w:val="24"/>
              </w:rPr>
              <w:t>状态下</w:t>
            </w:r>
            <w:r>
              <w:rPr>
                <w:bCs/>
                <w:sz w:val="24"/>
                <w:szCs w:val="24"/>
              </w:rPr>
              <w:t>，</w:t>
            </w:r>
            <w:r>
              <w:rPr>
                <w:rFonts w:hint="eastAsia"/>
                <w:bCs/>
                <w:sz w:val="24"/>
                <w:szCs w:val="24"/>
                <w:lang w:eastAsia="zh-CN"/>
              </w:rPr>
              <w:t>切削液、润滑油及危险废物废切削液、废润滑油</w:t>
            </w:r>
            <w:r>
              <w:rPr>
                <w:rFonts w:hint="eastAsia"/>
                <w:bCs/>
                <w:sz w:val="24"/>
                <w:szCs w:val="24"/>
              </w:rPr>
              <w:t>泄露可能会影响土壤环境。</w:t>
            </w:r>
          </w:p>
          <w:p>
            <w:pPr>
              <w:pStyle w:val="21"/>
              <w:spacing w:after="0" w:line="360" w:lineRule="auto"/>
              <w:ind w:firstLine="480" w:firstLineChars="200"/>
              <w:rPr>
                <w:bCs/>
                <w:color w:val="auto"/>
                <w:sz w:val="24"/>
                <w:szCs w:val="24"/>
              </w:rPr>
            </w:pPr>
            <w:r>
              <w:rPr>
                <w:rFonts w:hint="eastAsia"/>
                <w:b/>
                <w:color w:val="auto"/>
                <w:sz w:val="24"/>
              </w:rPr>
              <w:t>（5）环境风险防范措施及应急要求</w:t>
            </w:r>
          </w:p>
          <w:p>
            <w:pPr>
              <w:pStyle w:val="21"/>
              <w:spacing w:after="0" w:line="360" w:lineRule="auto"/>
              <w:ind w:firstLine="480" w:firstLineChars="200"/>
              <w:rPr>
                <w:bCs/>
                <w:sz w:val="24"/>
                <w:szCs w:val="24"/>
              </w:rPr>
            </w:pPr>
            <w:r>
              <w:rPr>
                <w:rFonts w:hint="eastAsia" w:ascii="宋体" w:hAnsi="宋体" w:cs="宋体"/>
                <w:b/>
                <w:bCs/>
                <w:sz w:val="24"/>
                <w:szCs w:val="24"/>
              </w:rPr>
              <w:t>①</w:t>
            </w:r>
            <w:r>
              <w:rPr>
                <w:b/>
                <w:sz w:val="24"/>
              </w:rPr>
              <w:t>泄漏事故</w:t>
            </w:r>
            <w:r>
              <w:rPr>
                <w:rFonts w:hint="eastAsia"/>
                <w:b/>
                <w:sz w:val="24"/>
              </w:rPr>
              <w:t>风险防范措施</w:t>
            </w:r>
          </w:p>
          <w:p>
            <w:pPr>
              <w:pStyle w:val="21"/>
              <w:spacing w:after="0" w:line="360" w:lineRule="auto"/>
              <w:ind w:firstLine="480" w:firstLineChars="200"/>
              <w:rPr>
                <w:bCs/>
                <w:sz w:val="24"/>
                <w:szCs w:val="24"/>
              </w:rPr>
            </w:pPr>
            <w:r>
              <w:rPr>
                <w:bCs/>
                <w:sz w:val="24"/>
                <w:szCs w:val="24"/>
              </w:rPr>
              <w:t>泄漏事故的预防是物料储运中最重要的环节，</w:t>
            </w:r>
            <w:r>
              <w:rPr>
                <w:rFonts w:hint="eastAsia"/>
                <w:bCs/>
                <w:sz w:val="24"/>
                <w:szCs w:val="24"/>
              </w:rPr>
              <w:t>本项目切削液、润滑油以及危险废物废切削液、废润滑油具有可燃性，运输过程中要确保容器不泄漏、不倒塌、不坠落、不损坏、防潮防雨。如发现包装容器发生锈蚀、破裂、孔洞、溶化淌水等现象时，应立即更换包装或及早发货使用，容器破损可用锡焊修补。严禁与易燃物或可燃物、酸类、食用化学品等混装混运。运输时运输车辆应配备泄漏应急处理设备。不得与易燃物和酸类共贮混运。失火时，可用水、砂土和各种灭火器扑救。</w:t>
            </w:r>
          </w:p>
          <w:p>
            <w:pPr>
              <w:pStyle w:val="21"/>
              <w:spacing w:after="0" w:line="360" w:lineRule="auto"/>
              <w:ind w:firstLine="480" w:firstLineChars="200"/>
              <w:rPr>
                <w:b/>
                <w:sz w:val="24"/>
              </w:rPr>
            </w:pPr>
            <w:r>
              <w:rPr>
                <w:rFonts w:hint="eastAsia" w:ascii="宋体" w:hAnsi="宋体" w:cs="宋体"/>
                <w:b/>
                <w:bCs/>
                <w:sz w:val="24"/>
                <w:szCs w:val="24"/>
              </w:rPr>
              <w:t>②</w:t>
            </w:r>
            <w:r>
              <w:rPr>
                <w:b/>
                <w:sz w:val="24"/>
              </w:rPr>
              <w:t>废气处理装置</w:t>
            </w:r>
            <w:r>
              <w:rPr>
                <w:rFonts w:hint="eastAsia"/>
                <w:b/>
                <w:sz w:val="24"/>
              </w:rPr>
              <w:t>设备</w:t>
            </w:r>
            <w:r>
              <w:rPr>
                <w:b/>
                <w:sz w:val="24"/>
              </w:rPr>
              <w:t>事故</w:t>
            </w:r>
            <w:r>
              <w:rPr>
                <w:rFonts w:hint="eastAsia"/>
                <w:b/>
                <w:sz w:val="24"/>
              </w:rPr>
              <w:t>风险防范措施</w:t>
            </w:r>
          </w:p>
          <w:p>
            <w:pPr>
              <w:pStyle w:val="21"/>
              <w:spacing w:after="0" w:line="360" w:lineRule="auto"/>
              <w:ind w:firstLine="480" w:firstLineChars="200"/>
              <w:rPr>
                <w:sz w:val="24"/>
              </w:rPr>
            </w:pPr>
            <w:r>
              <w:rPr>
                <w:sz w:val="24"/>
              </w:rPr>
              <w:t>为减少事故的发生和影响建设单位应采取以下措施。</w:t>
            </w:r>
          </w:p>
          <w:p>
            <w:pPr>
              <w:pStyle w:val="21"/>
              <w:spacing w:after="0" w:line="360" w:lineRule="auto"/>
              <w:ind w:firstLine="480" w:firstLineChars="200"/>
              <w:rPr>
                <w:sz w:val="24"/>
                <w:szCs w:val="24"/>
              </w:rPr>
            </w:pPr>
            <w:r>
              <w:rPr>
                <w:rFonts w:hint="eastAsia"/>
                <w:sz w:val="24"/>
                <w:szCs w:val="24"/>
              </w:rPr>
              <w:t>a</w:t>
            </w:r>
            <w:r>
              <w:rPr>
                <w:sz w:val="24"/>
                <w:szCs w:val="24"/>
              </w:rPr>
              <w:t>建立严格的操作规程，实行目标责任制，保证环境保护设施</w:t>
            </w:r>
            <w:r>
              <w:rPr>
                <w:rFonts w:hint="eastAsia"/>
                <w:sz w:val="24"/>
                <w:szCs w:val="24"/>
              </w:rPr>
              <w:t>和设备</w:t>
            </w:r>
            <w:r>
              <w:rPr>
                <w:sz w:val="24"/>
                <w:szCs w:val="24"/>
              </w:rPr>
              <w:t>的正常运行。</w:t>
            </w:r>
          </w:p>
          <w:p>
            <w:pPr>
              <w:widowControl/>
              <w:adjustRightInd w:val="0"/>
              <w:snapToGrid w:val="0"/>
              <w:spacing w:line="360" w:lineRule="auto"/>
              <w:ind w:firstLine="480" w:firstLineChars="200"/>
              <w:rPr>
                <w:sz w:val="24"/>
                <w:szCs w:val="24"/>
              </w:rPr>
            </w:pPr>
            <w:r>
              <w:rPr>
                <w:rFonts w:hint="eastAsia"/>
                <w:sz w:val="24"/>
                <w:szCs w:val="24"/>
              </w:rPr>
              <w:t>b</w:t>
            </w:r>
            <w:r>
              <w:rPr>
                <w:sz w:val="24"/>
                <w:szCs w:val="24"/>
              </w:rPr>
              <w:t>应严格按工艺规程进行操作，特别在易发生事故工序，同时，操作人员应穿戴好劳动防护用品。</w:t>
            </w:r>
          </w:p>
          <w:p>
            <w:pPr>
              <w:widowControl/>
              <w:adjustRightInd w:val="0"/>
              <w:snapToGrid w:val="0"/>
              <w:spacing w:line="360" w:lineRule="auto"/>
              <w:ind w:firstLine="480" w:firstLineChars="200"/>
              <w:rPr>
                <w:sz w:val="24"/>
                <w:szCs w:val="24"/>
              </w:rPr>
            </w:pPr>
            <w:r>
              <w:rPr>
                <w:rFonts w:hint="eastAsia"/>
                <w:sz w:val="24"/>
                <w:szCs w:val="24"/>
              </w:rPr>
              <w:t>c</w:t>
            </w:r>
            <w:r>
              <w:rPr>
                <w:sz w:val="24"/>
                <w:szCs w:val="24"/>
              </w:rPr>
              <w:t>对废气处理系统进行定期的监测和检修，如发生设备运行不稳定的情况，需对设备进行更换和修理，确保废气处理装置的正常运行。</w:t>
            </w:r>
          </w:p>
          <w:p>
            <w:pPr>
              <w:widowControl/>
              <w:adjustRightInd w:val="0"/>
              <w:snapToGrid w:val="0"/>
              <w:spacing w:line="360" w:lineRule="auto"/>
              <w:ind w:firstLine="480" w:firstLineChars="200"/>
              <w:rPr>
                <w:sz w:val="24"/>
                <w:szCs w:val="24"/>
              </w:rPr>
            </w:pPr>
            <w:r>
              <w:rPr>
                <w:rFonts w:hint="eastAsia"/>
                <w:sz w:val="24"/>
                <w:szCs w:val="24"/>
              </w:rPr>
              <w:t>d</w:t>
            </w:r>
            <w:r>
              <w:rPr>
                <w:sz w:val="24"/>
                <w:szCs w:val="24"/>
              </w:rPr>
              <w:t>废气处理装置一旦出现故障，应立即关闭生产设备，避免废气未经处理进入大气环境。</w:t>
            </w:r>
          </w:p>
          <w:p>
            <w:pPr>
              <w:widowControl/>
              <w:adjustRightInd w:val="0"/>
              <w:snapToGrid w:val="0"/>
              <w:spacing w:line="360" w:lineRule="auto"/>
              <w:ind w:firstLine="480" w:firstLineChars="200"/>
              <w:rPr>
                <w:sz w:val="24"/>
                <w:szCs w:val="24"/>
              </w:rPr>
            </w:pPr>
            <w:r>
              <w:rPr>
                <w:rFonts w:hint="eastAsia"/>
                <w:sz w:val="24"/>
                <w:szCs w:val="24"/>
              </w:rPr>
              <w:t>e</w:t>
            </w:r>
            <w:r>
              <w:rPr>
                <w:sz w:val="24"/>
                <w:szCs w:val="24"/>
              </w:rPr>
              <w:t>加强对职工的安全教育，制定严格的工作守则和个人卫生措施，以保证生产的正常运行和员工的身体健康。</w:t>
            </w:r>
          </w:p>
          <w:p>
            <w:pPr>
              <w:widowControl/>
              <w:adjustRightInd w:val="0"/>
              <w:snapToGrid w:val="0"/>
              <w:spacing w:line="360" w:lineRule="auto"/>
              <w:ind w:firstLine="480" w:firstLineChars="200"/>
              <w:rPr>
                <w:sz w:val="24"/>
                <w:szCs w:val="24"/>
              </w:rPr>
            </w:pPr>
            <w:r>
              <w:rPr>
                <w:rFonts w:hint="eastAsia"/>
                <w:sz w:val="24"/>
                <w:szCs w:val="24"/>
              </w:rPr>
              <w:t>h</w:t>
            </w:r>
            <w:r>
              <w:rPr>
                <w:sz w:val="24"/>
                <w:szCs w:val="24"/>
              </w:rPr>
              <w:t>事故发生时的行动计划应当制定一个当事故发生时的必须采取哪些行动的计划。这种行动计划应该得到地方紧急事故服务部门（例如消防、救护、交通以及公安等有关负责部门）的同意，并向他们提供有关有毒有害物质危害的资料，还需定期进行演习以检查行动计划的效果。</w:t>
            </w:r>
          </w:p>
          <w:p>
            <w:pPr>
              <w:widowControl/>
              <w:adjustRightInd w:val="0"/>
              <w:snapToGrid w:val="0"/>
              <w:spacing w:line="360" w:lineRule="auto"/>
              <w:ind w:firstLine="480" w:firstLineChars="200"/>
              <w:rPr>
                <w:b/>
                <w:sz w:val="24"/>
                <w:szCs w:val="24"/>
              </w:rPr>
            </w:pPr>
            <w:r>
              <w:rPr>
                <w:rFonts w:hint="eastAsia" w:ascii="宋体" w:hAnsi="宋体" w:cs="宋体"/>
                <w:b/>
                <w:bCs/>
                <w:sz w:val="24"/>
                <w:szCs w:val="24"/>
              </w:rPr>
              <w:t>③</w:t>
            </w:r>
            <w:r>
              <w:rPr>
                <w:rFonts w:hint="eastAsia"/>
                <w:b/>
                <w:sz w:val="24"/>
                <w:szCs w:val="24"/>
              </w:rPr>
              <w:t>火灾爆炸事故</w:t>
            </w:r>
            <w:r>
              <w:rPr>
                <w:rFonts w:hint="eastAsia"/>
                <w:b/>
                <w:sz w:val="24"/>
              </w:rPr>
              <w:t>风险防范措施</w:t>
            </w:r>
          </w:p>
          <w:p>
            <w:pPr>
              <w:widowControl/>
              <w:adjustRightInd w:val="0"/>
              <w:snapToGrid w:val="0"/>
              <w:spacing w:line="360" w:lineRule="auto"/>
              <w:ind w:firstLine="480" w:firstLineChars="200"/>
              <w:rPr>
                <w:sz w:val="24"/>
              </w:rPr>
            </w:pPr>
            <w:r>
              <w:rPr>
                <w:sz w:val="24"/>
              </w:rPr>
              <w:t>为减少事故的发生和影响建设单位应采取以下措施。</w:t>
            </w:r>
          </w:p>
          <w:p>
            <w:pPr>
              <w:widowControl/>
              <w:adjustRightInd w:val="0"/>
              <w:snapToGrid w:val="0"/>
              <w:spacing w:line="360" w:lineRule="auto"/>
              <w:ind w:firstLine="480" w:firstLineChars="200"/>
              <w:rPr>
                <w:sz w:val="24"/>
                <w:szCs w:val="21"/>
              </w:rPr>
            </w:pPr>
            <w:r>
              <w:rPr>
                <w:sz w:val="24"/>
                <w:szCs w:val="21"/>
              </w:rPr>
              <w:t>企业需建立健全安全操作规程及值勤制度，设置通讯、报警装置，并确保其处于完好状态；</w:t>
            </w:r>
            <w:r>
              <w:rPr>
                <w:rFonts w:hint="eastAsia"/>
                <w:sz w:val="24"/>
                <w:szCs w:val="21"/>
              </w:rPr>
              <w:t>厂区</w:t>
            </w:r>
            <w:r>
              <w:rPr>
                <w:sz w:val="24"/>
                <w:szCs w:val="21"/>
              </w:rPr>
              <w:t>配置合格的消防器材，并确保其处于完好状态。</w:t>
            </w:r>
          </w:p>
          <w:p>
            <w:pPr>
              <w:widowControl/>
              <w:adjustRightInd w:val="0"/>
              <w:snapToGrid w:val="0"/>
              <w:spacing w:line="360" w:lineRule="auto"/>
              <w:ind w:firstLine="480" w:firstLineChars="200"/>
              <w:rPr>
                <w:sz w:val="24"/>
                <w:szCs w:val="21"/>
              </w:rPr>
            </w:pPr>
            <w:r>
              <w:rPr>
                <w:rFonts w:hint="eastAsia"/>
                <w:sz w:val="24"/>
                <w:szCs w:val="21"/>
              </w:rPr>
              <w:t>加强火源的管理，严禁烟火带入，对设备需进行维修焊接，应经安全部门确认、准许，并有记录。机动车在厂内行驶，须安装阻火器，必要设备安装防火、防爆装置。</w:t>
            </w:r>
          </w:p>
          <w:p>
            <w:pPr>
              <w:widowControl/>
              <w:adjustRightInd w:val="0"/>
              <w:snapToGrid w:val="0"/>
              <w:spacing w:line="360" w:lineRule="auto"/>
              <w:ind w:firstLine="480" w:firstLineChars="200"/>
              <w:rPr>
                <w:sz w:val="24"/>
                <w:szCs w:val="21"/>
              </w:rPr>
            </w:pPr>
            <w:r>
              <w:rPr>
                <w:rFonts w:hint="eastAsia"/>
                <w:sz w:val="24"/>
                <w:szCs w:val="21"/>
              </w:rPr>
              <w:t>厂区设置一套火灾报警系统，该系统由火灾报警控制器、感烟探测器、感温探测器、手动报警按钮及声光报警器等组成。当本工程各装置区内发生火灾时，以便控制室的工作人员对火灾现场情况做相应的处理。</w:t>
            </w:r>
          </w:p>
          <w:p>
            <w:pPr>
              <w:widowControl/>
              <w:adjustRightInd w:val="0"/>
              <w:snapToGrid w:val="0"/>
              <w:spacing w:line="360" w:lineRule="auto"/>
              <w:ind w:firstLine="480" w:firstLineChars="200"/>
              <w:rPr>
                <w:sz w:val="24"/>
                <w:szCs w:val="21"/>
              </w:rPr>
            </w:pPr>
            <w:r>
              <w:rPr>
                <w:rFonts w:hint="eastAsia"/>
                <w:sz w:val="24"/>
                <w:szCs w:val="21"/>
              </w:rPr>
              <w:t>设备的安全管理：定期对设备进行安全检测，检测内容、时间、人员应有记录保存。安全检测应根据设备的安全性、危险性设定检测频次。</w:t>
            </w:r>
          </w:p>
          <w:p>
            <w:pPr>
              <w:pStyle w:val="21"/>
              <w:numPr>
                <w:ilvl w:val="0"/>
                <w:numId w:val="9"/>
              </w:numPr>
              <w:spacing w:after="0" w:line="360" w:lineRule="auto"/>
              <w:ind w:firstLine="480" w:firstLineChars="200"/>
              <w:rPr>
                <w:b/>
                <w:sz w:val="24"/>
              </w:rPr>
            </w:pPr>
            <w:r>
              <w:rPr>
                <w:b/>
                <w:sz w:val="24"/>
              </w:rPr>
              <w:t>突发事故对策和应急预案</w:t>
            </w:r>
          </w:p>
          <w:p>
            <w:pPr>
              <w:pStyle w:val="21"/>
              <w:spacing w:after="0" w:line="360" w:lineRule="auto"/>
              <w:ind w:firstLine="480" w:firstLineChars="200"/>
              <w:rPr>
                <w:sz w:val="24"/>
              </w:rPr>
            </w:pPr>
            <w:r>
              <w:rPr>
                <w:sz w:val="24"/>
              </w:rPr>
              <w:t>当发生火灾爆炸等事故后，由公司应急救援领导小组根据事故情况，对事故的影响和危害性进行判断，若为一般事故，只需启动一级应急救援相关程序，由现场值班的专职、兼职消防人员以及操作人员组成一级应急队伍，开展抢险救援行动。若事故规模较大、危害较严重，应急救援领导小组应迅速成立现场应急救援指挥部，由公司经理以及专业人员组成，并根据事故现场抢险救援的需要，在专职和兼职应急救援人员的基础上，组建各抢险救援、医疗救护、警戒、通讯、信息发布等专业队伍，全面投入应急救援行动中。</w:t>
            </w:r>
          </w:p>
          <w:p>
            <w:pPr>
              <w:pStyle w:val="21"/>
              <w:spacing w:after="0" w:line="360" w:lineRule="auto"/>
              <w:ind w:firstLine="480" w:firstLineChars="200"/>
              <w:rPr>
                <w:sz w:val="24"/>
              </w:rPr>
            </w:pPr>
            <w:r>
              <w:rPr>
                <w:sz w:val="24"/>
              </w:rPr>
              <w:t>公司应根据下表的详细要求制定突发事故对策和应急预案，一旦出现突发事故，必须按事先拟定的方案进行紧急处理。应急对策和预案的内容及要求如下表：</w:t>
            </w:r>
          </w:p>
          <w:p>
            <w:pPr>
              <w:ind w:left="63" w:leftChars="30" w:right="63" w:rightChars="30"/>
              <w:jc w:val="center"/>
              <w:rPr>
                <w:b/>
                <w:szCs w:val="21"/>
              </w:rPr>
            </w:pPr>
            <w:r>
              <w:rPr>
                <w:b/>
                <w:szCs w:val="21"/>
              </w:rPr>
              <w:t>表7-</w:t>
            </w:r>
            <w:r>
              <w:rPr>
                <w:rFonts w:hint="eastAsia"/>
                <w:b/>
                <w:szCs w:val="21"/>
              </w:rPr>
              <w:t>30</w:t>
            </w:r>
            <w:r>
              <w:rPr>
                <w:b/>
                <w:szCs w:val="21"/>
              </w:rPr>
              <w:t xml:space="preserve"> 应急预案内容</w:t>
            </w:r>
          </w:p>
          <w:tbl>
            <w:tblPr>
              <w:tblStyle w:val="56"/>
              <w:tblW w:w="8312" w:type="dxa"/>
              <w:jc w:val="center"/>
              <w:tblBorders>
                <w:top w:val="single" w:color="000000" w:sz="12" w:space="0"/>
                <w:left w:val="none" w:color="auto" w:sz="0" w:space="0"/>
                <w:bottom w:val="single" w:color="000000" w:sz="12" w:space="0"/>
                <w:right w:val="none" w:color="auto" w:sz="0" w:space="0"/>
                <w:insideH w:val="single" w:color="000000" w:sz="2" w:space="0"/>
                <w:insideV w:val="single" w:color="000000" w:sz="2" w:space="0"/>
              </w:tblBorders>
              <w:tblLayout w:type="autofit"/>
              <w:tblCellMar>
                <w:top w:w="0" w:type="dxa"/>
                <w:left w:w="108" w:type="dxa"/>
                <w:bottom w:w="0" w:type="dxa"/>
                <w:right w:w="108" w:type="dxa"/>
              </w:tblCellMar>
            </w:tblPr>
            <w:tblGrid>
              <w:gridCol w:w="781"/>
              <w:gridCol w:w="2922"/>
              <w:gridCol w:w="4609"/>
            </w:tblGrid>
            <w:tr>
              <w:tblPrEx>
                <w:tblBorders>
                  <w:top w:val="single" w:color="000000" w:sz="12" w:space="0"/>
                  <w:left w:val="none" w:color="auto" w:sz="0" w:space="0"/>
                  <w:bottom w:val="single" w:color="000000" w:sz="12" w:space="0"/>
                  <w:right w:val="none" w:color="auto" w:sz="0" w:space="0"/>
                  <w:insideH w:val="single" w:color="000000" w:sz="2" w:space="0"/>
                  <w:insideV w:val="single" w:color="000000" w:sz="2" w:space="0"/>
                </w:tblBorders>
                <w:tblCellMar>
                  <w:top w:w="0" w:type="dxa"/>
                  <w:left w:w="108" w:type="dxa"/>
                  <w:bottom w:w="0" w:type="dxa"/>
                  <w:right w:w="108" w:type="dxa"/>
                </w:tblCellMar>
              </w:tblPrEx>
              <w:trPr>
                <w:trHeight w:val="369" w:hRule="atLeast"/>
                <w:jc w:val="center"/>
              </w:trPr>
              <w:tc>
                <w:tcPr>
                  <w:tcW w:w="781" w:type="dxa"/>
                  <w:vAlign w:val="center"/>
                </w:tcPr>
                <w:p>
                  <w:pPr>
                    <w:adjustRightInd w:val="0"/>
                    <w:snapToGrid w:val="0"/>
                    <w:ind w:left="63" w:leftChars="30" w:right="63" w:rightChars="30"/>
                    <w:jc w:val="center"/>
                    <w:rPr>
                      <w:b/>
                      <w:bCs/>
                      <w:szCs w:val="21"/>
                    </w:rPr>
                  </w:pPr>
                  <w:r>
                    <w:rPr>
                      <w:b/>
                      <w:bCs/>
                      <w:szCs w:val="21"/>
                    </w:rPr>
                    <w:t>序号</w:t>
                  </w:r>
                </w:p>
              </w:tc>
              <w:tc>
                <w:tcPr>
                  <w:tcW w:w="2922" w:type="dxa"/>
                  <w:vAlign w:val="center"/>
                </w:tcPr>
                <w:p>
                  <w:pPr>
                    <w:adjustRightInd w:val="0"/>
                    <w:snapToGrid w:val="0"/>
                    <w:ind w:left="63" w:leftChars="30" w:right="63" w:rightChars="30"/>
                    <w:jc w:val="center"/>
                    <w:rPr>
                      <w:b/>
                      <w:bCs/>
                      <w:szCs w:val="21"/>
                    </w:rPr>
                  </w:pPr>
                  <w:r>
                    <w:rPr>
                      <w:b/>
                      <w:bCs/>
                      <w:szCs w:val="21"/>
                    </w:rPr>
                    <w:t>项目</w:t>
                  </w:r>
                </w:p>
              </w:tc>
              <w:tc>
                <w:tcPr>
                  <w:tcW w:w="4609" w:type="dxa"/>
                  <w:vAlign w:val="center"/>
                </w:tcPr>
                <w:p>
                  <w:pPr>
                    <w:adjustRightInd w:val="0"/>
                    <w:snapToGrid w:val="0"/>
                    <w:ind w:left="63" w:leftChars="30" w:right="63" w:rightChars="30"/>
                    <w:jc w:val="center"/>
                    <w:rPr>
                      <w:b/>
                      <w:bCs/>
                      <w:szCs w:val="21"/>
                    </w:rPr>
                  </w:pPr>
                  <w:r>
                    <w:rPr>
                      <w:b/>
                      <w:bCs/>
                      <w:szCs w:val="21"/>
                    </w:rPr>
                    <w:t>内容及要求</w:t>
                  </w:r>
                </w:p>
              </w:tc>
            </w:tr>
            <w:tr>
              <w:tblPrEx>
                <w:tblBorders>
                  <w:top w:val="single" w:color="000000" w:sz="12" w:space="0"/>
                  <w:left w:val="none" w:color="auto" w:sz="0" w:space="0"/>
                  <w:bottom w:val="single" w:color="000000" w:sz="12" w:space="0"/>
                  <w:right w:val="none" w:color="auto" w:sz="0" w:space="0"/>
                  <w:insideH w:val="single" w:color="000000" w:sz="2" w:space="0"/>
                  <w:insideV w:val="single" w:color="000000" w:sz="2" w:space="0"/>
                </w:tblBorders>
                <w:tblCellMar>
                  <w:top w:w="0" w:type="dxa"/>
                  <w:left w:w="108" w:type="dxa"/>
                  <w:bottom w:w="0" w:type="dxa"/>
                  <w:right w:w="108" w:type="dxa"/>
                </w:tblCellMar>
              </w:tblPrEx>
              <w:trPr>
                <w:trHeight w:val="369" w:hRule="atLeast"/>
                <w:jc w:val="center"/>
              </w:trPr>
              <w:tc>
                <w:tcPr>
                  <w:tcW w:w="781" w:type="dxa"/>
                  <w:vAlign w:val="center"/>
                </w:tcPr>
                <w:p>
                  <w:pPr>
                    <w:adjustRightInd w:val="0"/>
                    <w:snapToGrid w:val="0"/>
                    <w:ind w:left="63" w:leftChars="30" w:right="63" w:rightChars="30"/>
                    <w:jc w:val="center"/>
                    <w:rPr>
                      <w:szCs w:val="21"/>
                    </w:rPr>
                  </w:pPr>
                  <w:r>
                    <w:rPr>
                      <w:szCs w:val="21"/>
                    </w:rPr>
                    <w:t>1</w:t>
                  </w:r>
                </w:p>
              </w:tc>
              <w:tc>
                <w:tcPr>
                  <w:tcW w:w="2922" w:type="dxa"/>
                  <w:vAlign w:val="center"/>
                </w:tcPr>
                <w:p>
                  <w:pPr>
                    <w:adjustRightInd w:val="0"/>
                    <w:snapToGrid w:val="0"/>
                    <w:ind w:left="63" w:leftChars="30" w:right="63" w:rightChars="30"/>
                    <w:jc w:val="center"/>
                    <w:rPr>
                      <w:szCs w:val="21"/>
                    </w:rPr>
                  </w:pPr>
                  <w:r>
                    <w:rPr>
                      <w:szCs w:val="21"/>
                    </w:rPr>
                    <w:t>应急计划区</w:t>
                  </w:r>
                </w:p>
              </w:tc>
              <w:tc>
                <w:tcPr>
                  <w:tcW w:w="4609" w:type="dxa"/>
                  <w:vAlign w:val="center"/>
                </w:tcPr>
                <w:p>
                  <w:pPr>
                    <w:adjustRightInd w:val="0"/>
                    <w:snapToGrid w:val="0"/>
                    <w:ind w:left="63" w:leftChars="30" w:right="63" w:rightChars="30"/>
                    <w:jc w:val="center"/>
                    <w:rPr>
                      <w:szCs w:val="21"/>
                    </w:rPr>
                  </w:pPr>
                  <w:r>
                    <w:rPr>
                      <w:szCs w:val="21"/>
                    </w:rPr>
                    <w:t>危险目标：生产区、贮存区、环境保护目标等</w:t>
                  </w:r>
                </w:p>
              </w:tc>
            </w:tr>
            <w:tr>
              <w:tblPrEx>
                <w:tblBorders>
                  <w:top w:val="single" w:color="000000" w:sz="12" w:space="0"/>
                  <w:left w:val="none" w:color="auto" w:sz="0" w:space="0"/>
                  <w:bottom w:val="single" w:color="000000" w:sz="12" w:space="0"/>
                  <w:right w:val="none" w:color="auto" w:sz="0" w:space="0"/>
                  <w:insideH w:val="single" w:color="000000" w:sz="2" w:space="0"/>
                  <w:insideV w:val="single" w:color="000000" w:sz="2" w:space="0"/>
                </w:tblBorders>
                <w:tblCellMar>
                  <w:top w:w="0" w:type="dxa"/>
                  <w:left w:w="108" w:type="dxa"/>
                  <w:bottom w:w="0" w:type="dxa"/>
                  <w:right w:w="108" w:type="dxa"/>
                </w:tblCellMar>
              </w:tblPrEx>
              <w:trPr>
                <w:trHeight w:val="369" w:hRule="atLeast"/>
                <w:jc w:val="center"/>
              </w:trPr>
              <w:tc>
                <w:tcPr>
                  <w:tcW w:w="781" w:type="dxa"/>
                  <w:vAlign w:val="center"/>
                </w:tcPr>
                <w:p>
                  <w:pPr>
                    <w:adjustRightInd w:val="0"/>
                    <w:snapToGrid w:val="0"/>
                    <w:ind w:left="63" w:leftChars="30" w:right="63" w:rightChars="30"/>
                    <w:jc w:val="center"/>
                    <w:rPr>
                      <w:szCs w:val="21"/>
                    </w:rPr>
                  </w:pPr>
                  <w:r>
                    <w:rPr>
                      <w:szCs w:val="21"/>
                    </w:rPr>
                    <w:t>2</w:t>
                  </w:r>
                </w:p>
              </w:tc>
              <w:tc>
                <w:tcPr>
                  <w:tcW w:w="2922" w:type="dxa"/>
                  <w:vAlign w:val="center"/>
                </w:tcPr>
                <w:p>
                  <w:pPr>
                    <w:adjustRightInd w:val="0"/>
                    <w:snapToGrid w:val="0"/>
                    <w:ind w:left="63" w:leftChars="30" w:right="63" w:rightChars="30"/>
                    <w:jc w:val="center"/>
                    <w:rPr>
                      <w:szCs w:val="21"/>
                    </w:rPr>
                  </w:pPr>
                  <w:r>
                    <w:rPr>
                      <w:szCs w:val="21"/>
                    </w:rPr>
                    <w:t>应急组织机构、人员</w:t>
                  </w:r>
                </w:p>
              </w:tc>
              <w:tc>
                <w:tcPr>
                  <w:tcW w:w="4609" w:type="dxa"/>
                  <w:vAlign w:val="center"/>
                </w:tcPr>
                <w:p>
                  <w:pPr>
                    <w:adjustRightInd w:val="0"/>
                    <w:snapToGrid w:val="0"/>
                    <w:ind w:left="63" w:leftChars="30" w:right="63" w:rightChars="30"/>
                    <w:jc w:val="center"/>
                    <w:rPr>
                      <w:szCs w:val="21"/>
                    </w:rPr>
                  </w:pPr>
                  <w:r>
                    <w:rPr>
                      <w:szCs w:val="21"/>
                    </w:rPr>
                    <w:t>工厂、地区应急组织机构、人员</w:t>
                  </w:r>
                </w:p>
              </w:tc>
            </w:tr>
            <w:tr>
              <w:tblPrEx>
                <w:tblBorders>
                  <w:top w:val="single" w:color="000000" w:sz="12" w:space="0"/>
                  <w:left w:val="none" w:color="auto" w:sz="0" w:space="0"/>
                  <w:bottom w:val="single" w:color="000000" w:sz="12" w:space="0"/>
                  <w:right w:val="none" w:color="auto" w:sz="0" w:space="0"/>
                  <w:insideH w:val="single" w:color="000000" w:sz="2" w:space="0"/>
                  <w:insideV w:val="single" w:color="000000" w:sz="2" w:space="0"/>
                </w:tblBorders>
                <w:tblCellMar>
                  <w:top w:w="0" w:type="dxa"/>
                  <w:left w:w="108" w:type="dxa"/>
                  <w:bottom w:w="0" w:type="dxa"/>
                  <w:right w:w="108" w:type="dxa"/>
                </w:tblCellMar>
              </w:tblPrEx>
              <w:trPr>
                <w:trHeight w:val="369" w:hRule="atLeast"/>
                <w:jc w:val="center"/>
              </w:trPr>
              <w:tc>
                <w:tcPr>
                  <w:tcW w:w="781" w:type="dxa"/>
                  <w:vAlign w:val="center"/>
                </w:tcPr>
                <w:p>
                  <w:pPr>
                    <w:adjustRightInd w:val="0"/>
                    <w:snapToGrid w:val="0"/>
                    <w:ind w:left="63" w:leftChars="30" w:right="63" w:rightChars="30"/>
                    <w:jc w:val="center"/>
                    <w:rPr>
                      <w:szCs w:val="21"/>
                    </w:rPr>
                  </w:pPr>
                  <w:r>
                    <w:rPr>
                      <w:szCs w:val="21"/>
                    </w:rPr>
                    <w:t>3</w:t>
                  </w:r>
                </w:p>
              </w:tc>
              <w:tc>
                <w:tcPr>
                  <w:tcW w:w="2922" w:type="dxa"/>
                  <w:vAlign w:val="center"/>
                </w:tcPr>
                <w:p>
                  <w:pPr>
                    <w:adjustRightInd w:val="0"/>
                    <w:snapToGrid w:val="0"/>
                    <w:ind w:left="63" w:leftChars="30" w:right="63" w:rightChars="30"/>
                    <w:jc w:val="center"/>
                    <w:rPr>
                      <w:szCs w:val="21"/>
                    </w:rPr>
                  </w:pPr>
                  <w:r>
                    <w:rPr>
                      <w:szCs w:val="21"/>
                    </w:rPr>
                    <w:t>预案分级响应条件</w:t>
                  </w:r>
                </w:p>
              </w:tc>
              <w:tc>
                <w:tcPr>
                  <w:tcW w:w="4609" w:type="dxa"/>
                  <w:vAlign w:val="center"/>
                </w:tcPr>
                <w:p>
                  <w:pPr>
                    <w:adjustRightInd w:val="0"/>
                    <w:snapToGrid w:val="0"/>
                    <w:ind w:left="63" w:leftChars="30" w:right="63" w:rightChars="30"/>
                    <w:jc w:val="center"/>
                    <w:rPr>
                      <w:szCs w:val="21"/>
                    </w:rPr>
                  </w:pPr>
                  <w:r>
                    <w:rPr>
                      <w:szCs w:val="21"/>
                    </w:rPr>
                    <w:t>规定预案的级别及分级响应程序</w:t>
                  </w:r>
                </w:p>
              </w:tc>
            </w:tr>
            <w:tr>
              <w:tblPrEx>
                <w:tblBorders>
                  <w:top w:val="single" w:color="000000" w:sz="12" w:space="0"/>
                  <w:left w:val="none" w:color="auto" w:sz="0" w:space="0"/>
                  <w:bottom w:val="single" w:color="000000" w:sz="12" w:space="0"/>
                  <w:right w:val="none" w:color="auto" w:sz="0" w:space="0"/>
                  <w:insideH w:val="single" w:color="000000" w:sz="2" w:space="0"/>
                  <w:insideV w:val="single" w:color="000000" w:sz="2" w:space="0"/>
                </w:tblBorders>
                <w:tblCellMar>
                  <w:top w:w="0" w:type="dxa"/>
                  <w:left w:w="108" w:type="dxa"/>
                  <w:bottom w:w="0" w:type="dxa"/>
                  <w:right w:w="108" w:type="dxa"/>
                </w:tblCellMar>
              </w:tblPrEx>
              <w:trPr>
                <w:trHeight w:val="369" w:hRule="atLeast"/>
                <w:jc w:val="center"/>
              </w:trPr>
              <w:tc>
                <w:tcPr>
                  <w:tcW w:w="781" w:type="dxa"/>
                  <w:vAlign w:val="center"/>
                </w:tcPr>
                <w:p>
                  <w:pPr>
                    <w:adjustRightInd w:val="0"/>
                    <w:snapToGrid w:val="0"/>
                    <w:ind w:left="63" w:leftChars="30" w:right="63" w:rightChars="30"/>
                    <w:jc w:val="center"/>
                    <w:rPr>
                      <w:szCs w:val="21"/>
                    </w:rPr>
                  </w:pPr>
                  <w:r>
                    <w:rPr>
                      <w:szCs w:val="21"/>
                    </w:rPr>
                    <w:t>4</w:t>
                  </w:r>
                </w:p>
              </w:tc>
              <w:tc>
                <w:tcPr>
                  <w:tcW w:w="2922" w:type="dxa"/>
                  <w:vAlign w:val="center"/>
                </w:tcPr>
                <w:p>
                  <w:pPr>
                    <w:adjustRightInd w:val="0"/>
                    <w:snapToGrid w:val="0"/>
                    <w:ind w:left="63" w:leftChars="30" w:right="63" w:rightChars="30"/>
                    <w:jc w:val="center"/>
                    <w:rPr>
                      <w:szCs w:val="21"/>
                    </w:rPr>
                  </w:pPr>
                  <w:r>
                    <w:rPr>
                      <w:szCs w:val="21"/>
                    </w:rPr>
                    <w:t>应急救援保障</w:t>
                  </w:r>
                </w:p>
              </w:tc>
              <w:tc>
                <w:tcPr>
                  <w:tcW w:w="4609" w:type="dxa"/>
                  <w:vAlign w:val="center"/>
                </w:tcPr>
                <w:p>
                  <w:pPr>
                    <w:adjustRightInd w:val="0"/>
                    <w:snapToGrid w:val="0"/>
                    <w:ind w:left="63" w:leftChars="30" w:right="63" w:rightChars="30"/>
                    <w:jc w:val="center"/>
                    <w:rPr>
                      <w:szCs w:val="21"/>
                    </w:rPr>
                  </w:pPr>
                  <w:r>
                    <w:rPr>
                      <w:szCs w:val="21"/>
                    </w:rPr>
                    <w:t>应急设施，设备与器材等</w:t>
                  </w:r>
                </w:p>
              </w:tc>
            </w:tr>
            <w:tr>
              <w:tblPrEx>
                <w:tblBorders>
                  <w:top w:val="single" w:color="000000" w:sz="12" w:space="0"/>
                  <w:left w:val="none" w:color="auto" w:sz="0" w:space="0"/>
                  <w:bottom w:val="single" w:color="000000" w:sz="12" w:space="0"/>
                  <w:right w:val="none" w:color="auto" w:sz="0" w:space="0"/>
                  <w:insideH w:val="single" w:color="000000" w:sz="2" w:space="0"/>
                  <w:insideV w:val="single" w:color="000000" w:sz="2" w:space="0"/>
                </w:tblBorders>
                <w:tblCellMar>
                  <w:top w:w="0" w:type="dxa"/>
                  <w:left w:w="108" w:type="dxa"/>
                  <w:bottom w:w="0" w:type="dxa"/>
                  <w:right w:w="108" w:type="dxa"/>
                </w:tblCellMar>
              </w:tblPrEx>
              <w:trPr>
                <w:trHeight w:val="369" w:hRule="atLeast"/>
                <w:jc w:val="center"/>
              </w:trPr>
              <w:tc>
                <w:tcPr>
                  <w:tcW w:w="781" w:type="dxa"/>
                  <w:vAlign w:val="center"/>
                </w:tcPr>
                <w:p>
                  <w:pPr>
                    <w:adjustRightInd w:val="0"/>
                    <w:snapToGrid w:val="0"/>
                    <w:ind w:left="63" w:leftChars="30" w:right="63" w:rightChars="30"/>
                    <w:jc w:val="center"/>
                    <w:rPr>
                      <w:szCs w:val="21"/>
                    </w:rPr>
                  </w:pPr>
                  <w:r>
                    <w:rPr>
                      <w:szCs w:val="21"/>
                    </w:rPr>
                    <w:t>5</w:t>
                  </w:r>
                </w:p>
              </w:tc>
              <w:tc>
                <w:tcPr>
                  <w:tcW w:w="2922" w:type="dxa"/>
                  <w:vAlign w:val="center"/>
                </w:tcPr>
                <w:p>
                  <w:pPr>
                    <w:adjustRightInd w:val="0"/>
                    <w:snapToGrid w:val="0"/>
                    <w:ind w:left="63" w:leftChars="30" w:right="63" w:rightChars="30"/>
                    <w:jc w:val="center"/>
                    <w:rPr>
                      <w:szCs w:val="21"/>
                    </w:rPr>
                  </w:pPr>
                  <w:r>
                    <w:rPr>
                      <w:szCs w:val="21"/>
                    </w:rPr>
                    <w:t>报警、通讯联络方式</w:t>
                  </w:r>
                </w:p>
              </w:tc>
              <w:tc>
                <w:tcPr>
                  <w:tcW w:w="4609" w:type="dxa"/>
                  <w:vAlign w:val="center"/>
                </w:tcPr>
                <w:p>
                  <w:pPr>
                    <w:adjustRightInd w:val="0"/>
                    <w:snapToGrid w:val="0"/>
                    <w:ind w:left="63" w:leftChars="30" w:right="63" w:rightChars="30"/>
                    <w:jc w:val="center"/>
                    <w:rPr>
                      <w:szCs w:val="21"/>
                    </w:rPr>
                  </w:pPr>
                  <w:r>
                    <w:rPr>
                      <w:szCs w:val="21"/>
                    </w:rPr>
                    <w:t>规定应急状态下的报警通讯方式、通知方式和交通保障、管制</w:t>
                  </w:r>
                </w:p>
              </w:tc>
            </w:tr>
            <w:tr>
              <w:tblPrEx>
                <w:tblBorders>
                  <w:top w:val="single" w:color="000000" w:sz="12" w:space="0"/>
                  <w:left w:val="none" w:color="auto" w:sz="0" w:space="0"/>
                  <w:bottom w:val="single" w:color="000000" w:sz="12" w:space="0"/>
                  <w:right w:val="none" w:color="auto" w:sz="0" w:space="0"/>
                  <w:insideH w:val="single" w:color="000000" w:sz="2" w:space="0"/>
                  <w:insideV w:val="single" w:color="000000" w:sz="2" w:space="0"/>
                </w:tblBorders>
                <w:tblCellMar>
                  <w:top w:w="0" w:type="dxa"/>
                  <w:left w:w="108" w:type="dxa"/>
                  <w:bottom w:w="0" w:type="dxa"/>
                  <w:right w:w="108" w:type="dxa"/>
                </w:tblCellMar>
              </w:tblPrEx>
              <w:trPr>
                <w:trHeight w:val="369" w:hRule="atLeast"/>
                <w:jc w:val="center"/>
              </w:trPr>
              <w:tc>
                <w:tcPr>
                  <w:tcW w:w="781" w:type="dxa"/>
                  <w:vAlign w:val="center"/>
                </w:tcPr>
                <w:p>
                  <w:pPr>
                    <w:adjustRightInd w:val="0"/>
                    <w:snapToGrid w:val="0"/>
                    <w:ind w:left="63" w:leftChars="30" w:right="63" w:rightChars="30"/>
                    <w:jc w:val="center"/>
                    <w:rPr>
                      <w:szCs w:val="21"/>
                    </w:rPr>
                  </w:pPr>
                  <w:r>
                    <w:rPr>
                      <w:rFonts w:hint="eastAsia"/>
                      <w:szCs w:val="21"/>
                    </w:rPr>
                    <w:t>6</w:t>
                  </w:r>
                </w:p>
              </w:tc>
              <w:tc>
                <w:tcPr>
                  <w:tcW w:w="2922" w:type="dxa"/>
                  <w:vAlign w:val="center"/>
                </w:tcPr>
                <w:p>
                  <w:pPr>
                    <w:adjustRightInd w:val="0"/>
                    <w:snapToGrid w:val="0"/>
                    <w:ind w:left="63" w:leftChars="30" w:right="63" w:rightChars="30"/>
                    <w:jc w:val="center"/>
                    <w:rPr>
                      <w:szCs w:val="21"/>
                    </w:rPr>
                  </w:pPr>
                  <w:r>
                    <w:rPr>
                      <w:szCs w:val="21"/>
                    </w:rPr>
                    <w:t>应急检测、防护措施、器材</w:t>
                  </w:r>
                </w:p>
              </w:tc>
              <w:tc>
                <w:tcPr>
                  <w:tcW w:w="4609" w:type="dxa"/>
                  <w:vAlign w:val="center"/>
                </w:tcPr>
                <w:p>
                  <w:pPr>
                    <w:pStyle w:val="162"/>
                    <w:adjustRightInd w:val="0"/>
                    <w:snapToGrid w:val="0"/>
                    <w:ind w:left="63" w:leftChars="30" w:right="63" w:rightChars="30"/>
                    <w:jc w:val="center"/>
                    <w:rPr>
                      <w:szCs w:val="21"/>
                    </w:rPr>
                  </w:pPr>
                  <w:r>
                    <w:rPr>
                      <w:szCs w:val="21"/>
                    </w:rPr>
                    <w:t>事故现场、邻近区域、控制防火区域，控制和清除污染措施及相应设备</w:t>
                  </w:r>
                </w:p>
              </w:tc>
            </w:tr>
            <w:tr>
              <w:tblPrEx>
                <w:tblBorders>
                  <w:top w:val="single" w:color="000000" w:sz="12" w:space="0"/>
                  <w:left w:val="none" w:color="auto" w:sz="0" w:space="0"/>
                  <w:bottom w:val="single" w:color="000000" w:sz="12" w:space="0"/>
                  <w:right w:val="none" w:color="auto" w:sz="0" w:space="0"/>
                  <w:insideH w:val="single" w:color="000000" w:sz="2" w:space="0"/>
                  <w:insideV w:val="single" w:color="000000" w:sz="2" w:space="0"/>
                </w:tblBorders>
                <w:tblCellMar>
                  <w:top w:w="0" w:type="dxa"/>
                  <w:left w:w="108" w:type="dxa"/>
                  <w:bottom w:w="0" w:type="dxa"/>
                  <w:right w:w="108" w:type="dxa"/>
                </w:tblCellMar>
              </w:tblPrEx>
              <w:trPr>
                <w:trHeight w:val="369" w:hRule="atLeast"/>
                <w:jc w:val="center"/>
              </w:trPr>
              <w:tc>
                <w:tcPr>
                  <w:tcW w:w="781" w:type="dxa"/>
                  <w:vAlign w:val="center"/>
                </w:tcPr>
                <w:p>
                  <w:pPr>
                    <w:adjustRightInd w:val="0"/>
                    <w:snapToGrid w:val="0"/>
                    <w:ind w:left="63" w:leftChars="30" w:right="63" w:rightChars="30"/>
                    <w:jc w:val="center"/>
                    <w:rPr>
                      <w:szCs w:val="21"/>
                    </w:rPr>
                  </w:pPr>
                  <w:r>
                    <w:rPr>
                      <w:szCs w:val="21"/>
                    </w:rPr>
                    <w:t>7</w:t>
                  </w:r>
                </w:p>
              </w:tc>
              <w:tc>
                <w:tcPr>
                  <w:tcW w:w="2922" w:type="dxa"/>
                  <w:vAlign w:val="center"/>
                </w:tcPr>
                <w:p>
                  <w:pPr>
                    <w:adjustRightInd w:val="0"/>
                    <w:snapToGrid w:val="0"/>
                    <w:ind w:left="63" w:leftChars="30" w:right="63" w:rightChars="30"/>
                    <w:jc w:val="center"/>
                    <w:rPr>
                      <w:szCs w:val="21"/>
                    </w:rPr>
                  </w:pPr>
                  <w:r>
                    <w:rPr>
                      <w:szCs w:val="21"/>
                    </w:rPr>
                    <w:t>人员紧急撤离、疏散，应急剂量控制、撤离组织计划</w:t>
                  </w:r>
                </w:p>
              </w:tc>
              <w:tc>
                <w:tcPr>
                  <w:tcW w:w="4609" w:type="dxa"/>
                  <w:vAlign w:val="center"/>
                </w:tcPr>
                <w:p>
                  <w:pPr>
                    <w:adjustRightInd w:val="0"/>
                    <w:snapToGrid w:val="0"/>
                    <w:ind w:left="63" w:leftChars="30" w:right="63" w:rightChars="30"/>
                    <w:jc w:val="center"/>
                    <w:rPr>
                      <w:szCs w:val="21"/>
                    </w:rPr>
                  </w:pPr>
                  <w:r>
                    <w:rPr>
                      <w:szCs w:val="21"/>
                    </w:rPr>
                    <w:t>事故现场、工厂邻近区、受事故影响的区域人员及公众对毒物应急剂量控制规定，撤离组织计划及救护，医疗救护与公众健康</w:t>
                  </w:r>
                </w:p>
              </w:tc>
            </w:tr>
            <w:tr>
              <w:tblPrEx>
                <w:tblBorders>
                  <w:top w:val="single" w:color="000000" w:sz="12" w:space="0"/>
                  <w:left w:val="none" w:color="auto" w:sz="0" w:space="0"/>
                  <w:bottom w:val="single" w:color="000000" w:sz="12" w:space="0"/>
                  <w:right w:val="none" w:color="auto" w:sz="0" w:space="0"/>
                  <w:insideH w:val="single" w:color="000000" w:sz="2" w:space="0"/>
                  <w:insideV w:val="single" w:color="000000" w:sz="2" w:space="0"/>
                </w:tblBorders>
                <w:tblCellMar>
                  <w:top w:w="0" w:type="dxa"/>
                  <w:left w:w="108" w:type="dxa"/>
                  <w:bottom w:w="0" w:type="dxa"/>
                  <w:right w:w="108" w:type="dxa"/>
                </w:tblCellMar>
              </w:tblPrEx>
              <w:trPr>
                <w:trHeight w:val="369" w:hRule="atLeast"/>
                <w:jc w:val="center"/>
              </w:trPr>
              <w:tc>
                <w:tcPr>
                  <w:tcW w:w="781" w:type="dxa"/>
                  <w:vAlign w:val="center"/>
                </w:tcPr>
                <w:p>
                  <w:pPr>
                    <w:adjustRightInd w:val="0"/>
                    <w:snapToGrid w:val="0"/>
                    <w:ind w:left="63" w:leftChars="30" w:right="63" w:rightChars="30"/>
                    <w:jc w:val="center"/>
                    <w:rPr>
                      <w:szCs w:val="21"/>
                    </w:rPr>
                  </w:pPr>
                  <w:r>
                    <w:rPr>
                      <w:szCs w:val="21"/>
                    </w:rPr>
                    <w:t>8</w:t>
                  </w:r>
                </w:p>
              </w:tc>
              <w:tc>
                <w:tcPr>
                  <w:tcW w:w="2922" w:type="dxa"/>
                  <w:vAlign w:val="center"/>
                </w:tcPr>
                <w:p>
                  <w:pPr>
                    <w:adjustRightInd w:val="0"/>
                    <w:snapToGrid w:val="0"/>
                    <w:ind w:left="63" w:leftChars="30" w:right="63" w:rightChars="30"/>
                    <w:jc w:val="center"/>
                    <w:rPr>
                      <w:szCs w:val="21"/>
                    </w:rPr>
                  </w:pPr>
                  <w:r>
                    <w:rPr>
                      <w:szCs w:val="21"/>
                    </w:rPr>
                    <w:t>事故应急救援关闭程序与恢复措施</w:t>
                  </w:r>
                </w:p>
              </w:tc>
              <w:tc>
                <w:tcPr>
                  <w:tcW w:w="4609" w:type="dxa"/>
                  <w:vAlign w:val="center"/>
                </w:tcPr>
                <w:p>
                  <w:pPr>
                    <w:adjustRightInd w:val="0"/>
                    <w:snapToGrid w:val="0"/>
                    <w:ind w:left="63" w:leftChars="30" w:right="63" w:rightChars="30"/>
                    <w:jc w:val="center"/>
                    <w:rPr>
                      <w:szCs w:val="21"/>
                    </w:rPr>
                  </w:pPr>
                  <w:r>
                    <w:rPr>
                      <w:szCs w:val="21"/>
                    </w:rPr>
                    <w:t>规定应急状态终止程序</w:t>
                  </w:r>
                </w:p>
                <w:p>
                  <w:pPr>
                    <w:adjustRightInd w:val="0"/>
                    <w:snapToGrid w:val="0"/>
                    <w:ind w:left="63" w:leftChars="30" w:right="63" w:rightChars="30"/>
                    <w:jc w:val="center"/>
                    <w:rPr>
                      <w:szCs w:val="21"/>
                    </w:rPr>
                  </w:pPr>
                  <w:r>
                    <w:rPr>
                      <w:szCs w:val="21"/>
                    </w:rPr>
                    <w:t>事故现场善后处理，恢复措施</w:t>
                  </w:r>
                </w:p>
                <w:p>
                  <w:pPr>
                    <w:adjustRightInd w:val="0"/>
                    <w:snapToGrid w:val="0"/>
                    <w:ind w:left="63" w:leftChars="30" w:right="63" w:rightChars="30"/>
                    <w:jc w:val="center"/>
                    <w:rPr>
                      <w:szCs w:val="21"/>
                    </w:rPr>
                  </w:pPr>
                  <w:r>
                    <w:rPr>
                      <w:szCs w:val="21"/>
                    </w:rPr>
                    <w:t>邻近区域解除事故警戒及善后恢复措施</w:t>
                  </w:r>
                </w:p>
              </w:tc>
            </w:tr>
            <w:tr>
              <w:tblPrEx>
                <w:tblBorders>
                  <w:top w:val="single" w:color="000000" w:sz="12" w:space="0"/>
                  <w:left w:val="none" w:color="auto" w:sz="0" w:space="0"/>
                  <w:bottom w:val="single" w:color="000000" w:sz="12" w:space="0"/>
                  <w:right w:val="none" w:color="auto" w:sz="0" w:space="0"/>
                  <w:insideH w:val="single" w:color="000000" w:sz="2" w:space="0"/>
                  <w:insideV w:val="single" w:color="000000" w:sz="2" w:space="0"/>
                </w:tblBorders>
                <w:tblCellMar>
                  <w:top w:w="0" w:type="dxa"/>
                  <w:left w:w="108" w:type="dxa"/>
                  <w:bottom w:w="0" w:type="dxa"/>
                  <w:right w:w="108" w:type="dxa"/>
                </w:tblCellMar>
              </w:tblPrEx>
              <w:trPr>
                <w:trHeight w:val="369" w:hRule="atLeast"/>
                <w:jc w:val="center"/>
              </w:trPr>
              <w:tc>
                <w:tcPr>
                  <w:tcW w:w="781" w:type="dxa"/>
                  <w:vAlign w:val="center"/>
                </w:tcPr>
                <w:p>
                  <w:pPr>
                    <w:adjustRightInd w:val="0"/>
                    <w:snapToGrid w:val="0"/>
                    <w:ind w:left="63" w:leftChars="30" w:right="63" w:rightChars="30"/>
                    <w:jc w:val="center"/>
                    <w:rPr>
                      <w:szCs w:val="21"/>
                    </w:rPr>
                  </w:pPr>
                  <w:r>
                    <w:rPr>
                      <w:szCs w:val="21"/>
                    </w:rPr>
                    <w:t>9</w:t>
                  </w:r>
                </w:p>
              </w:tc>
              <w:tc>
                <w:tcPr>
                  <w:tcW w:w="2922" w:type="dxa"/>
                  <w:vAlign w:val="center"/>
                </w:tcPr>
                <w:p>
                  <w:pPr>
                    <w:adjustRightInd w:val="0"/>
                    <w:snapToGrid w:val="0"/>
                    <w:ind w:left="63" w:leftChars="30" w:right="63" w:rightChars="30"/>
                    <w:jc w:val="center"/>
                    <w:rPr>
                      <w:szCs w:val="21"/>
                    </w:rPr>
                  </w:pPr>
                  <w:r>
                    <w:rPr>
                      <w:szCs w:val="21"/>
                    </w:rPr>
                    <w:t>应急培训计划</w:t>
                  </w:r>
                </w:p>
              </w:tc>
              <w:tc>
                <w:tcPr>
                  <w:tcW w:w="4609" w:type="dxa"/>
                  <w:vAlign w:val="center"/>
                </w:tcPr>
                <w:p>
                  <w:pPr>
                    <w:adjustRightInd w:val="0"/>
                    <w:snapToGrid w:val="0"/>
                    <w:ind w:left="63" w:leftChars="30" w:right="63" w:rightChars="30"/>
                    <w:jc w:val="center"/>
                    <w:rPr>
                      <w:szCs w:val="21"/>
                    </w:rPr>
                  </w:pPr>
                  <w:r>
                    <w:rPr>
                      <w:szCs w:val="21"/>
                    </w:rPr>
                    <w:t>应急计划制定后，平时安排人员培训与演练</w:t>
                  </w:r>
                </w:p>
              </w:tc>
            </w:tr>
          </w:tbl>
          <w:p>
            <w:pPr>
              <w:adjustRightInd w:val="0"/>
              <w:snapToGrid w:val="0"/>
              <w:spacing w:line="360" w:lineRule="auto"/>
              <w:ind w:firstLine="480" w:firstLineChars="200"/>
              <w:rPr>
                <w:b/>
                <w:bCs/>
                <w:sz w:val="24"/>
              </w:rPr>
            </w:pPr>
            <w:r>
              <w:rPr>
                <w:rFonts w:hint="eastAsia"/>
                <w:b/>
                <w:bCs/>
                <w:sz w:val="24"/>
              </w:rPr>
              <w:t>（6）分析结论</w:t>
            </w:r>
          </w:p>
          <w:p>
            <w:pPr>
              <w:adjustRightInd w:val="0"/>
              <w:snapToGrid w:val="0"/>
              <w:spacing w:line="360" w:lineRule="auto"/>
              <w:ind w:firstLine="480" w:firstLineChars="200"/>
              <w:rPr>
                <w:sz w:val="24"/>
              </w:rPr>
            </w:pPr>
            <w:r>
              <w:rPr>
                <w:rFonts w:hint="eastAsia"/>
                <w:sz w:val="24"/>
              </w:rPr>
              <w:t>综上所述，本项目的环境风险值水平与同行业比较是可以接受的。但项目仍</w:t>
            </w:r>
          </w:p>
          <w:p>
            <w:pPr>
              <w:adjustRightInd w:val="0"/>
              <w:snapToGrid w:val="0"/>
              <w:spacing w:line="360" w:lineRule="auto"/>
              <w:rPr>
                <w:sz w:val="24"/>
              </w:rPr>
            </w:pPr>
            <w:r>
              <w:rPr>
                <w:rFonts w:hint="eastAsia"/>
                <w:sz w:val="24"/>
              </w:rPr>
              <w:t>应设立风险防范措施，最大限度防止风险事故的发生并进行有效处置，结合企业</w:t>
            </w:r>
          </w:p>
          <w:p>
            <w:pPr>
              <w:adjustRightInd w:val="0"/>
              <w:snapToGrid w:val="0"/>
              <w:spacing w:line="360" w:lineRule="auto"/>
              <w:rPr>
                <w:sz w:val="24"/>
              </w:rPr>
            </w:pPr>
            <w:r>
              <w:rPr>
                <w:rFonts w:hint="eastAsia"/>
                <w:sz w:val="24"/>
              </w:rPr>
              <w:t>在下一步设计、运营过程中不断制定和完善的风险防范和应急措施，将发生环境</w:t>
            </w:r>
          </w:p>
          <w:p>
            <w:pPr>
              <w:adjustRightInd w:val="0"/>
              <w:snapToGrid w:val="0"/>
              <w:spacing w:line="360" w:lineRule="auto"/>
              <w:rPr>
                <w:sz w:val="24"/>
              </w:rPr>
            </w:pPr>
            <w:r>
              <w:rPr>
                <w:rFonts w:hint="eastAsia"/>
                <w:sz w:val="24"/>
              </w:rPr>
              <w:t>风险的可能性降至最低。在各环境风险防范措施落实到位的情况下，将可大大降</w:t>
            </w:r>
          </w:p>
          <w:p>
            <w:pPr>
              <w:adjustRightInd w:val="0"/>
              <w:snapToGrid w:val="0"/>
              <w:spacing w:line="360" w:lineRule="auto"/>
            </w:pPr>
            <w:r>
              <w:rPr>
                <w:rFonts w:hint="eastAsia"/>
                <w:sz w:val="24"/>
              </w:rPr>
              <w:t>低本项目的环境风险，最大程度减少对环境可能造成的危害。</w:t>
            </w:r>
            <w:r>
              <w:rPr>
                <w:sz w:val="24"/>
              </w:rPr>
              <w:t>生，也能最大限度地减少环境污染危害和人民生命财产的损失。</w:t>
            </w:r>
          </w:p>
          <w:p>
            <w:pPr>
              <w:pStyle w:val="29"/>
              <w:spacing w:before="0" w:line="240" w:lineRule="auto"/>
              <w:jc w:val="center"/>
              <w:rPr>
                <w:rStyle w:val="75"/>
                <w:rFonts w:hint="eastAsia" w:ascii="Times New Roman"/>
                <w:b/>
                <w:spacing w:val="0"/>
                <w:kern w:val="2"/>
                <w:sz w:val="21"/>
                <w:szCs w:val="21"/>
                <w:vertAlign w:val="baseline"/>
                <w:lang w:val="en-US" w:eastAsia="zh-CN"/>
              </w:rPr>
            </w:pPr>
            <w:r>
              <w:rPr>
                <w:rStyle w:val="75"/>
                <w:rFonts w:hint="eastAsia" w:ascii="Times New Roman"/>
                <w:b/>
                <w:spacing w:val="0"/>
                <w:kern w:val="2"/>
                <w:sz w:val="21"/>
                <w:szCs w:val="21"/>
                <w:lang w:val="en-US" w:eastAsia="zh-CN"/>
              </w:rPr>
              <w:t>表7-30建设项目环境风险简单分析内容表</w:t>
            </w:r>
          </w:p>
          <w:tbl>
            <w:tblPr>
              <w:tblStyle w:val="57"/>
              <w:tblW w:w="5000" w:type="pct"/>
              <w:tblInd w:w="5" w:type="dxa"/>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696"/>
              <w:gridCol w:w="6616"/>
            </w:tblGrid>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020" w:type="pct"/>
                  <w:tcBorders>
                    <w:tl2br w:val="nil"/>
                    <w:tr2bl w:val="nil"/>
                  </w:tcBorders>
                  <w:vAlign w:val="center"/>
                </w:tcPr>
                <w:p>
                  <w:pPr>
                    <w:pStyle w:val="29"/>
                    <w:spacing w:before="0" w:line="240" w:lineRule="auto"/>
                    <w:jc w:val="center"/>
                    <w:rPr>
                      <w:rStyle w:val="75"/>
                      <w:rFonts w:hint="eastAsia" w:ascii="Times New Roman"/>
                      <w:b w:val="0"/>
                      <w:bCs/>
                      <w:spacing w:val="0"/>
                      <w:kern w:val="2"/>
                      <w:sz w:val="21"/>
                      <w:szCs w:val="21"/>
                      <w:vertAlign w:val="baseline"/>
                      <w:lang w:val="en-US" w:eastAsia="zh-CN"/>
                    </w:rPr>
                  </w:pPr>
                  <w:r>
                    <w:rPr>
                      <w:rStyle w:val="75"/>
                      <w:rFonts w:hint="eastAsia" w:ascii="Times New Roman"/>
                      <w:b w:val="0"/>
                      <w:bCs/>
                      <w:spacing w:val="0"/>
                      <w:kern w:val="2"/>
                      <w:sz w:val="21"/>
                      <w:szCs w:val="21"/>
                      <w:vertAlign w:val="baseline"/>
                      <w:lang w:val="en-US" w:eastAsia="zh-CN"/>
                    </w:rPr>
                    <w:t>建设项目名称</w:t>
                  </w:r>
                </w:p>
              </w:tc>
              <w:tc>
                <w:tcPr>
                  <w:tcW w:w="3979" w:type="pct"/>
                  <w:tcBorders>
                    <w:tl2br w:val="nil"/>
                    <w:tr2bl w:val="nil"/>
                  </w:tcBorders>
                  <w:vAlign w:val="center"/>
                </w:tcPr>
                <w:p>
                  <w:pPr>
                    <w:pStyle w:val="29"/>
                    <w:spacing w:before="0" w:line="240" w:lineRule="auto"/>
                    <w:jc w:val="center"/>
                    <w:rPr>
                      <w:rStyle w:val="75"/>
                      <w:rFonts w:hint="eastAsia" w:ascii="Times New Roman"/>
                      <w:b w:val="0"/>
                      <w:bCs/>
                      <w:spacing w:val="0"/>
                      <w:kern w:val="2"/>
                      <w:sz w:val="21"/>
                      <w:szCs w:val="21"/>
                      <w:vertAlign w:val="baseline"/>
                      <w:lang w:val="en-US" w:eastAsia="zh-CN"/>
                    </w:rPr>
                  </w:pPr>
                  <w:r>
                    <w:rPr>
                      <w:rStyle w:val="75"/>
                      <w:rFonts w:hint="eastAsia" w:ascii="Times New Roman"/>
                      <w:b w:val="0"/>
                      <w:bCs/>
                      <w:spacing w:val="0"/>
                      <w:kern w:val="2"/>
                      <w:sz w:val="21"/>
                      <w:szCs w:val="21"/>
                      <w:vertAlign w:val="baseline"/>
                      <w:lang w:val="en-US" w:eastAsia="zh-CN"/>
                    </w:rPr>
                    <w:t>新建根管医疗耗材项目</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1020" w:type="pct"/>
                  <w:tcBorders>
                    <w:tl2br w:val="nil"/>
                    <w:tr2bl w:val="nil"/>
                  </w:tcBorders>
                  <w:vAlign w:val="center"/>
                </w:tcPr>
                <w:p>
                  <w:pPr>
                    <w:pStyle w:val="29"/>
                    <w:spacing w:before="0" w:line="240" w:lineRule="auto"/>
                    <w:jc w:val="center"/>
                    <w:rPr>
                      <w:rStyle w:val="75"/>
                      <w:rFonts w:hint="eastAsia" w:ascii="Times New Roman"/>
                      <w:b w:val="0"/>
                      <w:bCs/>
                      <w:spacing w:val="0"/>
                      <w:kern w:val="2"/>
                      <w:sz w:val="21"/>
                      <w:szCs w:val="21"/>
                      <w:vertAlign w:val="baseline"/>
                      <w:lang w:val="en-US" w:eastAsia="zh-CN"/>
                    </w:rPr>
                  </w:pPr>
                  <w:r>
                    <w:rPr>
                      <w:rStyle w:val="75"/>
                      <w:rFonts w:hint="eastAsia" w:ascii="Times New Roman"/>
                      <w:b w:val="0"/>
                      <w:bCs/>
                      <w:spacing w:val="0"/>
                      <w:kern w:val="2"/>
                      <w:sz w:val="21"/>
                      <w:szCs w:val="21"/>
                      <w:vertAlign w:val="baseline"/>
                      <w:lang w:val="en-US" w:eastAsia="zh-CN"/>
                    </w:rPr>
                    <w:t>建设地点</w:t>
                  </w:r>
                </w:p>
              </w:tc>
              <w:tc>
                <w:tcPr>
                  <w:tcW w:w="3979" w:type="pct"/>
                  <w:tcBorders>
                    <w:tl2br w:val="nil"/>
                    <w:tr2bl w:val="nil"/>
                  </w:tcBorders>
                  <w:vAlign w:val="center"/>
                </w:tcPr>
                <w:p>
                  <w:pPr>
                    <w:pStyle w:val="29"/>
                    <w:spacing w:before="0" w:line="240" w:lineRule="auto"/>
                    <w:jc w:val="center"/>
                    <w:rPr>
                      <w:rStyle w:val="75"/>
                      <w:rFonts w:hint="eastAsia" w:ascii="Times New Roman"/>
                      <w:b w:val="0"/>
                      <w:bCs/>
                      <w:spacing w:val="0"/>
                      <w:kern w:val="2"/>
                      <w:sz w:val="21"/>
                      <w:szCs w:val="21"/>
                      <w:vertAlign w:val="baseline"/>
                      <w:lang w:val="en-US" w:eastAsia="zh-CN"/>
                    </w:rPr>
                  </w:pPr>
                  <w:r>
                    <w:rPr>
                      <w:rStyle w:val="75"/>
                      <w:rFonts w:hint="eastAsia" w:ascii="Times New Roman"/>
                      <w:b w:val="0"/>
                      <w:bCs/>
                      <w:spacing w:val="0"/>
                      <w:kern w:val="2"/>
                      <w:sz w:val="21"/>
                      <w:szCs w:val="21"/>
                      <w:vertAlign w:val="baseline"/>
                      <w:lang w:val="en-US" w:eastAsia="zh-CN"/>
                    </w:rPr>
                    <w:t>金坛经济开发区复兴路智谷科技园4号楼2楼西</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1020" w:type="pct"/>
                  <w:tcBorders>
                    <w:tl2br w:val="nil"/>
                    <w:tr2bl w:val="nil"/>
                  </w:tcBorders>
                  <w:vAlign w:val="center"/>
                </w:tcPr>
                <w:p>
                  <w:pPr>
                    <w:pStyle w:val="29"/>
                    <w:spacing w:before="0" w:line="240" w:lineRule="auto"/>
                    <w:jc w:val="center"/>
                    <w:rPr>
                      <w:rStyle w:val="75"/>
                      <w:rFonts w:hint="eastAsia" w:ascii="Times New Roman"/>
                      <w:b w:val="0"/>
                      <w:bCs/>
                      <w:spacing w:val="0"/>
                      <w:kern w:val="2"/>
                      <w:sz w:val="21"/>
                      <w:szCs w:val="21"/>
                      <w:vertAlign w:val="baseline"/>
                      <w:lang w:val="en-US" w:eastAsia="zh-CN"/>
                    </w:rPr>
                  </w:pPr>
                  <w:r>
                    <w:rPr>
                      <w:rStyle w:val="75"/>
                      <w:rFonts w:hint="eastAsia" w:ascii="Times New Roman"/>
                      <w:b w:val="0"/>
                      <w:bCs/>
                      <w:spacing w:val="0"/>
                      <w:kern w:val="2"/>
                      <w:sz w:val="21"/>
                      <w:szCs w:val="21"/>
                      <w:vertAlign w:val="baseline"/>
                      <w:lang w:val="en-US" w:eastAsia="zh-CN"/>
                    </w:rPr>
                    <w:t>地理坐标</w:t>
                  </w:r>
                </w:p>
              </w:tc>
              <w:tc>
                <w:tcPr>
                  <w:tcW w:w="3979" w:type="pct"/>
                  <w:tcBorders>
                    <w:tl2br w:val="nil"/>
                    <w:tr2bl w:val="nil"/>
                  </w:tcBorders>
                  <w:vAlign w:val="center"/>
                </w:tcPr>
                <w:p>
                  <w:pPr>
                    <w:pStyle w:val="29"/>
                    <w:spacing w:before="0" w:line="240" w:lineRule="auto"/>
                    <w:jc w:val="center"/>
                    <w:rPr>
                      <w:rStyle w:val="75"/>
                      <w:rFonts w:hint="eastAsia" w:ascii="Times New Roman"/>
                      <w:b w:val="0"/>
                      <w:bCs/>
                      <w:spacing w:val="0"/>
                      <w:kern w:val="2"/>
                      <w:sz w:val="21"/>
                      <w:szCs w:val="21"/>
                      <w:vertAlign w:val="baseline"/>
                      <w:lang w:val="en-US" w:eastAsia="zh-CN"/>
                    </w:rPr>
                  </w:pPr>
                  <w:r>
                    <w:rPr>
                      <w:rStyle w:val="75"/>
                      <w:rFonts w:hint="eastAsia" w:ascii="Times New Roman"/>
                      <w:b w:val="0"/>
                      <w:bCs/>
                      <w:spacing w:val="0"/>
                      <w:kern w:val="2"/>
                      <w:sz w:val="21"/>
                      <w:szCs w:val="21"/>
                      <w:vertAlign w:val="baseline"/>
                      <w:lang w:val="en-US" w:eastAsia="zh-CN"/>
                    </w:rPr>
                    <w:t>E119.633328，N31.755663</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1020" w:type="pct"/>
                  <w:tcBorders>
                    <w:tl2br w:val="nil"/>
                    <w:tr2bl w:val="nil"/>
                  </w:tcBorders>
                  <w:vAlign w:val="center"/>
                </w:tcPr>
                <w:p>
                  <w:pPr>
                    <w:pStyle w:val="29"/>
                    <w:spacing w:before="0" w:line="240" w:lineRule="auto"/>
                    <w:jc w:val="center"/>
                    <w:rPr>
                      <w:rStyle w:val="75"/>
                      <w:rFonts w:hint="eastAsia" w:ascii="Times New Roman"/>
                      <w:b w:val="0"/>
                      <w:bCs/>
                      <w:spacing w:val="0"/>
                      <w:kern w:val="2"/>
                      <w:sz w:val="21"/>
                      <w:szCs w:val="21"/>
                      <w:vertAlign w:val="baseline"/>
                      <w:lang w:val="en-US" w:eastAsia="zh-CN"/>
                    </w:rPr>
                  </w:pPr>
                  <w:r>
                    <w:rPr>
                      <w:rStyle w:val="75"/>
                      <w:rFonts w:hint="eastAsia" w:ascii="Times New Roman"/>
                      <w:b w:val="0"/>
                      <w:bCs/>
                      <w:spacing w:val="0"/>
                      <w:kern w:val="2"/>
                      <w:sz w:val="21"/>
                      <w:szCs w:val="21"/>
                      <w:vertAlign w:val="baseline"/>
                      <w:lang w:val="en-US" w:eastAsia="zh-CN"/>
                    </w:rPr>
                    <w:t>主要危险物质及分布</w:t>
                  </w:r>
                </w:p>
              </w:tc>
              <w:tc>
                <w:tcPr>
                  <w:tcW w:w="3979" w:type="pct"/>
                  <w:tcBorders>
                    <w:tl2br w:val="nil"/>
                    <w:tr2bl w:val="nil"/>
                  </w:tcBorders>
                  <w:vAlign w:val="center"/>
                </w:tcPr>
                <w:p>
                  <w:pPr>
                    <w:pStyle w:val="29"/>
                    <w:spacing w:before="0" w:line="240" w:lineRule="auto"/>
                    <w:jc w:val="center"/>
                    <w:rPr>
                      <w:rStyle w:val="75"/>
                      <w:rFonts w:hint="eastAsia" w:ascii="Times New Roman"/>
                      <w:b w:val="0"/>
                      <w:bCs/>
                      <w:spacing w:val="0"/>
                      <w:kern w:val="2"/>
                      <w:sz w:val="21"/>
                      <w:szCs w:val="21"/>
                      <w:vertAlign w:val="baseline"/>
                      <w:lang w:val="en-US" w:eastAsia="zh-CN"/>
                    </w:rPr>
                  </w:pPr>
                  <w:r>
                    <w:rPr>
                      <w:rStyle w:val="75"/>
                      <w:rFonts w:hint="eastAsia" w:ascii="Times New Roman"/>
                      <w:b w:val="0"/>
                      <w:bCs/>
                      <w:spacing w:val="0"/>
                      <w:kern w:val="2"/>
                      <w:sz w:val="21"/>
                      <w:szCs w:val="21"/>
                      <w:vertAlign w:val="baseline"/>
                      <w:lang w:val="en-US" w:eastAsia="zh-CN"/>
                    </w:rPr>
                    <w:t>切削液、润滑油以及危险废物废切削液、废润滑油；生产车间、原料仓库、危废仓库</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1020" w:type="pct"/>
                  <w:tcBorders>
                    <w:tl2br w:val="nil"/>
                    <w:tr2bl w:val="nil"/>
                  </w:tcBorders>
                  <w:vAlign w:val="center"/>
                </w:tcPr>
                <w:p>
                  <w:pPr>
                    <w:pStyle w:val="29"/>
                    <w:spacing w:before="0" w:line="240" w:lineRule="auto"/>
                    <w:jc w:val="center"/>
                    <w:rPr>
                      <w:rStyle w:val="75"/>
                      <w:rFonts w:hint="eastAsia" w:ascii="Times New Roman"/>
                      <w:b w:val="0"/>
                      <w:bCs/>
                      <w:spacing w:val="0"/>
                      <w:kern w:val="2"/>
                      <w:sz w:val="21"/>
                      <w:szCs w:val="21"/>
                      <w:vertAlign w:val="baseline"/>
                      <w:lang w:val="en-US" w:eastAsia="zh-CN"/>
                    </w:rPr>
                  </w:pPr>
                  <w:r>
                    <w:rPr>
                      <w:rFonts w:ascii="宋体" w:hAnsi="宋体" w:eastAsia="宋体" w:cs="宋体"/>
                      <w:b w:val="0"/>
                      <w:bCs/>
                      <w:sz w:val="21"/>
                      <w:szCs w:val="21"/>
                    </w:rPr>
                    <w:t>环境影响影响途径及危害后果</w:t>
                  </w:r>
                </w:p>
              </w:tc>
              <w:tc>
                <w:tcPr>
                  <w:tcW w:w="3979" w:type="pct"/>
                  <w:tcBorders>
                    <w:tl2br w:val="nil"/>
                    <w:tr2bl w:val="nil"/>
                  </w:tcBorders>
                  <w:vAlign w:val="center"/>
                </w:tcPr>
                <w:p>
                  <w:pPr>
                    <w:pStyle w:val="29"/>
                    <w:spacing w:before="0" w:line="240" w:lineRule="auto"/>
                    <w:jc w:val="center"/>
                    <w:rPr>
                      <w:rStyle w:val="75"/>
                      <w:rFonts w:hint="eastAsia" w:ascii="Times New Roman"/>
                      <w:b w:val="0"/>
                      <w:bCs/>
                      <w:spacing w:val="0"/>
                      <w:kern w:val="2"/>
                      <w:sz w:val="21"/>
                      <w:szCs w:val="21"/>
                      <w:vertAlign w:val="baseline"/>
                      <w:lang w:val="en-US" w:eastAsia="zh-CN"/>
                    </w:rPr>
                  </w:pPr>
                  <w:r>
                    <w:rPr>
                      <w:rStyle w:val="75"/>
                      <w:rFonts w:hint="eastAsia" w:ascii="Times New Roman"/>
                      <w:b w:val="0"/>
                      <w:bCs/>
                      <w:spacing w:val="0"/>
                      <w:kern w:val="2"/>
                      <w:sz w:val="21"/>
                      <w:szCs w:val="21"/>
                      <w:vertAlign w:val="baseline"/>
                      <w:lang w:val="en-US" w:eastAsia="zh-CN"/>
                    </w:rPr>
                    <w:t>因操作不当，碰撞泄漏；不慎引起火灾</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1020" w:type="pct"/>
                  <w:tcBorders>
                    <w:tl2br w:val="nil"/>
                    <w:tr2bl w:val="nil"/>
                  </w:tcBorders>
                  <w:vAlign w:val="center"/>
                </w:tcPr>
                <w:p>
                  <w:pPr>
                    <w:pStyle w:val="29"/>
                    <w:spacing w:before="0" w:line="240" w:lineRule="auto"/>
                    <w:jc w:val="center"/>
                    <w:rPr>
                      <w:rFonts w:ascii="宋体" w:hAnsi="宋体" w:eastAsia="宋体" w:cs="宋体"/>
                      <w:b w:val="0"/>
                      <w:bCs/>
                      <w:sz w:val="21"/>
                      <w:szCs w:val="21"/>
                    </w:rPr>
                  </w:pPr>
                  <w:r>
                    <w:rPr>
                      <w:rFonts w:hint="eastAsia" w:ascii="宋体" w:hAnsi="宋体" w:eastAsia="宋体" w:cs="宋体"/>
                      <w:b w:val="0"/>
                      <w:bCs/>
                      <w:sz w:val="21"/>
                      <w:szCs w:val="21"/>
                    </w:rPr>
                    <w:t>风险防范措施要求</w:t>
                  </w:r>
                </w:p>
              </w:tc>
              <w:tc>
                <w:tcPr>
                  <w:tcW w:w="3979" w:type="pct"/>
                  <w:tcBorders>
                    <w:tl2br w:val="nil"/>
                    <w:tr2bl w:val="nil"/>
                  </w:tcBorders>
                  <w:vAlign w:val="center"/>
                </w:tcPr>
                <w:p>
                  <w:pPr>
                    <w:pStyle w:val="29"/>
                    <w:spacing w:before="0" w:line="240" w:lineRule="auto"/>
                    <w:jc w:val="center"/>
                    <w:rPr>
                      <w:rStyle w:val="75"/>
                      <w:rFonts w:hint="default" w:ascii="Times New Roman"/>
                      <w:b w:val="0"/>
                      <w:bCs/>
                      <w:spacing w:val="0"/>
                      <w:kern w:val="2"/>
                      <w:sz w:val="21"/>
                      <w:szCs w:val="21"/>
                      <w:vertAlign w:val="baseline"/>
                      <w:lang w:val="en-US" w:eastAsia="zh-CN"/>
                    </w:rPr>
                  </w:pPr>
                  <w:r>
                    <w:rPr>
                      <w:rStyle w:val="75"/>
                      <w:rFonts w:hint="eastAsia" w:ascii="Times New Roman" w:hAnsi="Times New Roman"/>
                      <w:spacing w:val="0"/>
                      <w:kern w:val="2"/>
                      <w:szCs w:val="21"/>
                      <w:lang w:eastAsia="zh-CN"/>
                    </w:rPr>
                    <w:t>做好</w:t>
                  </w:r>
                  <w:r>
                    <w:rPr>
                      <w:rStyle w:val="75"/>
                      <w:rFonts w:hint="eastAsia" w:ascii="Times New Roman" w:hAnsi="Times New Roman"/>
                      <w:spacing w:val="0"/>
                      <w:kern w:val="2"/>
                      <w:szCs w:val="21"/>
                    </w:rPr>
                    <w:t>分区防渗</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5000" w:type="pct"/>
                  <w:gridSpan w:val="2"/>
                  <w:tcBorders>
                    <w:tl2br w:val="nil"/>
                    <w:tr2bl w:val="nil"/>
                  </w:tcBorders>
                  <w:vAlign w:val="center"/>
                </w:tcPr>
                <w:p>
                  <w:pPr>
                    <w:pStyle w:val="29"/>
                    <w:spacing w:before="0" w:line="240" w:lineRule="auto"/>
                    <w:jc w:val="center"/>
                    <w:rPr>
                      <w:rStyle w:val="75"/>
                      <w:rFonts w:hint="eastAsia" w:ascii="Times New Roman"/>
                      <w:b w:val="0"/>
                      <w:bCs/>
                      <w:spacing w:val="0"/>
                      <w:kern w:val="2"/>
                      <w:sz w:val="21"/>
                      <w:szCs w:val="21"/>
                      <w:vertAlign w:val="baseline"/>
                      <w:lang w:val="en-US" w:eastAsia="zh-CN"/>
                    </w:rPr>
                  </w:pPr>
                  <w:r>
                    <w:rPr>
                      <w:rStyle w:val="75"/>
                      <w:rFonts w:hint="eastAsia" w:ascii="Times New Roman"/>
                      <w:b w:val="0"/>
                      <w:bCs/>
                      <w:spacing w:val="0"/>
                      <w:kern w:val="2"/>
                      <w:sz w:val="21"/>
                      <w:szCs w:val="21"/>
                      <w:vertAlign w:val="baseline"/>
                      <w:lang w:val="en-US" w:eastAsia="zh-CN"/>
                    </w:rPr>
                    <w:t>填表说明：依据《建设项目环境风险评价技术导则》（HJ/T 169-2018）判断，本项目产生的风险物质主要是切削液、润滑油以及危险废物废切削液、废润滑油；风险类别主要为切削液、润滑油以及危险废物废切削液、废润滑油泄漏和不慎起火引起火灾。本项目根据定量 分析危险物质数量与临界量的比值（Q）Q&lt;1，建设项目评价工作等级判定结果：I，进行 简单分析。</w:t>
                  </w:r>
                </w:p>
              </w:tc>
            </w:tr>
          </w:tbl>
          <w:p>
            <w:pPr>
              <w:pStyle w:val="29"/>
              <w:spacing w:before="0" w:line="360" w:lineRule="auto"/>
              <w:ind w:firstLine="480" w:firstLineChars="200"/>
              <w:rPr>
                <w:rFonts w:ascii="Times New Roman"/>
                <w:b/>
                <w:sz w:val="24"/>
                <w:szCs w:val="24"/>
              </w:rPr>
            </w:pPr>
            <w:r>
              <w:rPr>
                <w:rStyle w:val="75"/>
                <w:rFonts w:hint="eastAsia" w:ascii="Times New Roman"/>
                <w:b/>
                <w:spacing w:val="0"/>
                <w:kern w:val="2"/>
                <w:sz w:val="24"/>
                <w:szCs w:val="24"/>
                <w:lang w:val="en-US" w:eastAsia="zh-CN"/>
              </w:rPr>
              <w:t>8</w:t>
            </w:r>
            <w:r>
              <w:rPr>
                <w:rFonts w:ascii="Times New Roman"/>
                <w:b/>
                <w:sz w:val="24"/>
                <w:szCs w:val="24"/>
              </w:rPr>
              <w:t>、环境管理与环境监测</w:t>
            </w:r>
          </w:p>
          <w:p>
            <w:pPr>
              <w:autoSpaceDE w:val="0"/>
              <w:autoSpaceDN w:val="0"/>
              <w:adjustRightInd w:val="0"/>
              <w:spacing w:line="360" w:lineRule="auto"/>
              <w:ind w:firstLine="480" w:firstLineChars="200"/>
              <w:rPr>
                <w:b/>
                <w:sz w:val="24"/>
                <w:lang w:val="zh-CN"/>
              </w:rPr>
            </w:pPr>
            <w:r>
              <w:rPr>
                <w:rFonts w:hint="eastAsia"/>
                <w:b/>
                <w:sz w:val="24"/>
                <w:lang w:val="en-US" w:eastAsia="zh-CN"/>
              </w:rPr>
              <w:t>8</w:t>
            </w:r>
            <w:r>
              <w:rPr>
                <w:rFonts w:hint="eastAsia"/>
                <w:b/>
                <w:sz w:val="24"/>
              </w:rPr>
              <w:t>.</w:t>
            </w:r>
            <w:r>
              <w:rPr>
                <w:b/>
                <w:sz w:val="24"/>
                <w:lang w:val="zh-CN"/>
              </w:rPr>
              <w:t>1环境管理内容</w:t>
            </w:r>
          </w:p>
          <w:p>
            <w:pPr>
              <w:pStyle w:val="29"/>
              <w:spacing w:before="0" w:line="360" w:lineRule="auto"/>
              <w:ind w:firstLine="512" w:firstLineChars="200"/>
              <w:rPr>
                <w:kern w:val="0"/>
                <w:sz w:val="24"/>
                <w:lang w:val="zh-CN"/>
              </w:rPr>
            </w:pPr>
            <w:r>
              <w:rPr>
                <w:rFonts w:hint="eastAsia"/>
                <w:spacing w:val="8"/>
                <w:kern w:val="24"/>
                <w:sz w:val="24"/>
                <w:szCs w:val="24"/>
              </w:rPr>
              <w:t>本项目非生态性项目，因此施工期较为简单，本次环评主要分析运行期环境管理。</w:t>
            </w:r>
          </w:p>
          <w:p>
            <w:pPr>
              <w:pStyle w:val="29"/>
              <w:spacing w:before="0" w:line="360" w:lineRule="auto"/>
              <w:ind w:firstLine="512" w:firstLineChars="200"/>
              <w:rPr>
                <w:spacing w:val="8"/>
                <w:kern w:val="24"/>
                <w:sz w:val="24"/>
                <w:szCs w:val="24"/>
              </w:rPr>
            </w:pPr>
            <w:r>
              <w:rPr>
                <w:rFonts w:hint="eastAsia"/>
                <w:spacing w:val="8"/>
                <w:kern w:val="24"/>
                <w:sz w:val="24"/>
                <w:szCs w:val="24"/>
              </w:rPr>
              <w:t>（1）环境管理机构：</w:t>
            </w:r>
          </w:p>
          <w:p>
            <w:pPr>
              <w:autoSpaceDE w:val="0"/>
              <w:autoSpaceDN w:val="0"/>
              <w:adjustRightInd w:val="0"/>
              <w:spacing w:line="360" w:lineRule="auto"/>
              <w:ind w:firstLine="480" w:firstLineChars="200"/>
              <w:rPr>
                <w:sz w:val="24"/>
                <w:lang w:val="zh-CN"/>
              </w:rPr>
            </w:pPr>
            <w:r>
              <w:rPr>
                <w:rFonts w:hint="eastAsia"/>
                <w:sz w:val="24"/>
                <w:lang w:val="zh-CN"/>
              </w:rPr>
              <w:t>为了做好生产全过程的环境保护工作，</w:t>
            </w:r>
            <w:r>
              <w:rPr>
                <w:sz w:val="24"/>
                <w:lang w:val="zh-CN"/>
              </w:rPr>
              <w:t>减轻本项目外排污染物对环境的影响，公司还将高度重视环境保护工作，设立环境保护管理科室，设专职环境监督人员1~2名，负责环境监督管理工作，同时实行定岗定员，岗位责任制，负责各生产环节的环境保护管理，保证环保设施的正常运行。</w:t>
            </w:r>
          </w:p>
          <w:p>
            <w:pPr>
              <w:autoSpaceDE w:val="0"/>
              <w:autoSpaceDN w:val="0"/>
              <w:adjustRightInd w:val="0"/>
              <w:spacing w:line="360" w:lineRule="auto"/>
              <w:ind w:firstLine="480" w:firstLineChars="200"/>
              <w:rPr>
                <w:sz w:val="24"/>
                <w:lang w:val="zh-CN"/>
              </w:rPr>
            </w:pPr>
            <w:r>
              <w:rPr>
                <w:rFonts w:hint="eastAsia"/>
                <w:sz w:val="24"/>
                <w:lang w:val="zh-CN"/>
              </w:rPr>
              <w:t>环境管理机构职责如下：</w:t>
            </w:r>
          </w:p>
          <w:p>
            <w:pPr>
              <w:autoSpaceDE w:val="0"/>
              <w:autoSpaceDN w:val="0"/>
              <w:adjustRightInd w:val="0"/>
              <w:spacing w:line="360" w:lineRule="auto"/>
              <w:ind w:firstLine="480" w:firstLineChars="200"/>
              <w:rPr>
                <w:sz w:val="24"/>
                <w:lang w:val="zh-CN"/>
              </w:rPr>
            </w:pPr>
            <w:r>
              <w:rPr>
                <w:rFonts w:hint="eastAsia" w:ascii="宋体"/>
                <w:sz w:val="24"/>
                <w:lang w:val="zh-CN"/>
              </w:rPr>
              <w:t>①</w:t>
            </w:r>
            <w:r>
              <w:rPr>
                <w:rFonts w:hint="eastAsia"/>
                <w:sz w:val="24"/>
                <w:lang w:val="zh-CN"/>
              </w:rPr>
              <w:t>保持与环境保护主管机构的密切联系，及时了解国家、地方有关环境保护的法律、法规和其他要求，及时向环境保护主管机构反映与项目有关的污染因素、存在的环境问题、采取的污染控制对策等环境保护方面的内容，听取环境保护主管机构的批示意见。</w:t>
            </w:r>
          </w:p>
          <w:p>
            <w:pPr>
              <w:autoSpaceDE w:val="0"/>
              <w:autoSpaceDN w:val="0"/>
              <w:adjustRightInd w:val="0"/>
              <w:spacing w:line="360" w:lineRule="auto"/>
              <w:ind w:firstLine="480" w:firstLineChars="200"/>
              <w:rPr>
                <w:sz w:val="24"/>
                <w:lang w:val="zh-CN"/>
              </w:rPr>
            </w:pPr>
            <w:r>
              <w:rPr>
                <w:rFonts w:hint="eastAsia" w:ascii="宋体"/>
                <w:sz w:val="24"/>
                <w:lang w:val="zh-CN"/>
              </w:rPr>
              <w:t>②</w:t>
            </w:r>
            <w:r>
              <w:rPr>
                <w:rFonts w:hint="eastAsia"/>
                <w:sz w:val="24"/>
                <w:lang w:val="zh-CN"/>
              </w:rPr>
              <w:t>及时将国家、地方环境保护有关的法律、法规和规定向单位负责人汇报，及时向本单位有关机构、人员通报，组织职工进行环境保护方面的教育、培训，提高环保意识。</w:t>
            </w:r>
          </w:p>
          <w:p>
            <w:pPr>
              <w:autoSpaceDE w:val="0"/>
              <w:autoSpaceDN w:val="0"/>
              <w:adjustRightInd w:val="0"/>
              <w:spacing w:line="360" w:lineRule="auto"/>
              <w:ind w:firstLine="480" w:firstLineChars="200"/>
              <w:rPr>
                <w:sz w:val="24"/>
                <w:lang w:val="zh-CN"/>
              </w:rPr>
            </w:pPr>
            <w:r>
              <w:rPr>
                <w:rFonts w:hint="eastAsia" w:ascii="宋体"/>
                <w:sz w:val="24"/>
                <w:lang w:val="zh-CN"/>
              </w:rPr>
              <w:t>③</w:t>
            </w:r>
            <w:r>
              <w:rPr>
                <w:rFonts w:hint="eastAsia"/>
                <w:sz w:val="24"/>
                <w:lang w:val="zh-CN"/>
              </w:rPr>
              <w:t>及时向单位负责人汇报与本项目有关的污染因素、存在的环境问题、采取的污染控制对策、实施情况等，提出改进建议。</w:t>
            </w:r>
          </w:p>
          <w:p>
            <w:pPr>
              <w:autoSpaceDE w:val="0"/>
              <w:autoSpaceDN w:val="0"/>
              <w:adjustRightInd w:val="0"/>
              <w:spacing w:line="360" w:lineRule="auto"/>
              <w:ind w:firstLine="480" w:firstLineChars="200"/>
              <w:rPr>
                <w:sz w:val="24"/>
                <w:lang w:val="zh-CN"/>
              </w:rPr>
            </w:pPr>
            <w:r>
              <w:rPr>
                <w:rFonts w:hint="eastAsia" w:ascii="宋体"/>
                <w:sz w:val="24"/>
                <w:lang w:val="zh-CN"/>
              </w:rPr>
              <w:t>④</w:t>
            </w:r>
            <w:r>
              <w:rPr>
                <w:rFonts w:hint="eastAsia"/>
                <w:sz w:val="24"/>
                <w:lang w:val="zh-CN"/>
              </w:rPr>
              <w:t>负责制定、监督实施本单位的有关环境保护管理规章制度，负责实施污染控制措施、管理污染治理措施，并进行详细的记录，做好环境统计，监测报表、污染源等基本工作，以备检查。</w:t>
            </w:r>
          </w:p>
          <w:p>
            <w:pPr>
              <w:autoSpaceDE w:val="0"/>
              <w:autoSpaceDN w:val="0"/>
              <w:adjustRightInd w:val="0"/>
              <w:spacing w:line="360" w:lineRule="auto"/>
              <w:ind w:firstLine="480" w:firstLineChars="200"/>
              <w:rPr>
                <w:sz w:val="24"/>
                <w:lang w:val="zh-CN"/>
              </w:rPr>
            </w:pPr>
            <w:r>
              <w:rPr>
                <w:rFonts w:hint="eastAsia" w:ascii="宋体"/>
                <w:sz w:val="24"/>
                <w:lang w:val="zh-CN"/>
              </w:rPr>
              <w:t>⑤</w:t>
            </w:r>
            <w:r>
              <w:rPr>
                <w:rFonts w:hint="eastAsia"/>
                <w:sz w:val="24"/>
                <w:lang w:val="zh-CN"/>
              </w:rPr>
              <w:t>负责组织突发性污染事故的应急处置和善后处理，追查事故原因及事故隐患，总结经验教训，并根据有关规章制度对事故责任人作出妥善处理。</w:t>
            </w:r>
          </w:p>
          <w:p>
            <w:pPr>
              <w:pStyle w:val="29"/>
              <w:spacing w:before="0" w:line="360" w:lineRule="auto"/>
              <w:ind w:firstLine="472" w:firstLineChars="200"/>
              <w:rPr>
                <w:kern w:val="0"/>
                <w:sz w:val="24"/>
                <w:lang w:val="zh-CN"/>
              </w:rPr>
            </w:pPr>
            <w:r>
              <w:rPr>
                <w:rFonts w:hint="eastAsia"/>
                <w:kern w:val="0"/>
                <w:sz w:val="24"/>
                <w:lang w:val="zh-CN"/>
              </w:rPr>
              <w:t>⑥负责与周边群众、企业及其他社会各界单位有关环保问题的协调工作。</w:t>
            </w:r>
          </w:p>
          <w:p>
            <w:pPr>
              <w:pStyle w:val="6"/>
              <w:numPr>
                <w:ilvl w:val="0"/>
                <w:numId w:val="0"/>
              </w:numPr>
              <w:spacing w:before="0" w:after="0" w:line="360" w:lineRule="auto"/>
              <w:ind w:left="482"/>
              <w:rPr>
                <w:sz w:val="24"/>
              </w:rPr>
            </w:pPr>
            <w:r>
              <w:rPr>
                <w:rFonts w:hint="eastAsia"/>
                <w:sz w:val="24"/>
              </w:rPr>
              <w:t>（2）环境管理制度</w:t>
            </w:r>
          </w:p>
          <w:p>
            <w:pPr>
              <w:autoSpaceDE w:val="0"/>
              <w:autoSpaceDN w:val="0"/>
              <w:adjustRightInd w:val="0"/>
              <w:spacing w:line="360" w:lineRule="auto"/>
              <w:ind w:firstLine="480" w:firstLineChars="200"/>
              <w:rPr>
                <w:sz w:val="24"/>
                <w:lang w:val="zh-CN"/>
              </w:rPr>
            </w:pPr>
            <w:r>
              <w:rPr>
                <w:rFonts w:hint="eastAsia" w:ascii="宋体"/>
                <w:sz w:val="24"/>
                <w:lang w:val="zh-CN"/>
              </w:rPr>
              <w:t>①</w:t>
            </w:r>
            <w:r>
              <w:rPr>
                <w:rFonts w:hint="eastAsia"/>
                <w:sz w:val="24"/>
                <w:lang w:val="zh-CN"/>
              </w:rPr>
              <w:t>“三同时”制度</w:t>
            </w:r>
          </w:p>
          <w:p>
            <w:pPr>
              <w:autoSpaceDE w:val="0"/>
              <w:autoSpaceDN w:val="0"/>
              <w:adjustRightInd w:val="0"/>
              <w:spacing w:line="360" w:lineRule="auto"/>
              <w:ind w:firstLine="480" w:firstLineChars="200"/>
              <w:rPr>
                <w:sz w:val="24"/>
                <w:lang w:val="zh-CN"/>
              </w:rPr>
            </w:pPr>
            <w:r>
              <w:rPr>
                <w:rFonts w:hint="eastAsia"/>
                <w:sz w:val="24"/>
                <w:lang w:val="zh-CN"/>
              </w:rPr>
              <w:t>在项目筹备、实施和建设阶段，应严格执行“三同时”，确保各三废处理等环保设施能够和生产工艺“同时设计、同时施工、同时投产使用”。</w:t>
            </w:r>
          </w:p>
          <w:p>
            <w:pPr>
              <w:autoSpaceDE w:val="0"/>
              <w:autoSpaceDN w:val="0"/>
              <w:adjustRightInd w:val="0"/>
              <w:spacing w:line="360" w:lineRule="auto"/>
              <w:ind w:firstLine="480" w:firstLineChars="200"/>
              <w:rPr>
                <w:sz w:val="24"/>
                <w:lang w:val="zh-CN"/>
              </w:rPr>
            </w:pPr>
            <w:r>
              <w:rPr>
                <w:rFonts w:hint="eastAsia" w:ascii="宋体"/>
                <w:sz w:val="24"/>
                <w:lang w:val="zh-CN"/>
              </w:rPr>
              <w:t>②</w:t>
            </w:r>
            <w:r>
              <w:rPr>
                <w:rFonts w:hint="eastAsia"/>
                <w:sz w:val="24"/>
                <w:lang w:val="zh-CN"/>
              </w:rPr>
              <w:t>报告制度</w:t>
            </w:r>
          </w:p>
          <w:p>
            <w:pPr>
              <w:autoSpaceDE w:val="0"/>
              <w:autoSpaceDN w:val="0"/>
              <w:adjustRightInd w:val="0"/>
              <w:spacing w:line="360" w:lineRule="auto"/>
              <w:ind w:firstLine="480" w:firstLineChars="200"/>
              <w:rPr>
                <w:sz w:val="24"/>
                <w:lang w:val="zh-CN"/>
              </w:rPr>
            </w:pPr>
            <w:r>
              <w:rPr>
                <w:rFonts w:hint="eastAsia"/>
                <w:sz w:val="24"/>
                <w:lang w:val="zh-CN"/>
              </w:rPr>
              <w:t>要定期向当地环保部门报告污染治理设施运行情况，污染物排放情况以及污染事故、污染纠纷等情况。</w:t>
            </w:r>
          </w:p>
          <w:p>
            <w:pPr>
              <w:autoSpaceDE w:val="0"/>
              <w:autoSpaceDN w:val="0"/>
              <w:adjustRightInd w:val="0"/>
              <w:spacing w:line="360" w:lineRule="auto"/>
              <w:ind w:firstLine="480" w:firstLineChars="200"/>
              <w:rPr>
                <w:sz w:val="24"/>
                <w:lang w:val="zh-CN"/>
              </w:rPr>
            </w:pPr>
            <w:r>
              <w:rPr>
                <w:rFonts w:hint="eastAsia"/>
                <w:sz w:val="24"/>
                <w:lang w:val="zh-CN"/>
              </w:rPr>
              <w:t>企业排污发生重大变化、污染治理设施改变或企业改、扩建等都必须向当地环保部门申报，按《建设项目环境保护管理条例》等相关文件要求实施。</w:t>
            </w:r>
          </w:p>
          <w:p>
            <w:pPr>
              <w:autoSpaceDE w:val="0"/>
              <w:autoSpaceDN w:val="0"/>
              <w:adjustRightInd w:val="0"/>
              <w:spacing w:line="360" w:lineRule="auto"/>
              <w:ind w:firstLine="480" w:firstLineChars="200"/>
              <w:rPr>
                <w:sz w:val="24"/>
                <w:lang w:val="zh-CN"/>
              </w:rPr>
            </w:pPr>
            <w:r>
              <w:rPr>
                <w:rFonts w:hint="eastAsia"/>
                <w:sz w:val="24"/>
                <w:lang w:val="zh-CN"/>
              </w:rPr>
              <w:t>③排污申报</w:t>
            </w:r>
          </w:p>
          <w:p>
            <w:pPr>
              <w:autoSpaceDE w:val="0"/>
              <w:autoSpaceDN w:val="0"/>
              <w:adjustRightInd w:val="0"/>
              <w:spacing w:line="360" w:lineRule="auto"/>
              <w:ind w:firstLine="480" w:firstLineChars="200"/>
              <w:rPr>
                <w:sz w:val="24"/>
                <w:lang w:val="zh-CN"/>
              </w:rPr>
            </w:pPr>
            <w:r>
              <w:rPr>
                <w:rFonts w:hint="eastAsia"/>
                <w:sz w:val="24"/>
                <w:lang w:val="zh-CN"/>
              </w:rPr>
              <w:t>根据《固定污染源排污许可分类管理名录》（2019年版）的要求，及时在全国排污许可证管理信息平台申报</w:t>
            </w:r>
            <w:r>
              <w:rPr>
                <w:sz w:val="24"/>
                <w:lang w:val="zh-CN"/>
              </w:rPr>
              <w:t>污染物排放情况</w:t>
            </w:r>
            <w:r>
              <w:rPr>
                <w:rFonts w:hint="eastAsia"/>
                <w:sz w:val="24"/>
                <w:lang w:val="zh-CN"/>
              </w:rPr>
              <w:t>。</w:t>
            </w:r>
          </w:p>
          <w:p>
            <w:pPr>
              <w:autoSpaceDE w:val="0"/>
              <w:autoSpaceDN w:val="0"/>
              <w:adjustRightInd w:val="0"/>
              <w:spacing w:line="360" w:lineRule="auto"/>
              <w:ind w:firstLine="480" w:firstLineChars="200"/>
              <w:rPr>
                <w:sz w:val="24"/>
                <w:lang w:val="zh-CN"/>
              </w:rPr>
            </w:pPr>
            <w:r>
              <w:rPr>
                <w:rFonts w:hint="eastAsia" w:ascii="宋体"/>
                <w:sz w:val="24"/>
                <w:lang w:val="zh-CN"/>
              </w:rPr>
              <w:t>④</w:t>
            </w:r>
            <w:r>
              <w:rPr>
                <w:rFonts w:hint="eastAsia"/>
                <w:sz w:val="24"/>
                <w:lang w:val="zh-CN"/>
              </w:rPr>
              <w:t>污染治理设施的管理制度</w:t>
            </w:r>
          </w:p>
          <w:p>
            <w:pPr>
              <w:autoSpaceDE w:val="0"/>
              <w:autoSpaceDN w:val="0"/>
              <w:adjustRightInd w:val="0"/>
              <w:spacing w:line="360" w:lineRule="auto"/>
              <w:ind w:firstLine="480" w:firstLineChars="200"/>
              <w:rPr>
                <w:sz w:val="24"/>
                <w:lang w:val="zh-CN"/>
              </w:rPr>
            </w:pPr>
            <w:r>
              <w:rPr>
                <w:rFonts w:hint="eastAsia"/>
                <w:sz w:val="24"/>
                <w:lang w:val="zh-CN"/>
              </w:rPr>
              <w:t>本项目建成后，必须确保污染处理设施长期、稳定、有效地运行，不得擅自拆除或者闲置污染处理设施，不得故意不正常使用污染处理设施。污染处理设施的管理必须与生产经营活动一起纳入企事业单位日常管理工作的范畴，落实责任人、操作人员、维修人员、运行经费、设备的备品备件、其他原辅材料，同时要明确岗位责任制、操作规程和管理台账。企业应制定并逐步完善对各类生产和消防安全事故的环保处置预案、建设环保应急处置设施。报当地环保局备案，并定期组织演练。</w:t>
            </w:r>
          </w:p>
          <w:p>
            <w:pPr>
              <w:autoSpaceDE w:val="0"/>
              <w:autoSpaceDN w:val="0"/>
              <w:adjustRightInd w:val="0"/>
              <w:spacing w:line="360" w:lineRule="auto"/>
              <w:ind w:firstLine="480" w:firstLineChars="200"/>
              <w:rPr>
                <w:sz w:val="24"/>
                <w:lang w:val="zh-CN"/>
              </w:rPr>
            </w:pPr>
            <w:r>
              <w:rPr>
                <w:rFonts w:hint="eastAsia" w:ascii="宋体"/>
                <w:sz w:val="24"/>
                <w:lang w:val="zh-CN"/>
              </w:rPr>
              <w:t>⑤</w:t>
            </w:r>
            <w:r>
              <w:rPr>
                <w:rFonts w:hint="eastAsia"/>
                <w:sz w:val="24"/>
                <w:lang w:val="zh-CN"/>
              </w:rPr>
              <w:t>环保奖惩条例</w:t>
            </w:r>
          </w:p>
          <w:p>
            <w:pPr>
              <w:autoSpaceDE w:val="0"/>
              <w:autoSpaceDN w:val="0"/>
              <w:adjustRightInd w:val="0"/>
              <w:spacing w:line="360" w:lineRule="auto"/>
              <w:ind w:firstLine="480" w:firstLineChars="200"/>
              <w:rPr>
                <w:sz w:val="24"/>
                <w:lang w:val="zh-CN"/>
              </w:rPr>
            </w:pPr>
            <w:r>
              <w:rPr>
                <w:rFonts w:hint="eastAsia"/>
                <w:sz w:val="24"/>
                <w:lang w:val="zh-CN"/>
              </w:rPr>
              <w:t>企业应加强宣传教育，提高员工的污染隐患意识和环境风险意识；制定员工参与环保技术培训的计划，提高员工技术资质水平；设立岗位实则制，制定严格的奖、罚制度。建议企业设置环境保护奖励条例，纳入人员考核体系。对爱护环保设施、节能降耗、改善环境者实行奖励；对环保观念淡薄、不按环保管理要求，造成环保设施损坏、环境污染及资源和能源浪费者予以处罚。</w:t>
            </w:r>
          </w:p>
          <w:p>
            <w:pPr>
              <w:pStyle w:val="29"/>
              <w:spacing w:before="0" w:line="360" w:lineRule="auto"/>
              <w:ind w:firstLine="472" w:firstLineChars="200"/>
              <w:rPr>
                <w:kern w:val="0"/>
                <w:sz w:val="24"/>
              </w:rPr>
            </w:pPr>
            <w:r>
              <w:rPr>
                <w:rFonts w:hint="eastAsia"/>
                <w:kern w:val="0"/>
                <w:sz w:val="24"/>
              </w:rPr>
              <w:t>⑥排污口规范化设置</w:t>
            </w:r>
          </w:p>
          <w:p>
            <w:pPr>
              <w:autoSpaceDE w:val="0"/>
              <w:autoSpaceDN w:val="0"/>
              <w:adjustRightInd w:val="0"/>
              <w:spacing w:line="360" w:lineRule="auto"/>
              <w:ind w:firstLine="480" w:firstLineChars="200"/>
              <w:rPr>
                <w:sz w:val="24"/>
                <w:lang w:val="zh-CN"/>
              </w:rPr>
            </w:pPr>
            <w:r>
              <w:rPr>
                <w:rFonts w:hint="eastAsia"/>
                <w:sz w:val="24"/>
              </w:rPr>
              <w:t>a、</w:t>
            </w:r>
            <w:r>
              <w:rPr>
                <w:sz w:val="24"/>
                <w:lang w:val="zh-CN"/>
              </w:rPr>
              <w:t>排放口附近树立图形标志牌。</w:t>
            </w:r>
          </w:p>
          <w:p>
            <w:pPr>
              <w:pStyle w:val="29"/>
              <w:spacing w:before="0" w:line="360" w:lineRule="auto"/>
              <w:ind w:firstLine="472" w:firstLineChars="200"/>
              <w:rPr>
                <w:kern w:val="0"/>
                <w:sz w:val="24"/>
                <w:lang w:val="zh-CN"/>
              </w:rPr>
            </w:pPr>
            <w:r>
              <w:rPr>
                <w:rFonts w:hint="eastAsia"/>
                <w:kern w:val="0"/>
                <w:sz w:val="24"/>
                <w:lang w:val="zh-CN"/>
              </w:rPr>
              <w:t>b、</w:t>
            </w:r>
            <w:r>
              <w:rPr>
                <w:kern w:val="0"/>
                <w:sz w:val="24"/>
                <w:lang w:val="zh-CN"/>
              </w:rPr>
              <w:t>排污口管理。建设单位应在各个排污口处树立标志牌，并如实填写《中华人民共和国规范化排污口标记登记证》，由环保部门签发。环保主管部门和建设单位可分别按以下内容建立排污口管理的专门档案：排污口性质和编号；位置；排放主要污染物种类、数量、浓度；排放去向；达标情况；治理设施运行情况及整改意见。</w:t>
            </w:r>
          </w:p>
          <w:p>
            <w:pPr>
              <w:autoSpaceDE w:val="0"/>
              <w:autoSpaceDN w:val="0"/>
              <w:adjustRightInd w:val="0"/>
              <w:spacing w:line="360" w:lineRule="auto"/>
              <w:ind w:firstLine="480" w:firstLineChars="200"/>
              <w:rPr>
                <w:sz w:val="24"/>
                <w:lang w:val="zh-CN"/>
              </w:rPr>
            </w:pPr>
            <w:r>
              <w:rPr>
                <w:rFonts w:hint="eastAsia"/>
                <w:sz w:val="24"/>
                <w:lang w:val="zh-CN"/>
              </w:rPr>
              <w:t>c、</w:t>
            </w:r>
            <w:r>
              <w:rPr>
                <w:sz w:val="24"/>
                <w:lang w:val="zh-CN"/>
              </w:rPr>
              <w:t>环境保护图形标志</w:t>
            </w:r>
          </w:p>
          <w:p>
            <w:pPr>
              <w:pStyle w:val="29"/>
              <w:spacing w:before="0" w:line="360" w:lineRule="auto"/>
              <w:ind w:firstLine="472" w:firstLineChars="200"/>
              <w:rPr>
                <w:rFonts w:ascii="Times New Roman"/>
                <w:kern w:val="0"/>
                <w:sz w:val="24"/>
                <w:lang w:val="zh-CN"/>
              </w:rPr>
            </w:pPr>
            <w:r>
              <w:rPr>
                <w:rFonts w:ascii="Times New Roman"/>
                <w:kern w:val="0"/>
                <w:sz w:val="24"/>
                <w:lang w:val="zh-CN"/>
              </w:rPr>
              <w:t>在厂区的废水排放口、固体废物贮存处置场应设置环境保护图形标志，图形符号分为提示图形和警告图形符号两种，分别按GB15562.1-1995、GB15562.2-1995执行。环境保护图形符号见表</w:t>
            </w:r>
            <w:r>
              <w:rPr>
                <w:rFonts w:hint="eastAsia" w:ascii="Times New Roman"/>
                <w:kern w:val="0"/>
                <w:sz w:val="24"/>
              </w:rPr>
              <w:t>7-</w:t>
            </w:r>
            <w:r>
              <w:rPr>
                <w:rFonts w:hint="eastAsia" w:ascii="Times New Roman"/>
                <w:kern w:val="0"/>
                <w:sz w:val="24"/>
                <w:lang w:val="en-US" w:eastAsia="zh-CN"/>
              </w:rPr>
              <w:t>31</w:t>
            </w:r>
            <w:r>
              <w:rPr>
                <w:rFonts w:ascii="Times New Roman"/>
                <w:kern w:val="0"/>
                <w:sz w:val="24"/>
                <w:lang w:val="zh-CN"/>
              </w:rPr>
              <w:t>，环境保护图形标志的形状及颜色见表</w:t>
            </w:r>
            <w:r>
              <w:rPr>
                <w:rFonts w:hint="eastAsia" w:ascii="Times New Roman"/>
                <w:kern w:val="0"/>
                <w:sz w:val="24"/>
                <w:lang w:val="zh-CN"/>
              </w:rPr>
              <w:t>7-</w:t>
            </w:r>
            <w:r>
              <w:rPr>
                <w:rFonts w:hint="eastAsia" w:ascii="Times New Roman"/>
                <w:kern w:val="0"/>
                <w:sz w:val="24"/>
              </w:rPr>
              <w:t>3</w:t>
            </w:r>
            <w:r>
              <w:rPr>
                <w:rFonts w:hint="eastAsia" w:ascii="Times New Roman"/>
                <w:kern w:val="0"/>
                <w:sz w:val="24"/>
                <w:lang w:val="en-US" w:eastAsia="zh-CN"/>
              </w:rPr>
              <w:t>2</w:t>
            </w:r>
            <w:r>
              <w:rPr>
                <w:rFonts w:ascii="Times New Roman"/>
                <w:kern w:val="0"/>
                <w:sz w:val="24"/>
                <w:lang w:val="zh-CN"/>
              </w:rPr>
              <w:t>。</w:t>
            </w:r>
          </w:p>
          <w:p>
            <w:pPr>
              <w:snapToGrid w:val="0"/>
              <w:jc w:val="center"/>
              <w:rPr>
                <w:b/>
                <w:szCs w:val="21"/>
              </w:rPr>
            </w:pPr>
            <w:r>
              <w:rPr>
                <w:b/>
                <w:szCs w:val="21"/>
              </w:rPr>
              <w:t>表7-</w:t>
            </w:r>
            <w:r>
              <w:rPr>
                <w:rFonts w:hint="eastAsia"/>
                <w:b/>
                <w:szCs w:val="21"/>
                <w:lang w:val="en-US" w:eastAsia="zh-CN"/>
              </w:rPr>
              <w:t>31</w:t>
            </w:r>
            <w:r>
              <w:rPr>
                <w:b/>
                <w:szCs w:val="21"/>
              </w:rPr>
              <w:t xml:space="preserve"> 环境保护图形符号一览表</w:t>
            </w:r>
          </w:p>
          <w:tbl>
            <w:tblPr>
              <w:tblStyle w:val="56"/>
              <w:tblW w:w="8312" w:type="dxa"/>
              <w:jc w:val="center"/>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797"/>
              <w:gridCol w:w="1657"/>
              <w:gridCol w:w="1800"/>
              <w:gridCol w:w="1275"/>
              <w:gridCol w:w="2783"/>
            </w:tblGrid>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97" w:type="dxa"/>
                  <w:vAlign w:val="center"/>
                </w:tcPr>
                <w:p>
                  <w:pPr>
                    <w:jc w:val="center"/>
                    <w:rPr>
                      <w:b/>
                      <w:szCs w:val="21"/>
                    </w:rPr>
                  </w:pPr>
                  <w:r>
                    <w:rPr>
                      <w:b/>
                      <w:szCs w:val="21"/>
                    </w:rPr>
                    <w:t>序号</w:t>
                  </w:r>
                </w:p>
              </w:tc>
              <w:tc>
                <w:tcPr>
                  <w:tcW w:w="1657" w:type="dxa"/>
                  <w:vAlign w:val="center"/>
                </w:tcPr>
                <w:p>
                  <w:pPr>
                    <w:jc w:val="center"/>
                    <w:rPr>
                      <w:b/>
                      <w:szCs w:val="21"/>
                    </w:rPr>
                  </w:pPr>
                  <w:r>
                    <w:rPr>
                      <w:b/>
                      <w:szCs w:val="21"/>
                    </w:rPr>
                    <w:t>提示图形符号</w:t>
                  </w:r>
                </w:p>
              </w:tc>
              <w:tc>
                <w:tcPr>
                  <w:tcW w:w="1800" w:type="dxa"/>
                  <w:vAlign w:val="center"/>
                </w:tcPr>
                <w:p>
                  <w:pPr>
                    <w:jc w:val="center"/>
                    <w:rPr>
                      <w:b/>
                      <w:szCs w:val="21"/>
                    </w:rPr>
                  </w:pPr>
                  <w:r>
                    <w:rPr>
                      <w:b/>
                      <w:szCs w:val="21"/>
                    </w:rPr>
                    <w:t>警告图形符号</w:t>
                  </w:r>
                </w:p>
              </w:tc>
              <w:tc>
                <w:tcPr>
                  <w:tcW w:w="1275" w:type="dxa"/>
                  <w:vAlign w:val="center"/>
                </w:tcPr>
                <w:p>
                  <w:pPr>
                    <w:jc w:val="center"/>
                    <w:rPr>
                      <w:b/>
                      <w:szCs w:val="21"/>
                    </w:rPr>
                  </w:pPr>
                  <w:r>
                    <w:rPr>
                      <w:b/>
                      <w:szCs w:val="21"/>
                    </w:rPr>
                    <w:t>名 称</w:t>
                  </w:r>
                </w:p>
              </w:tc>
              <w:tc>
                <w:tcPr>
                  <w:tcW w:w="2783" w:type="dxa"/>
                  <w:vAlign w:val="center"/>
                </w:tcPr>
                <w:p>
                  <w:pPr>
                    <w:jc w:val="center"/>
                    <w:rPr>
                      <w:b/>
                      <w:szCs w:val="21"/>
                    </w:rPr>
                  </w:pPr>
                  <w:r>
                    <w:rPr>
                      <w:b/>
                      <w:szCs w:val="21"/>
                    </w:rPr>
                    <w:t>功 能</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1134" w:hRule="atLeast"/>
                <w:jc w:val="center"/>
              </w:trPr>
              <w:tc>
                <w:tcPr>
                  <w:tcW w:w="797" w:type="dxa"/>
                  <w:vAlign w:val="center"/>
                </w:tcPr>
                <w:p>
                  <w:pPr>
                    <w:jc w:val="center"/>
                    <w:rPr>
                      <w:szCs w:val="21"/>
                    </w:rPr>
                  </w:pPr>
                  <w:r>
                    <w:rPr>
                      <w:szCs w:val="21"/>
                    </w:rPr>
                    <w:t>1</w:t>
                  </w:r>
                </w:p>
              </w:tc>
              <w:tc>
                <w:tcPr>
                  <w:tcW w:w="1657" w:type="dxa"/>
                  <w:vAlign w:val="center"/>
                </w:tcPr>
                <w:p>
                  <w:pPr>
                    <w:jc w:val="center"/>
                    <w:rPr>
                      <w:szCs w:val="21"/>
                    </w:rPr>
                  </w:pPr>
                  <w:r>
                    <w:rPr>
                      <w:szCs w:val="21"/>
                    </w:rPr>
                    <w:drawing>
                      <wp:inline distT="0" distB="0" distL="114300" distR="114300">
                        <wp:extent cx="694690" cy="703580"/>
                        <wp:effectExtent l="0" t="0" r="10160" b="1270"/>
                        <wp:docPr id="6" name="图片 12" descr="37126548215565050325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12" descr="3712654821556505032553"/>
                                <pic:cNvPicPr>
                                  <a:picLocks noChangeAspect="1"/>
                                </pic:cNvPicPr>
                              </pic:nvPicPr>
                              <pic:blipFill>
                                <a:blip r:embed="rId30"/>
                                <a:stretch>
                                  <a:fillRect/>
                                </a:stretch>
                              </pic:blipFill>
                              <pic:spPr>
                                <a:xfrm>
                                  <a:off x="0" y="0"/>
                                  <a:ext cx="694690" cy="703580"/>
                                </a:xfrm>
                                <a:prstGeom prst="rect">
                                  <a:avLst/>
                                </a:prstGeom>
                                <a:noFill/>
                                <a:ln>
                                  <a:noFill/>
                                </a:ln>
                              </pic:spPr>
                            </pic:pic>
                          </a:graphicData>
                        </a:graphic>
                      </wp:inline>
                    </w:drawing>
                  </w:r>
                </w:p>
              </w:tc>
              <w:tc>
                <w:tcPr>
                  <w:tcW w:w="1800" w:type="dxa"/>
                  <w:vAlign w:val="center"/>
                </w:tcPr>
                <w:p>
                  <w:pPr>
                    <w:jc w:val="center"/>
                    <w:rPr>
                      <w:szCs w:val="21"/>
                    </w:rPr>
                  </w:pPr>
                  <w:r>
                    <w:rPr>
                      <w:szCs w:val="21"/>
                    </w:rPr>
                    <w:drawing>
                      <wp:inline distT="0" distB="0" distL="114300" distR="114300">
                        <wp:extent cx="648335" cy="657860"/>
                        <wp:effectExtent l="0" t="0" r="18415" b="8890"/>
                        <wp:docPr id="7" name="图片 13" descr="9037236415565050325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13" descr="903723641556505032555"/>
                                <pic:cNvPicPr>
                                  <a:picLocks noChangeAspect="1"/>
                                </pic:cNvPicPr>
                              </pic:nvPicPr>
                              <pic:blipFill>
                                <a:blip r:embed="rId31"/>
                                <a:stretch>
                                  <a:fillRect/>
                                </a:stretch>
                              </pic:blipFill>
                              <pic:spPr>
                                <a:xfrm>
                                  <a:off x="0" y="0"/>
                                  <a:ext cx="648335" cy="657860"/>
                                </a:xfrm>
                                <a:prstGeom prst="rect">
                                  <a:avLst/>
                                </a:prstGeom>
                                <a:noFill/>
                                <a:ln>
                                  <a:noFill/>
                                </a:ln>
                              </pic:spPr>
                            </pic:pic>
                          </a:graphicData>
                        </a:graphic>
                      </wp:inline>
                    </w:drawing>
                  </w:r>
                </w:p>
              </w:tc>
              <w:tc>
                <w:tcPr>
                  <w:tcW w:w="1275" w:type="dxa"/>
                  <w:vAlign w:val="center"/>
                </w:tcPr>
                <w:p>
                  <w:pPr>
                    <w:pStyle w:val="50"/>
                    <w:spacing w:before="0" w:line="240" w:lineRule="auto"/>
                    <w:ind w:firstLine="0"/>
                    <w:jc w:val="center"/>
                    <w:rPr>
                      <w:rFonts w:ascii="Times New Roman" w:hAnsi="Times New Roman"/>
                      <w:color w:val="auto"/>
                      <w:spacing w:val="0"/>
                      <w:sz w:val="21"/>
                      <w:szCs w:val="21"/>
                    </w:rPr>
                  </w:pPr>
                  <w:r>
                    <w:rPr>
                      <w:rFonts w:ascii="Times New Roman" w:hAnsi="Times New Roman"/>
                      <w:color w:val="auto"/>
                      <w:spacing w:val="0"/>
                      <w:sz w:val="21"/>
                      <w:szCs w:val="21"/>
                    </w:rPr>
                    <w:t>废水排放口</w:t>
                  </w:r>
                </w:p>
              </w:tc>
              <w:tc>
                <w:tcPr>
                  <w:tcW w:w="2783" w:type="dxa"/>
                  <w:vAlign w:val="center"/>
                </w:tcPr>
                <w:p>
                  <w:pPr>
                    <w:pStyle w:val="50"/>
                    <w:spacing w:before="0" w:line="240" w:lineRule="auto"/>
                    <w:ind w:firstLine="0"/>
                    <w:jc w:val="center"/>
                    <w:rPr>
                      <w:rFonts w:ascii="Times New Roman" w:hAnsi="Times New Roman"/>
                      <w:color w:val="auto"/>
                      <w:spacing w:val="0"/>
                      <w:sz w:val="21"/>
                      <w:szCs w:val="21"/>
                    </w:rPr>
                  </w:pPr>
                  <w:r>
                    <w:rPr>
                      <w:rFonts w:ascii="Times New Roman" w:hAnsi="Times New Roman"/>
                      <w:color w:val="auto"/>
                      <w:spacing w:val="0"/>
                      <w:sz w:val="21"/>
                      <w:szCs w:val="21"/>
                    </w:rPr>
                    <w:t>表示废水</w:t>
                  </w:r>
                  <w:r>
                    <w:rPr>
                      <w:rFonts w:hint="eastAsia" w:ascii="Times New Roman" w:hAnsi="Times New Roman"/>
                      <w:color w:val="auto"/>
                      <w:spacing w:val="0"/>
                      <w:sz w:val="21"/>
                      <w:szCs w:val="21"/>
                    </w:rPr>
                    <w:t>排入园区化粪池</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1134" w:hRule="atLeast"/>
                <w:jc w:val="center"/>
              </w:trPr>
              <w:tc>
                <w:tcPr>
                  <w:tcW w:w="797" w:type="dxa"/>
                  <w:vAlign w:val="center"/>
                </w:tcPr>
                <w:p>
                  <w:pPr>
                    <w:jc w:val="center"/>
                    <w:rPr>
                      <w:szCs w:val="21"/>
                    </w:rPr>
                  </w:pPr>
                  <w:r>
                    <w:rPr>
                      <w:rFonts w:hint="eastAsia"/>
                      <w:szCs w:val="21"/>
                    </w:rPr>
                    <w:t>2</w:t>
                  </w:r>
                </w:p>
              </w:tc>
              <w:tc>
                <w:tcPr>
                  <w:tcW w:w="1657" w:type="dxa"/>
                  <w:vAlign w:val="center"/>
                </w:tcPr>
                <w:p>
                  <w:pPr>
                    <w:jc w:val="center"/>
                    <w:rPr>
                      <w:szCs w:val="21"/>
                    </w:rPr>
                  </w:pPr>
                  <w:r>
                    <w:rPr>
                      <w:szCs w:val="21"/>
                    </w:rPr>
                    <w:drawing>
                      <wp:inline distT="0" distB="0" distL="114300" distR="114300">
                        <wp:extent cx="708025" cy="622300"/>
                        <wp:effectExtent l="0" t="0" r="15875" b="6350"/>
                        <wp:docPr id="14" name="图片 14" descr="9035689531556505032557"/>
                        <wp:cNvGraphicFramePr/>
                        <a:graphic xmlns:a="http://schemas.openxmlformats.org/drawingml/2006/main">
                          <a:graphicData uri="http://schemas.openxmlformats.org/drawingml/2006/picture">
                            <pic:pic xmlns:pic="http://schemas.openxmlformats.org/drawingml/2006/picture">
                              <pic:nvPicPr>
                                <pic:cNvPr id="14" name="图片 14" descr="9035689531556505032557"/>
                                <pic:cNvPicPr/>
                              </pic:nvPicPr>
                              <pic:blipFill>
                                <a:blip r:embed="rId32" cstate="print"/>
                                <a:stretch>
                                  <a:fillRect/>
                                </a:stretch>
                              </pic:blipFill>
                              <pic:spPr>
                                <a:xfrm>
                                  <a:off x="0" y="0"/>
                                  <a:ext cx="708025" cy="622300"/>
                                </a:xfrm>
                                <a:prstGeom prst="rect">
                                  <a:avLst/>
                                </a:prstGeom>
                                <a:noFill/>
                                <a:ln>
                                  <a:noFill/>
                                </a:ln>
                              </pic:spPr>
                            </pic:pic>
                          </a:graphicData>
                        </a:graphic>
                      </wp:inline>
                    </w:drawing>
                  </w:r>
                </w:p>
              </w:tc>
              <w:tc>
                <w:tcPr>
                  <w:tcW w:w="1800" w:type="dxa"/>
                  <w:vAlign w:val="center"/>
                </w:tcPr>
                <w:p>
                  <w:pPr>
                    <w:jc w:val="center"/>
                    <w:rPr>
                      <w:szCs w:val="21"/>
                    </w:rPr>
                  </w:pPr>
                  <w:r>
                    <w:rPr>
                      <w:szCs w:val="21"/>
                    </w:rPr>
                    <w:drawing>
                      <wp:inline distT="0" distB="0" distL="114300" distR="114300">
                        <wp:extent cx="666750" cy="606425"/>
                        <wp:effectExtent l="0" t="0" r="0" b="3175"/>
                        <wp:docPr id="15" name="图片 15" descr="4721478651556505032558"/>
                        <wp:cNvGraphicFramePr/>
                        <a:graphic xmlns:a="http://schemas.openxmlformats.org/drawingml/2006/main">
                          <a:graphicData uri="http://schemas.openxmlformats.org/drawingml/2006/picture">
                            <pic:pic xmlns:pic="http://schemas.openxmlformats.org/drawingml/2006/picture">
                              <pic:nvPicPr>
                                <pic:cNvPr id="15" name="图片 15" descr="4721478651556505032558"/>
                                <pic:cNvPicPr/>
                              </pic:nvPicPr>
                              <pic:blipFill>
                                <a:blip r:embed="rId33" cstate="print"/>
                                <a:stretch>
                                  <a:fillRect/>
                                </a:stretch>
                              </pic:blipFill>
                              <pic:spPr>
                                <a:xfrm>
                                  <a:off x="0" y="0"/>
                                  <a:ext cx="666750" cy="606425"/>
                                </a:xfrm>
                                <a:prstGeom prst="rect">
                                  <a:avLst/>
                                </a:prstGeom>
                                <a:noFill/>
                                <a:ln>
                                  <a:noFill/>
                                </a:ln>
                              </pic:spPr>
                            </pic:pic>
                          </a:graphicData>
                        </a:graphic>
                      </wp:inline>
                    </w:drawing>
                  </w:r>
                </w:p>
              </w:tc>
              <w:tc>
                <w:tcPr>
                  <w:tcW w:w="1275" w:type="dxa"/>
                  <w:vAlign w:val="center"/>
                </w:tcPr>
                <w:p>
                  <w:pPr>
                    <w:pStyle w:val="50"/>
                    <w:spacing w:before="0" w:line="240" w:lineRule="auto"/>
                    <w:ind w:firstLine="0"/>
                    <w:jc w:val="center"/>
                    <w:rPr>
                      <w:rFonts w:ascii="Times New Roman" w:hAnsi="Times New Roman"/>
                      <w:color w:val="auto"/>
                      <w:spacing w:val="0"/>
                      <w:sz w:val="21"/>
                      <w:szCs w:val="21"/>
                    </w:rPr>
                  </w:pPr>
                  <w:r>
                    <w:rPr>
                      <w:rFonts w:ascii="Times New Roman" w:hAnsi="Times New Roman"/>
                      <w:color w:val="auto"/>
                      <w:spacing w:val="0"/>
                      <w:sz w:val="21"/>
                      <w:szCs w:val="21"/>
                    </w:rPr>
                    <w:t>废气排放口</w:t>
                  </w:r>
                </w:p>
              </w:tc>
              <w:tc>
                <w:tcPr>
                  <w:tcW w:w="2783" w:type="dxa"/>
                  <w:vAlign w:val="center"/>
                </w:tcPr>
                <w:p>
                  <w:pPr>
                    <w:pStyle w:val="50"/>
                    <w:spacing w:before="0" w:line="240" w:lineRule="auto"/>
                    <w:ind w:firstLine="0"/>
                    <w:jc w:val="center"/>
                    <w:rPr>
                      <w:rFonts w:ascii="Times New Roman" w:hAnsi="Times New Roman"/>
                      <w:color w:val="auto"/>
                      <w:spacing w:val="0"/>
                      <w:sz w:val="21"/>
                      <w:szCs w:val="21"/>
                    </w:rPr>
                  </w:pPr>
                  <w:r>
                    <w:rPr>
                      <w:rFonts w:ascii="Times New Roman" w:hAnsi="Times New Roman"/>
                      <w:color w:val="auto"/>
                      <w:spacing w:val="0"/>
                      <w:sz w:val="21"/>
                      <w:szCs w:val="21"/>
                    </w:rPr>
                    <w:t>表示废气向大气环境排放</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1134" w:hRule="atLeast"/>
                <w:jc w:val="center"/>
              </w:trPr>
              <w:tc>
                <w:tcPr>
                  <w:tcW w:w="797" w:type="dxa"/>
                  <w:vAlign w:val="center"/>
                </w:tcPr>
                <w:p>
                  <w:pPr>
                    <w:jc w:val="center"/>
                    <w:rPr>
                      <w:szCs w:val="21"/>
                    </w:rPr>
                  </w:pPr>
                  <w:r>
                    <w:rPr>
                      <w:szCs w:val="21"/>
                    </w:rPr>
                    <w:t>3</w:t>
                  </w:r>
                </w:p>
              </w:tc>
              <w:tc>
                <w:tcPr>
                  <w:tcW w:w="1657" w:type="dxa"/>
                  <w:vAlign w:val="center"/>
                </w:tcPr>
                <w:p>
                  <w:pPr>
                    <w:jc w:val="center"/>
                    <w:rPr>
                      <w:szCs w:val="21"/>
                    </w:rPr>
                  </w:pPr>
                  <w:r>
                    <w:rPr>
                      <w:szCs w:val="21"/>
                    </w:rPr>
                    <w:drawing>
                      <wp:inline distT="0" distB="0" distL="114300" distR="114300">
                        <wp:extent cx="716280" cy="614680"/>
                        <wp:effectExtent l="0" t="0" r="7620" b="13970"/>
                        <wp:docPr id="10" name="图片 16" descr="2436057031556505032560"/>
                        <wp:cNvGraphicFramePr/>
                        <a:graphic xmlns:a="http://schemas.openxmlformats.org/drawingml/2006/main">
                          <a:graphicData uri="http://schemas.openxmlformats.org/drawingml/2006/picture">
                            <pic:pic xmlns:pic="http://schemas.openxmlformats.org/drawingml/2006/picture">
                              <pic:nvPicPr>
                                <pic:cNvPr id="10" name="图片 16" descr="2436057031556505032560"/>
                                <pic:cNvPicPr/>
                              </pic:nvPicPr>
                              <pic:blipFill>
                                <a:blip r:embed="rId34"/>
                                <a:stretch>
                                  <a:fillRect/>
                                </a:stretch>
                              </pic:blipFill>
                              <pic:spPr>
                                <a:xfrm>
                                  <a:off x="0" y="0"/>
                                  <a:ext cx="716280" cy="614680"/>
                                </a:xfrm>
                                <a:prstGeom prst="rect">
                                  <a:avLst/>
                                </a:prstGeom>
                                <a:noFill/>
                                <a:ln>
                                  <a:noFill/>
                                </a:ln>
                              </pic:spPr>
                            </pic:pic>
                          </a:graphicData>
                        </a:graphic>
                      </wp:inline>
                    </w:drawing>
                  </w:r>
                </w:p>
              </w:tc>
              <w:tc>
                <w:tcPr>
                  <w:tcW w:w="1800" w:type="dxa"/>
                  <w:vAlign w:val="center"/>
                </w:tcPr>
                <w:p>
                  <w:pPr>
                    <w:jc w:val="center"/>
                    <w:rPr>
                      <w:szCs w:val="21"/>
                    </w:rPr>
                  </w:pPr>
                  <w:r>
                    <w:rPr>
                      <w:szCs w:val="21"/>
                    </w:rPr>
                    <w:drawing>
                      <wp:inline distT="0" distB="0" distL="114300" distR="114300">
                        <wp:extent cx="666750" cy="600075"/>
                        <wp:effectExtent l="0" t="0" r="0" b="9525"/>
                        <wp:docPr id="11" name="图片 17" descr="4264834721556505032561"/>
                        <wp:cNvGraphicFramePr/>
                        <a:graphic xmlns:a="http://schemas.openxmlformats.org/drawingml/2006/main">
                          <a:graphicData uri="http://schemas.openxmlformats.org/drawingml/2006/picture">
                            <pic:pic xmlns:pic="http://schemas.openxmlformats.org/drawingml/2006/picture">
                              <pic:nvPicPr>
                                <pic:cNvPr id="11" name="图片 17" descr="4264834721556505032561"/>
                                <pic:cNvPicPr/>
                              </pic:nvPicPr>
                              <pic:blipFill>
                                <a:blip r:embed="rId35"/>
                                <a:stretch>
                                  <a:fillRect/>
                                </a:stretch>
                              </pic:blipFill>
                              <pic:spPr>
                                <a:xfrm>
                                  <a:off x="0" y="0"/>
                                  <a:ext cx="666750" cy="600075"/>
                                </a:xfrm>
                                <a:prstGeom prst="rect">
                                  <a:avLst/>
                                </a:prstGeom>
                                <a:noFill/>
                                <a:ln>
                                  <a:noFill/>
                                </a:ln>
                              </pic:spPr>
                            </pic:pic>
                          </a:graphicData>
                        </a:graphic>
                      </wp:inline>
                    </w:drawing>
                  </w:r>
                </w:p>
              </w:tc>
              <w:tc>
                <w:tcPr>
                  <w:tcW w:w="1275" w:type="dxa"/>
                  <w:vAlign w:val="center"/>
                </w:tcPr>
                <w:p>
                  <w:pPr>
                    <w:pStyle w:val="50"/>
                    <w:spacing w:before="0" w:line="240" w:lineRule="auto"/>
                    <w:ind w:firstLine="0"/>
                    <w:jc w:val="center"/>
                    <w:rPr>
                      <w:rFonts w:ascii="Times New Roman" w:hAnsi="Times New Roman"/>
                      <w:color w:val="auto"/>
                      <w:spacing w:val="0"/>
                      <w:sz w:val="21"/>
                      <w:szCs w:val="21"/>
                    </w:rPr>
                  </w:pPr>
                  <w:r>
                    <w:rPr>
                      <w:rFonts w:ascii="Times New Roman" w:hAnsi="Times New Roman"/>
                      <w:color w:val="auto"/>
                      <w:spacing w:val="0"/>
                      <w:sz w:val="21"/>
                      <w:szCs w:val="21"/>
                    </w:rPr>
                    <w:t>噪声排放源</w:t>
                  </w:r>
                </w:p>
              </w:tc>
              <w:tc>
                <w:tcPr>
                  <w:tcW w:w="2783" w:type="dxa"/>
                  <w:vAlign w:val="center"/>
                </w:tcPr>
                <w:p>
                  <w:pPr>
                    <w:pStyle w:val="50"/>
                    <w:spacing w:before="0" w:line="240" w:lineRule="auto"/>
                    <w:ind w:firstLine="0"/>
                    <w:rPr>
                      <w:rFonts w:ascii="Times New Roman" w:hAnsi="Times New Roman"/>
                      <w:color w:val="auto"/>
                      <w:spacing w:val="0"/>
                      <w:sz w:val="21"/>
                      <w:szCs w:val="21"/>
                    </w:rPr>
                  </w:pPr>
                  <w:r>
                    <w:rPr>
                      <w:rFonts w:ascii="Times New Roman" w:hAnsi="Times New Roman"/>
                      <w:color w:val="auto"/>
                      <w:spacing w:val="0"/>
                      <w:sz w:val="21"/>
                      <w:szCs w:val="21"/>
                    </w:rPr>
                    <w:t>表示噪声向外环境排放</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1134" w:hRule="atLeast"/>
                <w:jc w:val="center"/>
              </w:trPr>
              <w:tc>
                <w:tcPr>
                  <w:tcW w:w="797" w:type="dxa"/>
                  <w:vAlign w:val="center"/>
                </w:tcPr>
                <w:p>
                  <w:pPr>
                    <w:jc w:val="center"/>
                    <w:rPr>
                      <w:szCs w:val="21"/>
                    </w:rPr>
                  </w:pPr>
                  <w:r>
                    <w:rPr>
                      <w:rFonts w:hint="eastAsia"/>
                      <w:szCs w:val="21"/>
                    </w:rPr>
                    <w:t>4</w:t>
                  </w:r>
                </w:p>
              </w:tc>
              <w:tc>
                <w:tcPr>
                  <w:tcW w:w="1657" w:type="dxa"/>
                  <w:vAlign w:val="center"/>
                </w:tcPr>
                <w:p>
                  <w:pPr>
                    <w:jc w:val="center"/>
                    <w:rPr>
                      <w:szCs w:val="21"/>
                    </w:rPr>
                  </w:pPr>
                  <w:r>
                    <w:rPr>
                      <w:szCs w:val="21"/>
                    </w:rPr>
                    <w:drawing>
                      <wp:inline distT="0" distB="0" distL="114300" distR="114300">
                        <wp:extent cx="762635" cy="699135"/>
                        <wp:effectExtent l="0" t="0" r="18415" b="5715"/>
                        <wp:docPr id="12" name="图片 18" descr="8445833261556505032563"/>
                        <wp:cNvGraphicFramePr/>
                        <a:graphic xmlns:a="http://schemas.openxmlformats.org/drawingml/2006/main">
                          <a:graphicData uri="http://schemas.openxmlformats.org/drawingml/2006/picture">
                            <pic:pic xmlns:pic="http://schemas.openxmlformats.org/drawingml/2006/picture">
                              <pic:nvPicPr>
                                <pic:cNvPr id="12" name="图片 18" descr="8445833261556505032563"/>
                                <pic:cNvPicPr/>
                              </pic:nvPicPr>
                              <pic:blipFill>
                                <a:blip r:embed="rId36"/>
                                <a:stretch>
                                  <a:fillRect/>
                                </a:stretch>
                              </pic:blipFill>
                              <pic:spPr>
                                <a:xfrm>
                                  <a:off x="0" y="0"/>
                                  <a:ext cx="762635" cy="699135"/>
                                </a:xfrm>
                                <a:prstGeom prst="rect">
                                  <a:avLst/>
                                </a:prstGeom>
                                <a:noFill/>
                                <a:ln>
                                  <a:noFill/>
                                </a:ln>
                              </pic:spPr>
                            </pic:pic>
                          </a:graphicData>
                        </a:graphic>
                      </wp:inline>
                    </w:drawing>
                  </w:r>
                </w:p>
              </w:tc>
              <w:tc>
                <w:tcPr>
                  <w:tcW w:w="1800" w:type="dxa"/>
                  <w:vAlign w:val="center"/>
                </w:tcPr>
                <w:p>
                  <w:pPr>
                    <w:jc w:val="center"/>
                    <w:rPr>
                      <w:szCs w:val="21"/>
                    </w:rPr>
                  </w:pPr>
                  <w:r>
                    <w:rPr>
                      <w:szCs w:val="21"/>
                    </w:rPr>
                    <w:drawing>
                      <wp:inline distT="0" distB="0" distL="114300" distR="114300">
                        <wp:extent cx="666115" cy="589280"/>
                        <wp:effectExtent l="0" t="0" r="635" b="1270"/>
                        <wp:docPr id="13" name="图片 19" descr="5147436171556505032565"/>
                        <wp:cNvGraphicFramePr/>
                        <a:graphic xmlns:a="http://schemas.openxmlformats.org/drawingml/2006/main">
                          <a:graphicData uri="http://schemas.openxmlformats.org/drawingml/2006/picture">
                            <pic:pic xmlns:pic="http://schemas.openxmlformats.org/drawingml/2006/picture">
                              <pic:nvPicPr>
                                <pic:cNvPr id="13" name="图片 19" descr="5147436171556505032565"/>
                                <pic:cNvPicPr/>
                              </pic:nvPicPr>
                              <pic:blipFill>
                                <a:blip r:embed="rId37"/>
                                <a:stretch>
                                  <a:fillRect/>
                                </a:stretch>
                              </pic:blipFill>
                              <pic:spPr>
                                <a:xfrm>
                                  <a:off x="0" y="0"/>
                                  <a:ext cx="666115" cy="589280"/>
                                </a:xfrm>
                                <a:prstGeom prst="rect">
                                  <a:avLst/>
                                </a:prstGeom>
                                <a:noFill/>
                                <a:ln>
                                  <a:noFill/>
                                </a:ln>
                              </pic:spPr>
                            </pic:pic>
                          </a:graphicData>
                        </a:graphic>
                      </wp:inline>
                    </w:drawing>
                  </w:r>
                </w:p>
              </w:tc>
              <w:tc>
                <w:tcPr>
                  <w:tcW w:w="1275" w:type="dxa"/>
                  <w:vAlign w:val="center"/>
                </w:tcPr>
                <w:p>
                  <w:pPr>
                    <w:pStyle w:val="50"/>
                    <w:spacing w:before="0" w:line="240" w:lineRule="auto"/>
                    <w:ind w:firstLine="0"/>
                    <w:jc w:val="center"/>
                    <w:rPr>
                      <w:rFonts w:ascii="Times New Roman" w:hAnsi="Times New Roman"/>
                      <w:color w:val="auto"/>
                      <w:spacing w:val="0"/>
                      <w:sz w:val="21"/>
                      <w:szCs w:val="21"/>
                    </w:rPr>
                  </w:pPr>
                  <w:r>
                    <w:rPr>
                      <w:rFonts w:ascii="Times New Roman" w:hAnsi="Times New Roman"/>
                      <w:color w:val="auto"/>
                      <w:spacing w:val="0"/>
                      <w:sz w:val="21"/>
                      <w:szCs w:val="21"/>
                    </w:rPr>
                    <w:t>一般固</w:t>
                  </w:r>
                </w:p>
                <w:p>
                  <w:pPr>
                    <w:pStyle w:val="50"/>
                    <w:spacing w:before="0" w:line="240" w:lineRule="auto"/>
                    <w:ind w:firstLine="0"/>
                    <w:jc w:val="center"/>
                    <w:rPr>
                      <w:rFonts w:ascii="Times New Roman" w:hAnsi="Times New Roman"/>
                      <w:color w:val="auto"/>
                      <w:spacing w:val="0"/>
                      <w:sz w:val="21"/>
                      <w:szCs w:val="21"/>
                    </w:rPr>
                  </w:pPr>
                  <w:r>
                    <w:rPr>
                      <w:rFonts w:ascii="Times New Roman" w:hAnsi="Times New Roman"/>
                      <w:color w:val="auto"/>
                      <w:spacing w:val="0"/>
                      <w:sz w:val="21"/>
                      <w:szCs w:val="21"/>
                    </w:rPr>
                    <w:t>体废物</w:t>
                  </w:r>
                </w:p>
              </w:tc>
              <w:tc>
                <w:tcPr>
                  <w:tcW w:w="2783" w:type="dxa"/>
                  <w:vAlign w:val="center"/>
                </w:tcPr>
                <w:p>
                  <w:pPr>
                    <w:pStyle w:val="50"/>
                    <w:spacing w:before="0" w:line="240" w:lineRule="auto"/>
                    <w:ind w:firstLine="0"/>
                    <w:jc w:val="center"/>
                    <w:rPr>
                      <w:rFonts w:ascii="Times New Roman" w:hAnsi="Times New Roman"/>
                      <w:color w:val="auto"/>
                      <w:spacing w:val="0"/>
                      <w:sz w:val="21"/>
                      <w:szCs w:val="21"/>
                    </w:rPr>
                  </w:pPr>
                  <w:r>
                    <w:rPr>
                      <w:rFonts w:ascii="Times New Roman" w:hAnsi="Times New Roman"/>
                      <w:color w:val="auto"/>
                      <w:spacing w:val="0"/>
                      <w:sz w:val="21"/>
                      <w:szCs w:val="21"/>
                    </w:rPr>
                    <w:t>表示一般固体废物贮存、</w:t>
                  </w:r>
                </w:p>
                <w:p>
                  <w:pPr>
                    <w:pStyle w:val="50"/>
                    <w:spacing w:before="0" w:line="240" w:lineRule="auto"/>
                    <w:ind w:firstLine="0"/>
                    <w:jc w:val="center"/>
                    <w:rPr>
                      <w:rFonts w:ascii="Times New Roman" w:hAnsi="Times New Roman"/>
                      <w:color w:val="auto"/>
                      <w:spacing w:val="0"/>
                      <w:sz w:val="21"/>
                      <w:szCs w:val="21"/>
                    </w:rPr>
                  </w:pPr>
                  <w:r>
                    <w:rPr>
                      <w:rFonts w:ascii="Times New Roman" w:hAnsi="Times New Roman"/>
                      <w:color w:val="auto"/>
                      <w:spacing w:val="0"/>
                      <w:sz w:val="21"/>
                      <w:szCs w:val="21"/>
                    </w:rPr>
                    <w:t>处置场</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1134" w:hRule="atLeast"/>
                <w:jc w:val="center"/>
              </w:trPr>
              <w:tc>
                <w:tcPr>
                  <w:tcW w:w="797" w:type="dxa"/>
                  <w:vAlign w:val="center"/>
                </w:tcPr>
                <w:p>
                  <w:pPr>
                    <w:jc w:val="center"/>
                    <w:rPr>
                      <w:szCs w:val="21"/>
                    </w:rPr>
                  </w:pPr>
                  <w:r>
                    <w:rPr>
                      <w:rFonts w:hint="eastAsia"/>
                      <w:szCs w:val="21"/>
                    </w:rPr>
                    <w:t>5</w:t>
                  </w:r>
                </w:p>
              </w:tc>
              <w:tc>
                <w:tcPr>
                  <w:tcW w:w="1657" w:type="dxa"/>
                  <w:vAlign w:val="center"/>
                </w:tcPr>
                <w:p>
                  <w:pPr>
                    <w:jc w:val="center"/>
                    <w:rPr>
                      <w:szCs w:val="21"/>
                    </w:rPr>
                  </w:pPr>
                  <w:r>
                    <w:rPr>
                      <w:rFonts w:hint="eastAsia"/>
                      <w:szCs w:val="21"/>
                    </w:rPr>
                    <w:t>/</w:t>
                  </w:r>
                </w:p>
              </w:tc>
              <w:tc>
                <w:tcPr>
                  <w:tcW w:w="1800" w:type="dxa"/>
                  <w:vAlign w:val="center"/>
                </w:tcPr>
                <w:p>
                  <w:pPr>
                    <w:jc w:val="center"/>
                    <w:rPr>
                      <w:szCs w:val="21"/>
                    </w:rPr>
                  </w:pPr>
                  <w:r>
                    <w:drawing>
                      <wp:inline distT="0" distB="0" distL="114300" distR="114300">
                        <wp:extent cx="927735" cy="908685"/>
                        <wp:effectExtent l="0" t="0" r="5715" b="5715"/>
                        <wp:docPr id="17" name="图片 20" descr="68800883615565050325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20" descr="6880088361556505032567"/>
                                <pic:cNvPicPr>
                                  <a:picLocks noChangeAspect="1"/>
                                </pic:cNvPicPr>
                              </pic:nvPicPr>
                              <pic:blipFill>
                                <a:blip r:embed="rId38"/>
                                <a:stretch>
                                  <a:fillRect/>
                                </a:stretch>
                              </pic:blipFill>
                              <pic:spPr>
                                <a:xfrm>
                                  <a:off x="0" y="0"/>
                                  <a:ext cx="927735" cy="908685"/>
                                </a:xfrm>
                                <a:prstGeom prst="rect">
                                  <a:avLst/>
                                </a:prstGeom>
                                <a:noFill/>
                                <a:ln>
                                  <a:noFill/>
                                </a:ln>
                              </pic:spPr>
                            </pic:pic>
                          </a:graphicData>
                        </a:graphic>
                      </wp:inline>
                    </w:drawing>
                  </w:r>
                </w:p>
              </w:tc>
              <w:tc>
                <w:tcPr>
                  <w:tcW w:w="1275" w:type="dxa"/>
                  <w:vAlign w:val="center"/>
                </w:tcPr>
                <w:p>
                  <w:pPr>
                    <w:pStyle w:val="50"/>
                    <w:spacing w:before="0" w:line="240" w:lineRule="auto"/>
                    <w:ind w:firstLine="0"/>
                    <w:jc w:val="center"/>
                    <w:rPr>
                      <w:rFonts w:ascii="Times New Roman" w:hAnsi="Times New Roman"/>
                      <w:color w:val="auto"/>
                      <w:spacing w:val="0"/>
                      <w:sz w:val="21"/>
                      <w:szCs w:val="21"/>
                    </w:rPr>
                  </w:pPr>
                  <w:r>
                    <w:rPr>
                      <w:rFonts w:hint="eastAsia" w:ascii="Times New Roman" w:hAnsi="Times New Roman"/>
                      <w:color w:val="auto"/>
                      <w:spacing w:val="0"/>
                      <w:sz w:val="21"/>
                      <w:szCs w:val="21"/>
                    </w:rPr>
                    <w:t>危险废物</w:t>
                  </w:r>
                </w:p>
              </w:tc>
              <w:tc>
                <w:tcPr>
                  <w:tcW w:w="2783" w:type="dxa"/>
                  <w:vAlign w:val="center"/>
                </w:tcPr>
                <w:p>
                  <w:pPr>
                    <w:pStyle w:val="50"/>
                    <w:spacing w:before="0" w:line="240" w:lineRule="auto"/>
                    <w:ind w:firstLine="0"/>
                    <w:jc w:val="center"/>
                    <w:rPr>
                      <w:rFonts w:ascii="Times New Roman" w:hAnsi="Times New Roman"/>
                      <w:color w:val="auto"/>
                      <w:spacing w:val="0"/>
                      <w:sz w:val="21"/>
                      <w:szCs w:val="21"/>
                    </w:rPr>
                  </w:pPr>
                  <w:r>
                    <w:rPr>
                      <w:rFonts w:hint="eastAsia" w:ascii="Times New Roman" w:hAnsi="Times New Roman"/>
                      <w:color w:val="auto"/>
                      <w:spacing w:val="0"/>
                      <w:sz w:val="21"/>
                      <w:szCs w:val="21"/>
                    </w:rPr>
                    <w:t>表示危险废物贮存、处置场</w:t>
                  </w:r>
                </w:p>
              </w:tc>
            </w:tr>
          </w:tbl>
          <w:p>
            <w:pPr>
              <w:snapToGrid w:val="0"/>
              <w:jc w:val="center"/>
              <w:rPr>
                <w:b/>
                <w:szCs w:val="21"/>
              </w:rPr>
            </w:pPr>
          </w:p>
          <w:p>
            <w:pPr>
              <w:snapToGrid w:val="0"/>
              <w:jc w:val="center"/>
              <w:rPr>
                <w:b/>
                <w:szCs w:val="21"/>
              </w:rPr>
            </w:pPr>
            <w:r>
              <w:rPr>
                <w:b/>
                <w:szCs w:val="21"/>
              </w:rPr>
              <w:t>表7-</w:t>
            </w:r>
            <w:r>
              <w:rPr>
                <w:rFonts w:hint="eastAsia"/>
                <w:b/>
                <w:szCs w:val="21"/>
              </w:rPr>
              <w:t>3</w:t>
            </w:r>
            <w:r>
              <w:rPr>
                <w:rFonts w:hint="eastAsia"/>
                <w:b/>
                <w:szCs w:val="21"/>
                <w:lang w:val="en-US" w:eastAsia="zh-CN"/>
              </w:rPr>
              <w:t>2</w:t>
            </w:r>
            <w:r>
              <w:rPr>
                <w:rFonts w:hint="eastAsia"/>
                <w:b/>
                <w:szCs w:val="21"/>
              </w:rPr>
              <w:t xml:space="preserve"> </w:t>
            </w:r>
            <w:r>
              <w:rPr>
                <w:b/>
                <w:szCs w:val="21"/>
              </w:rPr>
              <w:t>环境保护图形标志的形状及颜色表</w:t>
            </w:r>
          </w:p>
          <w:tbl>
            <w:tblPr>
              <w:tblStyle w:val="56"/>
              <w:tblW w:w="8312" w:type="dxa"/>
              <w:jc w:val="center"/>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2124"/>
              <w:gridCol w:w="2123"/>
              <w:gridCol w:w="2123"/>
              <w:gridCol w:w="1942"/>
            </w:tblGrid>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124" w:type="dxa"/>
                  <w:vAlign w:val="center"/>
                </w:tcPr>
                <w:p>
                  <w:pPr>
                    <w:jc w:val="center"/>
                    <w:rPr>
                      <w:b/>
                      <w:szCs w:val="21"/>
                    </w:rPr>
                  </w:pPr>
                  <w:r>
                    <w:rPr>
                      <w:b/>
                      <w:szCs w:val="21"/>
                    </w:rPr>
                    <w:t>标志名称</w:t>
                  </w:r>
                </w:p>
              </w:tc>
              <w:tc>
                <w:tcPr>
                  <w:tcW w:w="2123" w:type="dxa"/>
                  <w:vAlign w:val="center"/>
                </w:tcPr>
                <w:p>
                  <w:pPr>
                    <w:jc w:val="center"/>
                    <w:rPr>
                      <w:b/>
                      <w:szCs w:val="21"/>
                    </w:rPr>
                  </w:pPr>
                  <w:r>
                    <w:rPr>
                      <w:b/>
                      <w:szCs w:val="21"/>
                    </w:rPr>
                    <w:t>形 状</w:t>
                  </w:r>
                </w:p>
              </w:tc>
              <w:tc>
                <w:tcPr>
                  <w:tcW w:w="2123" w:type="dxa"/>
                  <w:vAlign w:val="center"/>
                </w:tcPr>
                <w:p>
                  <w:pPr>
                    <w:jc w:val="center"/>
                    <w:rPr>
                      <w:b/>
                      <w:szCs w:val="21"/>
                    </w:rPr>
                  </w:pPr>
                  <w:r>
                    <w:rPr>
                      <w:b/>
                      <w:szCs w:val="21"/>
                    </w:rPr>
                    <w:t>背景颜色</w:t>
                  </w:r>
                </w:p>
              </w:tc>
              <w:tc>
                <w:tcPr>
                  <w:tcW w:w="1942" w:type="dxa"/>
                  <w:vAlign w:val="center"/>
                </w:tcPr>
                <w:p>
                  <w:pPr>
                    <w:jc w:val="center"/>
                    <w:rPr>
                      <w:b/>
                      <w:szCs w:val="21"/>
                    </w:rPr>
                  </w:pPr>
                  <w:r>
                    <w:rPr>
                      <w:b/>
                      <w:szCs w:val="21"/>
                    </w:rPr>
                    <w:t>图形颜色</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124" w:type="dxa"/>
                  <w:vAlign w:val="center"/>
                </w:tcPr>
                <w:p>
                  <w:pPr>
                    <w:jc w:val="center"/>
                    <w:rPr>
                      <w:szCs w:val="21"/>
                    </w:rPr>
                  </w:pPr>
                  <w:r>
                    <w:rPr>
                      <w:szCs w:val="21"/>
                    </w:rPr>
                    <w:t>警告标志</w:t>
                  </w:r>
                </w:p>
              </w:tc>
              <w:tc>
                <w:tcPr>
                  <w:tcW w:w="2123" w:type="dxa"/>
                  <w:vAlign w:val="center"/>
                </w:tcPr>
                <w:p>
                  <w:pPr>
                    <w:jc w:val="center"/>
                    <w:rPr>
                      <w:szCs w:val="21"/>
                    </w:rPr>
                  </w:pPr>
                  <w:r>
                    <w:rPr>
                      <w:szCs w:val="21"/>
                    </w:rPr>
                    <w:t>三角形边框</w:t>
                  </w:r>
                </w:p>
              </w:tc>
              <w:tc>
                <w:tcPr>
                  <w:tcW w:w="2123" w:type="dxa"/>
                  <w:vAlign w:val="center"/>
                </w:tcPr>
                <w:p>
                  <w:pPr>
                    <w:jc w:val="center"/>
                    <w:rPr>
                      <w:szCs w:val="21"/>
                    </w:rPr>
                  </w:pPr>
                  <w:r>
                    <w:rPr>
                      <w:szCs w:val="21"/>
                    </w:rPr>
                    <w:t>黄色</w:t>
                  </w:r>
                </w:p>
              </w:tc>
              <w:tc>
                <w:tcPr>
                  <w:tcW w:w="1942" w:type="dxa"/>
                  <w:vAlign w:val="center"/>
                </w:tcPr>
                <w:p>
                  <w:pPr>
                    <w:jc w:val="center"/>
                    <w:rPr>
                      <w:szCs w:val="21"/>
                    </w:rPr>
                  </w:pPr>
                  <w:r>
                    <w:rPr>
                      <w:szCs w:val="21"/>
                    </w:rPr>
                    <w:t>黑色</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124" w:type="dxa"/>
                  <w:vAlign w:val="center"/>
                </w:tcPr>
                <w:p>
                  <w:pPr>
                    <w:jc w:val="center"/>
                    <w:rPr>
                      <w:szCs w:val="21"/>
                    </w:rPr>
                  </w:pPr>
                  <w:r>
                    <w:rPr>
                      <w:szCs w:val="21"/>
                    </w:rPr>
                    <w:t>提示标志</w:t>
                  </w:r>
                </w:p>
              </w:tc>
              <w:tc>
                <w:tcPr>
                  <w:tcW w:w="2123" w:type="dxa"/>
                  <w:vAlign w:val="center"/>
                </w:tcPr>
                <w:p>
                  <w:pPr>
                    <w:jc w:val="center"/>
                    <w:rPr>
                      <w:szCs w:val="21"/>
                    </w:rPr>
                  </w:pPr>
                  <w:r>
                    <w:rPr>
                      <w:szCs w:val="21"/>
                    </w:rPr>
                    <w:t>正方形边框</w:t>
                  </w:r>
                </w:p>
              </w:tc>
              <w:tc>
                <w:tcPr>
                  <w:tcW w:w="2123" w:type="dxa"/>
                  <w:vAlign w:val="center"/>
                </w:tcPr>
                <w:p>
                  <w:pPr>
                    <w:jc w:val="center"/>
                    <w:rPr>
                      <w:szCs w:val="21"/>
                    </w:rPr>
                  </w:pPr>
                  <w:r>
                    <w:rPr>
                      <w:szCs w:val="21"/>
                    </w:rPr>
                    <w:t>绿色</w:t>
                  </w:r>
                </w:p>
              </w:tc>
              <w:tc>
                <w:tcPr>
                  <w:tcW w:w="1942" w:type="dxa"/>
                  <w:vAlign w:val="center"/>
                </w:tcPr>
                <w:p>
                  <w:pPr>
                    <w:jc w:val="center"/>
                    <w:rPr>
                      <w:szCs w:val="21"/>
                    </w:rPr>
                  </w:pPr>
                  <w:r>
                    <w:rPr>
                      <w:szCs w:val="21"/>
                    </w:rPr>
                    <w:t>白色</w:t>
                  </w:r>
                </w:p>
              </w:tc>
            </w:tr>
          </w:tbl>
          <w:p>
            <w:pPr>
              <w:spacing w:line="360" w:lineRule="auto"/>
              <w:ind w:firstLine="480" w:firstLineChars="200"/>
              <w:rPr>
                <w:b/>
                <w:sz w:val="24"/>
                <w:lang w:val="zh-CN"/>
              </w:rPr>
            </w:pPr>
            <w:r>
              <w:rPr>
                <w:b/>
                <w:sz w:val="24"/>
                <w:lang w:val="zh-CN"/>
              </w:rPr>
              <w:t>（3）分区防渗管理</w:t>
            </w:r>
          </w:p>
          <w:p>
            <w:pPr>
              <w:spacing w:line="360" w:lineRule="auto"/>
              <w:ind w:firstLine="480" w:firstLineChars="200"/>
              <w:rPr>
                <w:sz w:val="24"/>
              </w:rPr>
            </w:pPr>
            <w:r>
              <w:rPr>
                <w:sz w:val="24"/>
              </w:rPr>
              <w:t>根据《环境影响评价技术导则 地下水环境》（HJ610-2016）</w:t>
            </w:r>
            <w:r>
              <w:rPr>
                <w:rFonts w:hint="eastAsia"/>
                <w:sz w:val="24"/>
              </w:rPr>
              <w:t>，</w:t>
            </w:r>
            <w:r>
              <w:rPr>
                <w:sz w:val="24"/>
              </w:rPr>
              <w:t>本项目生产车间、一般固废仓库要求</w:t>
            </w:r>
            <w:r>
              <w:rPr>
                <w:rFonts w:hint="eastAsia"/>
                <w:sz w:val="24"/>
              </w:rPr>
              <w:t>一般地面硬化，危险废物</w:t>
            </w:r>
            <w:r>
              <w:rPr>
                <w:sz w:val="24"/>
              </w:rPr>
              <w:t>仓库渗透系数小于10</w:t>
            </w:r>
            <w:r>
              <w:rPr>
                <w:sz w:val="24"/>
                <w:vertAlign w:val="superscript"/>
              </w:rPr>
              <w:t>-9</w:t>
            </w:r>
            <w:r>
              <w:rPr>
                <w:sz w:val="24"/>
              </w:rPr>
              <w:t>cm/h</w:t>
            </w:r>
            <w:r>
              <w:rPr>
                <w:rFonts w:hint="eastAsia"/>
                <w:sz w:val="24"/>
              </w:rPr>
              <w:t>。</w:t>
            </w:r>
          </w:p>
          <w:p>
            <w:pPr>
              <w:spacing w:line="360" w:lineRule="auto"/>
              <w:ind w:firstLine="480" w:firstLineChars="200"/>
              <w:rPr>
                <w:b/>
                <w:sz w:val="24"/>
                <w:lang w:val="zh-CN"/>
              </w:rPr>
            </w:pPr>
            <w:r>
              <w:rPr>
                <w:b/>
                <w:sz w:val="24"/>
                <w:lang w:val="zh-CN"/>
              </w:rPr>
              <w:t>（4）信息公开</w:t>
            </w:r>
          </w:p>
          <w:p>
            <w:pPr>
              <w:autoSpaceDE w:val="0"/>
              <w:autoSpaceDN w:val="0"/>
              <w:adjustRightInd w:val="0"/>
              <w:spacing w:line="360" w:lineRule="auto"/>
              <w:ind w:firstLine="480" w:firstLineChars="200"/>
              <w:rPr>
                <w:sz w:val="24"/>
                <w:lang w:val="zh-CN"/>
              </w:rPr>
            </w:pPr>
            <w:r>
              <w:rPr>
                <w:sz w:val="24"/>
                <w:lang w:val="zh-CN"/>
              </w:rPr>
              <w:t>本项目不属于重点排污单位，即公开下列信息：</w:t>
            </w:r>
          </w:p>
          <w:p>
            <w:pPr>
              <w:autoSpaceDE w:val="0"/>
              <w:autoSpaceDN w:val="0"/>
              <w:adjustRightInd w:val="0"/>
              <w:spacing w:line="360" w:lineRule="auto"/>
              <w:ind w:firstLine="480" w:firstLineChars="200"/>
              <w:rPr>
                <w:sz w:val="24"/>
                <w:lang w:val="zh-CN"/>
              </w:rPr>
            </w:pPr>
            <w:r>
              <w:rPr>
                <w:sz w:val="24"/>
                <w:lang w:val="zh-CN"/>
              </w:rPr>
              <w:t>1、基础信息，包括单位名称、组织机构代码、法定代表人、生产地址、联系方式，以及生产经营和管理服务的主要内容、产品及规模；</w:t>
            </w:r>
          </w:p>
          <w:p>
            <w:pPr>
              <w:autoSpaceDE w:val="0"/>
              <w:autoSpaceDN w:val="0"/>
              <w:adjustRightInd w:val="0"/>
              <w:spacing w:line="360" w:lineRule="auto"/>
              <w:ind w:firstLine="480" w:firstLineChars="200"/>
              <w:rPr>
                <w:sz w:val="24"/>
                <w:lang w:val="zh-CN"/>
              </w:rPr>
            </w:pPr>
            <w:r>
              <w:rPr>
                <w:sz w:val="24"/>
                <w:lang w:val="zh-CN"/>
              </w:rPr>
              <w:t>2、排污信息，包括主要污染物及特征污染物的名称、排放方式、排放口数量和分布情况、排放浓度和总量、超标情况，以及执行的污染物排放标准、核定的排放总量；</w:t>
            </w:r>
          </w:p>
          <w:p>
            <w:pPr>
              <w:autoSpaceDE w:val="0"/>
              <w:autoSpaceDN w:val="0"/>
              <w:adjustRightInd w:val="0"/>
              <w:spacing w:line="360" w:lineRule="auto"/>
              <w:ind w:firstLine="480" w:firstLineChars="200"/>
              <w:rPr>
                <w:sz w:val="24"/>
                <w:lang w:val="zh-CN"/>
              </w:rPr>
            </w:pPr>
            <w:r>
              <w:rPr>
                <w:sz w:val="24"/>
                <w:lang w:val="zh-CN"/>
              </w:rPr>
              <w:t>3、防治污染设施的建设和运行情况；</w:t>
            </w:r>
          </w:p>
          <w:p>
            <w:pPr>
              <w:autoSpaceDE w:val="0"/>
              <w:autoSpaceDN w:val="0"/>
              <w:adjustRightInd w:val="0"/>
              <w:spacing w:line="360" w:lineRule="auto"/>
              <w:ind w:firstLine="480" w:firstLineChars="200"/>
              <w:rPr>
                <w:sz w:val="24"/>
                <w:lang w:val="zh-CN"/>
              </w:rPr>
            </w:pPr>
            <w:r>
              <w:rPr>
                <w:sz w:val="24"/>
                <w:lang w:val="zh-CN"/>
              </w:rPr>
              <w:t>4、建设项目环境影响评价及其他环境保护行政许可情况；</w:t>
            </w:r>
          </w:p>
          <w:p>
            <w:pPr>
              <w:autoSpaceDE w:val="0"/>
              <w:autoSpaceDN w:val="0"/>
              <w:adjustRightInd w:val="0"/>
              <w:spacing w:line="360" w:lineRule="auto"/>
              <w:ind w:firstLine="480" w:firstLineChars="200"/>
              <w:rPr>
                <w:sz w:val="24"/>
                <w:lang w:val="zh-CN"/>
              </w:rPr>
            </w:pPr>
            <w:r>
              <w:rPr>
                <w:sz w:val="24"/>
                <w:lang w:val="zh-CN"/>
              </w:rPr>
              <w:t>5、突发环境事件应急预案。</w:t>
            </w:r>
          </w:p>
          <w:p>
            <w:pPr>
              <w:pStyle w:val="29"/>
              <w:spacing w:before="0" w:line="360" w:lineRule="auto"/>
              <w:ind w:firstLine="472" w:firstLineChars="200"/>
              <w:rPr>
                <w:rFonts w:ascii="Times New Roman"/>
                <w:b/>
                <w:sz w:val="24"/>
                <w:szCs w:val="24"/>
              </w:rPr>
            </w:pPr>
            <w:r>
              <w:rPr>
                <w:rFonts w:hint="eastAsia" w:ascii="Times New Roman"/>
                <w:b/>
                <w:sz w:val="24"/>
                <w:szCs w:val="24"/>
                <w:lang w:val="en-US" w:eastAsia="zh-CN"/>
              </w:rPr>
              <w:t>8</w:t>
            </w:r>
            <w:r>
              <w:rPr>
                <w:rFonts w:ascii="Times New Roman"/>
                <w:b/>
                <w:sz w:val="24"/>
                <w:szCs w:val="24"/>
              </w:rPr>
              <w:t>.2环境监测</w:t>
            </w:r>
          </w:p>
          <w:p>
            <w:pPr>
              <w:pStyle w:val="29"/>
              <w:spacing w:before="0" w:line="360" w:lineRule="auto"/>
              <w:ind w:firstLine="512" w:firstLineChars="200"/>
              <w:rPr>
                <w:rFonts w:ascii="Times New Roman"/>
                <w:b/>
                <w:spacing w:val="8"/>
                <w:kern w:val="24"/>
                <w:sz w:val="24"/>
                <w:szCs w:val="24"/>
              </w:rPr>
            </w:pPr>
            <w:r>
              <w:rPr>
                <w:rFonts w:ascii="Times New Roman"/>
                <w:b/>
                <w:spacing w:val="8"/>
                <w:kern w:val="24"/>
                <w:sz w:val="24"/>
                <w:szCs w:val="24"/>
              </w:rPr>
              <w:t>（1）竣工验收监测</w:t>
            </w:r>
          </w:p>
          <w:p>
            <w:pPr>
              <w:pStyle w:val="5"/>
              <w:spacing w:line="360" w:lineRule="auto"/>
              <w:ind w:firstLine="480"/>
              <w:rPr>
                <w:sz w:val="24"/>
              </w:rPr>
            </w:pPr>
            <w:r>
              <w:rPr>
                <w:sz w:val="24"/>
              </w:rPr>
              <w:t>竣工验收监测计划主要从以下几方面入手：</w:t>
            </w:r>
          </w:p>
          <w:p>
            <w:pPr>
              <w:pStyle w:val="5"/>
              <w:spacing w:line="360" w:lineRule="auto"/>
              <w:ind w:firstLine="480"/>
              <w:rPr>
                <w:sz w:val="24"/>
              </w:rPr>
            </w:pPr>
            <w:r>
              <w:rPr>
                <w:rFonts w:hint="eastAsia" w:ascii="宋体" w:cs="宋体"/>
                <w:sz w:val="24"/>
              </w:rPr>
              <w:t>①</w:t>
            </w:r>
            <w:r>
              <w:rPr>
                <w:sz w:val="24"/>
              </w:rPr>
              <w:t>各生产装置的实际生产能力是否具备竣工验收条件。</w:t>
            </w:r>
          </w:p>
          <w:p>
            <w:pPr>
              <w:pStyle w:val="5"/>
              <w:spacing w:line="360" w:lineRule="auto"/>
              <w:ind w:firstLine="480"/>
              <w:rPr>
                <w:sz w:val="24"/>
                <w:szCs w:val="22"/>
              </w:rPr>
            </w:pPr>
            <w:r>
              <w:rPr>
                <w:rFonts w:hint="eastAsia" w:ascii="宋体" w:cs="宋体"/>
                <w:sz w:val="24"/>
              </w:rPr>
              <w:t>②</w:t>
            </w:r>
            <w:r>
              <w:rPr>
                <w:sz w:val="24"/>
              </w:rPr>
              <w:t>按照“三同时”要求，各项环保设</w:t>
            </w:r>
            <w:r>
              <w:rPr>
                <w:rFonts w:hint="eastAsia"/>
                <w:sz w:val="24"/>
                <w:szCs w:val="22"/>
              </w:rPr>
              <w:t>施是否安装到位，运转是否正常。</w:t>
            </w:r>
          </w:p>
          <w:p>
            <w:pPr>
              <w:pStyle w:val="5"/>
              <w:spacing w:line="360" w:lineRule="auto"/>
              <w:ind w:firstLine="480"/>
              <w:rPr>
                <w:sz w:val="24"/>
                <w:szCs w:val="22"/>
              </w:rPr>
            </w:pPr>
            <w:r>
              <w:rPr>
                <w:rFonts w:hint="eastAsia"/>
                <w:sz w:val="24"/>
                <w:szCs w:val="22"/>
              </w:rPr>
              <w:t>③各废气采样监测。监测因子为：</w:t>
            </w:r>
            <w:r>
              <w:rPr>
                <w:rFonts w:hint="eastAsia"/>
                <w:sz w:val="24"/>
                <w:szCs w:val="22"/>
                <w:lang w:eastAsia="zh-CN"/>
              </w:rPr>
              <w:t>颗粒物、非甲烷总烃</w:t>
            </w:r>
            <w:r>
              <w:rPr>
                <w:rFonts w:hint="eastAsia"/>
                <w:sz w:val="24"/>
                <w:szCs w:val="22"/>
              </w:rPr>
              <w:t>。监测项目为有组织排放浓度、排放速率；无组织厂界浓度。</w:t>
            </w:r>
          </w:p>
          <w:p>
            <w:pPr>
              <w:pStyle w:val="5"/>
              <w:spacing w:line="360" w:lineRule="auto"/>
              <w:ind w:firstLine="480" w:firstLineChars="0"/>
              <w:rPr>
                <w:sz w:val="24"/>
              </w:rPr>
            </w:pPr>
            <w:r>
              <w:rPr>
                <w:rFonts w:hint="eastAsia" w:ascii="宋体" w:hAnsi="宋体"/>
                <w:sz w:val="24"/>
              </w:rPr>
              <w:t>④</w:t>
            </w:r>
            <w:r>
              <w:rPr>
                <w:rFonts w:hint="eastAsia"/>
                <w:sz w:val="24"/>
              </w:rPr>
              <w:t>厂区污水排放口</w:t>
            </w:r>
            <w:r>
              <w:rPr>
                <w:sz w:val="24"/>
              </w:rPr>
              <w:t>处取样监测。监测因子为：水量、pH、COD、SS、氨氮、T</w:t>
            </w:r>
            <w:r>
              <w:rPr>
                <w:rFonts w:hint="eastAsia"/>
                <w:sz w:val="24"/>
              </w:rPr>
              <w:t>P</w:t>
            </w:r>
            <w:r>
              <w:rPr>
                <w:sz w:val="24"/>
              </w:rPr>
              <w:t>、TN等。</w:t>
            </w:r>
          </w:p>
          <w:p>
            <w:pPr>
              <w:pStyle w:val="5"/>
              <w:spacing w:line="360" w:lineRule="auto"/>
              <w:ind w:left="465" w:firstLine="0" w:firstLineChars="0"/>
              <w:rPr>
                <w:sz w:val="24"/>
              </w:rPr>
            </w:pPr>
            <w:r>
              <w:rPr>
                <w:rFonts w:hint="eastAsia" w:ascii="宋体" w:cs="宋体"/>
                <w:sz w:val="24"/>
              </w:rPr>
              <w:t>⑤</w:t>
            </w:r>
            <w:r>
              <w:rPr>
                <w:sz w:val="24"/>
              </w:rPr>
              <w:t>厂界噪声点布设监测，布点原则与现状监测布点一致。</w:t>
            </w:r>
          </w:p>
          <w:p>
            <w:pPr>
              <w:pStyle w:val="5"/>
              <w:spacing w:line="360" w:lineRule="auto"/>
              <w:ind w:firstLine="480"/>
              <w:rPr>
                <w:sz w:val="24"/>
              </w:rPr>
            </w:pPr>
            <w:r>
              <w:rPr>
                <w:rFonts w:hint="eastAsia" w:ascii="宋体" w:cs="宋体"/>
                <w:sz w:val="24"/>
              </w:rPr>
              <w:t>⑥</w:t>
            </w:r>
            <w:r>
              <w:rPr>
                <w:sz w:val="24"/>
              </w:rPr>
              <w:t>固体废物处理情况。</w:t>
            </w:r>
          </w:p>
          <w:p>
            <w:pPr>
              <w:pStyle w:val="5"/>
              <w:spacing w:line="360" w:lineRule="auto"/>
              <w:ind w:firstLine="480"/>
              <w:rPr>
                <w:sz w:val="24"/>
              </w:rPr>
            </w:pPr>
            <w:r>
              <w:rPr>
                <w:sz w:val="24"/>
              </w:rPr>
              <w:t>⑦卫生防护距离的核实，确定。</w:t>
            </w:r>
          </w:p>
          <w:p>
            <w:pPr>
              <w:pStyle w:val="5"/>
              <w:spacing w:line="360" w:lineRule="auto"/>
              <w:ind w:firstLine="480"/>
              <w:rPr>
                <w:sz w:val="24"/>
              </w:rPr>
            </w:pPr>
            <w:r>
              <w:rPr>
                <w:rFonts w:hint="eastAsia"/>
                <w:sz w:val="24"/>
              </w:rPr>
              <w:t>⑧</w:t>
            </w:r>
            <w:r>
              <w:rPr>
                <w:sz w:val="24"/>
              </w:rPr>
              <w:t>污染物排放总量的核算，各指标是否控制在环评批复范围内，各排污口是否设置规范化。</w:t>
            </w:r>
          </w:p>
          <w:p>
            <w:pPr>
              <w:pStyle w:val="29"/>
              <w:spacing w:before="0" w:line="360" w:lineRule="auto"/>
              <w:ind w:firstLine="512" w:firstLineChars="200"/>
              <w:rPr>
                <w:rFonts w:ascii="Times New Roman"/>
                <w:b/>
                <w:spacing w:val="8"/>
                <w:kern w:val="24"/>
                <w:sz w:val="24"/>
                <w:szCs w:val="24"/>
              </w:rPr>
            </w:pPr>
            <w:r>
              <w:rPr>
                <w:rFonts w:ascii="Times New Roman"/>
                <w:b/>
                <w:spacing w:val="8"/>
                <w:kern w:val="24"/>
                <w:sz w:val="24"/>
                <w:szCs w:val="24"/>
              </w:rPr>
              <w:t>（2）</w:t>
            </w:r>
            <w:r>
              <w:rPr>
                <w:rFonts w:ascii="Times New Roman"/>
                <w:b/>
                <w:kern w:val="0"/>
                <w:sz w:val="24"/>
              </w:rPr>
              <w:t>污染源监测计划</w:t>
            </w:r>
          </w:p>
          <w:p>
            <w:pPr>
              <w:pStyle w:val="5"/>
              <w:spacing w:line="360" w:lineRule="auto"/>
              <w:ind w:firstLine="480"/>
              <w:rPr>
                <w:sz w:val="24"/>
              </w:rPr>
            </w:pPr>
            <w:r>
              <w:rPr>
                <w:sz w:val="24"/>
              </w:rPr>
              <w:t>主要包括废气、废水、噪声等污染源监测。</w:t>
            </w:r>
          </w:p>
          <w:p>
            <w:pPr>
              <w:pStyle w:val="5"/>
              <w:spacing w:line="360" w:lineRule="auto"/>
              <w:ind w:firstLine="480"/>
              <w:rPr>
                <w:sz w:val="24"/>
              </w:rPr>
            </w:pPr>
            <w:r>
              <w:rPr>
                <w:rFonts w:hint="eastAsia" w:ascii="宋体" w:cs="宋体"/>
                <w:sz w:val="24"/>
              </w:rPr>
              <w:t>①</w:t>
            </w:r>
            <w:r>
              <w:rPr>
                <w:sz w:val="24"/>
              </w:rPr>
              <w:t>废水监测</w:t>
            </w:r>
          </w:p>
          <w:p>
            <w:pPr>
              <w:pStyle w:val="5"/>
              <w:spacing w:line="360" w:lineRule="auto"/>
              <w:ind w:firstLine="480"/>
              <w:rPr>
                <w:sz w:val="24"/>
              </w:rPr>
            </w:pPr>
            <w:r>
              <w:rPr>
                <w:sz w:val="24"/>
              </w:rPr>
              <w:t>监测位置：</w:t>
            </w:r>
            <w:r>
              <w:rPr>
                <w:rFonts w:hint="eastAsia"/>
                <w:sz w:val="24"/>
              </w:rPr>
              <w:t>厂区</w:t>
            </w:r>
            <w:r>
              <w:rPr>
                <w:sz w:val="24"/>
              </w:rPr>
              <w:t>总排放口。</w:t>
            </w:r>
          </w:p>
          <w:p>
            <w:pPr>
              <w:pStyle w:val="5"/>
              <w:spacing w:line="360" w:lineRule="auto"/>
              <w:ind w:firstLine="480"/>
              <w:rPr>
                <w:sz w:val="24"/>
              </w:rPr>
            </w:pPr>
            <w:r>
              <w:rPr>
                <w:sz w:val="24"/>
              </w:rPr>
              <w:t>监测项目：水量、pH、COD、NH</w:t>
            </w:r>
            <w:r>
              <w:rPr>
                <w:sz w:val="24"/>
                <w:vertAlign w:val="subscript"/>
              </w:rPr>
              <w:t>3</w:t>
            </w:r>
            <w:r>
              <w:rPr>
                <w:sz w:val="24"/>
              </w:rPr>
              <w:t>－N、SS、TP、TN；</w:t>
            </w:r>
          </w:p>
          <w:p>
            <w:pPr>
              <w:pStyle w:val="5"/>
              <w:spacing w:line="360" w:lineRule="auto"/>
              <w:ind w:firstLine="480"/>
              <w:rPr>
                <w:sz w:val="24"/>
              </w:rPr>
            </w:pPr>
            <w:r>
              <w:rPr>
                <w:sz w:val="24"/>
              </w:rPr>
              <w:t>监测制度：每年1次。</w:t>
            </w:r>
          </w:p>
          <w:p>
            <w:pPr>
              <w:pStyle w:val="5"/>
              <w:spacing w:line="360" w:lineRule="auto"/>
              <w:ind w:firstLine="480"/>
              <w:rPr>
                <w:sz w:val="24"/>
              </w:rPr>
            </w:pPr>
            <w:r>
              <w:rPr>
                <w:sz w:val="24"/>
              </w:rPr>
              <w:t>监测和分析方法：根据《环境监测技术规范》（地表水环境部分）执行。</w:t>
            </w:r>
          </w:p>
          <w:p>
            <w:pPr>
              <w:pStyle w:val="5"/>
              <w:spacing w:line="360" w:lineRule="auto"/>
              <w:ind w:firstLine="480"/>
              <w:rPr>
                <w:sz w:val="24"/>
              </w:rPr>
            </w:pPr>
            <w:r>
              <w:rPr>
                <w:rFonts w:hint="eastAsia"/>
                <w:sz w:val="24"/>
              </w:rPr>
              <w:t>②废气监测</w:t>
            </w:r>
          </w:p>
          <w:p>
            <w:pPr>
              <w:pStyle w:val="5"/>
              <w:spacing w:line="360" w:lineRule="auto"/>
              <w:ind w:firstLine="480"/>
              <w:rPr>
                <w:color w:val="auto"/>
                <w:sz w:val="24"/>
              </w:rPr>
            </w:pPr>
            <w:r>
              <w:rPr>
                <w:color w:val="auto"/>
                <w:sz w:val="24"/>
              </w:rPr>
              <w:t>根据《排污单位自行监测技术指南总则》（HJ 819-2017）中“5.2 废气排放监测”及</w:t>
            </w:r>
            <w:r>
              <w:rPr>
                <w:rFonts w:hint="eastAsia"/>
                <w:color w:val="auto"/>
                <w:sz w:val="24"/>
                <w:shd w:val="clear"/>
              </w:rPr>
              <w:t>《挥发性有机物无组织排放控制标准》（GB37822-2019）</w:t>
            </w:r>
            <w:r>
              <w:rPr>
                <w:rFonts w:hint="eastAsia"/>
                <w:color w:val="auto"/>
                <w:sz w:val="24"/>
              </w:rPr>
              <w:t>中</w:t>
            </w:r>
            <w:r>
              <w:rPr>
                <w:color w:val="auto"/>
                <w:sz w:val="24"/>
              </w:rPr>
              <w:t>相关要求，建设单位大气监测计划详见下表。</w:t>
            </w:r>
          </w:p>
          <w:p>
            <w:pPr>
              <w:pStyle w:val="5"/>
              <w:ind w:firstLine="0" w:firstLineChars="0"/>
              <w:jc w:val="center"/>
              <w:rPr>
                <w:b/>
                <w:color w:val="auto"/>
                <w:szCs w:val="21"/>
              </w:rPr>
            </w:pPr>
            <w:r>
              <w:rPr>
                <w:b/>
                <w:color w:val="auto"/>
                <w:kern w:val="0"/>
                <w:szCs w:val="21"/>
              </w:rPr>
              <w:t>表7-</w:t>
            </w:r>
            <w:r>
              <w:rPr>
                <w:rFonts w:hint="eastAsia"/>
                <w:b/>
                <w:color w:val="auto"/>
                <w:kern w:val="0"/>
                <w:szCs w:val="21"/>
              </w:rPr>
              <w:t>3</w:t>
            </w:r>
            <w:r>
              <w:rPr>
                <w:rFonts w:hint="eastAsia"/>
                <w:b/>
                <w:color w:val="auto"/>
                <w:kern w:val="0"/>
                <w:szCs w:val="21"/>
                <w:lang w:val="en-US" w:eastAsia="zh-CN"/>
              </w:rPr>
              <w:t>3</w:t>
            </w:r>
            <w:r>
              <w:rPr>
                <w:rFonts w:hint="eastAsia"/>
                <w:b/>
                <w:color w:val="auto"/>
                <w:kern w:val="0"/>
                <w:szCs w:val="21"/>
              </w:rPr>
              <w:t xml:space="preserve"> </w:t>
            </w:r>
            <w:r>
              <w:rPr>
                <w:b/>
                <w:color w:val="auto"/>
                <w:kern w:val="0"/>
                <w:szCs w:val="21"/>
              </w:rPr>
              <w:t xml:space="preserve"> 大气污染源监测计划</w:t>
            </w:r>
          </w:p>
          <w:tbl>
            <w:tblPr>
              <w:tblStyle w:val="56"/>
              <w:tblW w:w="8312" w:type="dxa"/>
              <w:jc w:val="center"/>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276"/>
              <w:gridCol w:w="1369"/>
              <w:gridCol w:w="1597"/>
              <w:gridCol w:w="2342"/>
              <w:gridCol w:w="1728"/>
            </w:tblGrid>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276" w:type="dxa"/>
                  <w:vAlign w:val="center"/>
                </w:tcPr>
                <w:p>
                  <w:pPr>
                    <w:jc w:val="center"/>
                    <w:rPr>
                      <w:b/>
                      <w:color w:val="auto"/>
                      <w:szCs w:val="21"/>
                    </w:rPr>
                  </w:pPr>
                  <w:r>
                    <w:rPr>
                      <w:b/>
                      <w:color w:val="auto"/>
                      <w:szCs w:val="21"/>
                    </w:rPr>
                    <w:t>监测项目</w:t>
                  </w:r>
                </w:p>
              </w:tc>
              <w:tc>
                <w:tcPr>
                  <w:tcW w:w="1369" w:type="dxa"/>
                  <w:vAlign w:val="center"/>
                </w:tcPr>
                <w:p>
                  <w:pPr>
                    <w:jc w:val="center"/>
                    <w:rPr>
                      <w:b/>
                      <w:color w:val="auto"/>
                      <w:szCs w:val="21"/>
                    </w:rPr>
                  </w:pPr>
                  <w:r>
                    <w:rPr>
                      <w:b/>
                      <w:color w:val="auto"/>
                      <w:szCs w:val="21"/>
                    </w:rPr>
                    <w:t>监测位置</w:t>
                  </w:r>
                </w:p>
              </w:tc>
              <w:tc>
                <w:tcPr>
                  <w:tcW w:w="1597" w:type="dxa"/>
                  <w:vAlign w:val="center"/>
                </w:tcPr>
                <w:p>
                  <w:pPr>
                    <w:jc w:val="center"/>
                    <w:rPr>
                      <w:b/>
                      <w:color w:val="auto"/>
                      <w:szCs w:val="21"/>
                    </w:rPr>
                  </w:pPr>
                  <w:r>
                    <w:rPr>
                      <w:b/>
                      <w:color w:val="auto"/>
                      <w:szCs w:val="21"/>
                    </w:rPr>
                    <w:t>检测点位</w:t>
                  </w:r>
                </w:p>
              </w:tc>
              <w:tc>
                <w:tcPr>
                  <w:tcW w:w="2342" w:type="dxa"/>
                  <w:vAlign w:val="center"/>
                </w:tcPr>
                <w:p>
                  <w:pPr>
                    <w:jc w:val="center"/>
                    <w:rPr>
                      <w:b/>
                      <w:color w:val="auto"/>
                      <w:szCs w:val="21"/>
                    </w:rPr>
                  </w:pPr>
                  <w:r>
                    <w:rPr>
                      <w:b/>
                      <w:color w:val="auto"/>
                      <w:szCs w:val="21"/>
                    </w:rPr>
                    <w:t>监测因子</w:t>
                  </w:r>
                </w:p>
              </w:tc>
              <w:tc>
                <w:tcPr>
                  <w:tcW w:w="1728" w:type="dxa"/>
                  <w:vAlign w:val="center"/>
                </w:tcPr>
                <w:p>
                  <w:pPr>
                    <w:jc w:val="center"/>
                    <w:rPr>
                      <w:b/>
                      <w:color w:val="auto"/>
                      <w:szCs w:val="21"/>
                    </w:rPr>
                  </w:pPr>
                  <w:r>
                    <w:rPr>
                      <w:b/>
                      <w:color w:val="auto"/>
                      <w:szCs w:val="21"/>
                    </w:rPr>
                    <w:t>监测频率</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670" w:hRule="atLeast"/>
                <w:jc w:val="center"/>
              </w:trPr>
              <w:tc>
                <w:tcPr>
                  <w:tcW w:w="1276" w:type="dxa"/>
                  <w:vAlign w:val="center"/>
                </w:tcPr>
                <w:p>
                  <w:pPr>
                    <w:jc w:val="center"/>
                    <w:rPr>
                      <w:color w:val="auto"/>
                      <w:szCs w:val="21"/>
                    </w:rPr>
                  </w:pPr>
                  <w:r>
                    <w:rPr>
                      <w:color w:val="auto"/>
                      <w:szCs w:val="21"/>
                    </w:rPr>
                    <w:t>有组织</w:t>
                  </w:r>
                  <w:r>
                    <w:rPr>
                      <w:rFonts w:hint="eastAsia"/>
                      <w:color w:val="auto"/>
                      <w:szCs w:val="21"/>
                    </w:rPr>
                    <w:t>监测</w:t>
                  </w:r>
                </w:p>
              </w:tc>
              <w:tc>
                <w:tcPr>
                  <w:tcW w:w="1369" w:type="dxa"/>
                  <w:vAlign w:val="center"/>
                </w:tcPr>
                <w:p>
                  <w:pPr>
                    <w:jc w:val="center"/>
                    <w:rPr>
                      <w:color w:val="auto"/>
                      <w:szCs w:val="21"/>
                    </w:rPr>
                  </w:pPr>
                  <w:r>
                    <w:rPr>
                      <w:color w:val="auto"/>
                      <w:szCs w:val="21"/>
                    </w:rPr>
                    <w:t>排气筒</w:t>
                  </w:r>
                  <w:r>
                    <w:rPr>
                      <w:rFonts w:hint="eastAsia"/>
                      <w:color w:val="auto"/>
                      <w:szCs w:val="21"/>
                    </w:rPr>
                    <w:t>DA001</w:t>
                  </w:r>
                </w:p>
              </w:tc>
              <w:tc>
                <w:tcPr>
                  <w:tcW w:w="1597" w:type="dxa"/>
                  <w:vAlign w:val="center"/>
                </w:tcPr>
                <w:p>
                  <w:pPr>
                    <w:jc w:val="center"/>
                    <w:rPr>
                      <w:color w:val="auto"/>
                      <w:szCs w:val="21"/>
                    </w:rPr>
                  </w:pPr>
                  <w:r>
                    <w:rPr>
                      <w:rFonts w:hint="eastAsia"/>
                      <w:color w:val="auto"/>
                      <w:szCs w:val="21"/>
                    </w:rPr>
                    <w:t>进、出口</w:t>
                  </w:r>
                </w:p>
              </w:tc>
              <w:tc>
                <w:tcPr>
                  <w:tcW w:w="2342" w:type="dxa"/>
                  <w:vAlign w:val="center"/>
                </w:tcPr>
                <w:p>
                  <w:pPr>
                    <w:jc w:val="center"/>
                    <w:rPr>
                      <w:color w:val="auto"/>
                      <w:kern w:val="0"/>
                      <w:szCs w:val="21"/>
                    </w:rPr>
                  </w:pPr>
                  <w:r>
                    <w:rPr>
                      <w:rFonts w:hint="eastAsia"/>
                      <w:color w:val="auto"/>
                      <w:kern w:val="0"/>
                      <w:szCs w:val="21"/>
                      <w:lang w:eastAsia="zh-CN"/>
                    </w:rPr>
                    <w:t>颗粒物、非甲烷总烃</w:t>
                  </w:r>
                </w:p>
              </w:tc>
              <w:tc>
                <w:tcPr>
                  <w:tcW w:w="1728" w:type="dxa"/>
                  <w:vAlign w:val="center"/>
                </w:tcPr>
                <w:p>
                  <w:pPr>
                    <w:jc w:val="center"/>
                    <w:rPr>
                      <w:color w:val="auto"/>
                      <w:szCs w:val="21"/>
                    </w:rPr>
                  </w:pPr>
                  <w:r>
                    <w:rPr>
                      <w:rFonts w:hint="eastAsia"/>
                      <w:color w:val="auto"/>
                      <w:szCs w:val="21"/>
                    </w:rPr>
                    <w:t>1次/年</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276" w:type="dxa"/>
                  <w:vMerge w:val="restart"/>
                  <w:vAlign w:val="center"/>
                </w:tcPr>
                <w:p>
                  <w:pPr>
                    <w:jc w:val="center"/>
                    <w:rPr>
                      <w:color w:val="auto"/>
                      <w:szCs w:val="21"/>
                    </w:rPr>
                  </w:pPr>
                  <w:r>
                    <w:rPr>
                      <w:rFonts w:hint="eastAsia"/>
                      <w:color w:val="auto"/>
                      <w:szCs w:val="21"/>
                    </w:rPr>
                    <w:t>无组织监测</w:t>
                  </w:r>
                </w:p>
              </w:tc>
              <w:tc>
                <w:tcPr>
                  <w:tcW w:w="1369" w:type="dxa"/>
                  <w:vAlign w:val="center"/>
                </w:tcPr>
                <w:p>
                  <w:pPr>
                    <w:jc w:val="center"/>
                    <w:rPr>
                      <w:color w:val="auto"/>
                      <w:szCs w:val="21"/>
                    </w:rPr>
                  </w:pPr>
                  <w:r>
                    <w:rPr>
                      <w:color w:val="auto"/>
                      <w:szCs w:val="21"/>
                    </w:rPr>
                    <w:t>厂界</w:t>
                  </w:r>
                </w:p>
              </w:tc>
              <w:tc>
                <w:tcPr>
                  <w:tcW w:w="1597" w:type="dxa"/>
                  <w:vAlign w:val="center"/>
                </w:tcPr>
                <w:p>
                  <w:pPr>
                    <w:jc w:val="center"/>
                    <w:rPr>
                      <w:color w:val="auto"/>
                      <w:szCs w:val="21"/>
                    </w:rPr>
                  </w:pPr>
                  <w:r>
                    <w:rPr>
                      <w:color w:val="auto"/>
                      <w:szCs w:val="21"/>
                    </w:rPr>
                    <w:t>厂界下风向三个监测点位</w:t>
                  </w:r>
                  <w:r>
                    <w:rPr>
                      <w:rFonts w:hint="eastAsia"/>
                      <w:color w:val="auto"/>
                      <w:szCs w:val="21"/>
                    </w:rPr>
                    <w:t>、上风向一个</w:t>
                  </w:r>
                  <w:r>
                    <w:rPr>
                      <w:color w:val="auto"/>
                      <w:szCs w:val="21"/>
                    </w:rPr>
                    <w:t>监测点位</w:t>
                  </w:r>
                </w:p>
              </w:tc>
              <w:tc>
                <w:tcPr>
                  <w:tcW w:w="2342" w:type="dxa"/>
                  <w:vAlign w:val="center"/>
                </w:tcPr>
                <w:p>
                  <w:pPr>
                    <w:jc w:val="center"/>
                    <w:rPr>
                      <w:rFonts w:hint="eastAsia" w:eastAsia="宋体"/>
                      <w:color w:val="auto"/>
                      <w:szCs w:val="21"/>
                      <w:lang w:eastAsia="zh-CN"/>
                    </w:rPr>
                  </w:pPr>
                  <w:r>
                    <w:rPr>
                      <w:rFonts w:hint="eastAsia"/>
                      <w:color w:val="auto"/>
                      <w:kern w:val="0"/>
                      <w:szCs w:val="21"/>
                      <w:lang w:eastAsia="zh-CN"/>
                    </w:rPr>
                    <w:t>颗粒物、非甲烷总烃</w:t>
                  </w:r>
                </w:p>
              </w:tc>
              <w:tc>
                <w:tcPr>
                  <w:tcW w:w="1728" w:type="dxa"/>
                  <w:vAlign w:val="center"/>
                </w:tcPr>
                <w:p>
                  <w:pPr>
                    <w:jc w:val="center"/>
                    <w:rPr>
                      <w:color w:val="auto"/>
                      <w:szCs w:val="21"/>
                    </w:rPr>
                  </w:pPr>
                  <w:r>
                    <w:rPr>
                      <w:rFonts w:hint="eastAsia"/>
                      <w:color w:val="auto"/>
                      <w:szCs w:val="21"/>
                    </w:rPr>
                    <w:t>1次/年</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276" w:type="dxa"/>
                  <w:vMerge w:val="continue"/>
                  <w:vAlign w:val="center"/>
                </w:tcPr>
                <w:p>
                  <w:pPr>
                    <w:jc w:val="center"/>
                    <w:rPr>
                      <w:color w:val="auto"/>
                      <w:szCs w:val="21"/>
                    </w:rPr>
                  </w:pPr>
                </w:p>
              </w:tc>
              <w:tc>
                <w:tcPr>
                  <w:tcW w:w="1369" w:type="dxa"/>
                  <w:vAlign w:val="center"/>
                </w:tcPr>
                <w:p>
                  <w:pPr>
                    <w:jc w:val="center"/>
                    <w:rPr>
                      <w:color w:val="auto"/>
                      <w:szCs w:val="21"/>
                    </w:rPr>
                  </w:pPr>
                  <w:r>
                    <w:rPr>
                      <w:rFonts w:hint="eastAsia"/>
                      <w:color w:val="auto"/>
                      <w:szCs w:val="21"/>
                    </w:rPr>
                    <w:t>厂界内车间</w:t>
                  </w:r>
                </w:p>
                <w:p>
                  <w:pPr>
                    <w:jc w:val="center"/>
                    <w:rPr>
                      <w:color w:val="auto"/>
                      <w:szCs w:val="21"/>
                    </w:rPr>
                  </w:pPr>
                  <w:r>
                    <w:rPr>
                      <w:rFonts w:hint="eastAsia"/>
                      <w:color w:val="auto"/>
                      <w:szCs w:val="21"/>
                    </w:rPr>
                    <w:t>外 1m 处</w:t>
                  </w:r>
                </w:p>
              </w:tc>
              <w:tc>
                <w:tcPr>
                  <w:tcW w:w="1597" w:type="dxa"/>
                  <w:vAlign w:val="center"/>
                </w:tcPr>
                <w:p>
                  <w:pPr>
                    <w:jc w:val="center"/>
                    <w:rPr>
                      <w:color w:val="auto"/>
                      <w:szCs w:val="21"/>
                    </w:rPr>
                  </w:pPr>
                  <w:r>
                    <w:rPr>
                      <w:rFonts w:hint="eastAsia"/>
                      <w:color w:val="auto"/>
                      <w:szCs w:val="21"/>
                    </w:rPr>
                    <w:t>1 个监测点位</w:t>
                  </w:r>
                </w:p>
              </w:tc>
              <w:tc>
                <w:tcPr>
                  <w:tcW w:w="2342" w:type="dxa"/>
                  <w:vAlign w:val="center"/>
                </w:tcPr>
                <w:p>
                  <w:pPr>
                    <w:jc w:val="center"/>
                    <w:rPr>
                      <w:color w:val="auto"/>
                      <w:szCs w:val="21"/>
                    </w:rPr>
                  </w:pPr>
                  <w:r>
                    <w:rPr>
                      <w:rFonts w:hint="eastAsia"/>
                      <w:color w:val="auto"/>
                      <w:szCs w:val="21"/>
                    </w:rPr>
                    <w:t>NMHC</w:t>
                  </w:r>
                </w:p>
              </w:tc>
              <w:tc>
                <w:tcPr>
                  <w:tcW w:w="1728" w:type="dxa"/>
                  <w:vAlign w:val="center"/>
                </w:tcPr>
                <w:p>
                  <w:pPr>
                    <w:jc w:val="center"/>
                    <w:rPr>
                      <w:color w:val="auto"/>
                      <w:szCs w:val="21"/>
                    </w:rPr>
                  </w:pPr>
                  <w:r>
                    <w:rPr>
                      <w:rFonts w:hint="eastAsia"/>
                      <w:color w:val="auto"/>
                      <w:szCs w:val="21"/>
                    </w:rPr>
                    <w:t>1次/年</w:t>
                  </w:r>
                </w:p>
              </w:tc>
            </w:tr>
          </w:tbl>
          <w:p>
            <w:pPr>
              <w:pStyle w:val="5"/>
              <w:spacing w:line="360" w:lineRule="auto"/>
              <w:ind w:firstLine="480"/>
              <w:rPr>
                <w:color w:val="auto"/>
                <w:sz w:val="24"/>
              </w:rPr>
            </w:pPr>
            <w:r>
              <w:rPr>
                <w:color w:val="auto"/>
                <w:sz w:val="24"/>
              </w:rPr>
              <w:t>监测和分析方法：环境空气监测方法按《环境监测技术规范》（大气部分）和《空气和废气监测分析方法》以及有关规定和要求进行。</w:t>
            </w:r>
          </w:p>
          <w:p>
            <w:pPr>
              <w:pStyle w:val="5"/>
              <w:spacing w:line="360" w:lineRule="auto"/>
              <w:ind w:firstLine="480"/>
              <w:rPr>
                <w:color w:val="auto"/>
                <w:sz w:val="24"/>
              </w:rPr>
            </w:pPr>
            <w:r>
              <w:rPr>
                <w:rFonts w:hint="eastAsia" w:ascii="宋体" w:cs="宋体"/>
                <w:color w:val="auto"/>
                <w:sz w:val="24"/>
              </w:rPr>
              <w:t>②</w:t>
            </w:r>
            <w:r>
              <w:rPr>
                <w:color w:val="auto"/>
                <w:sz w:val="24"/>
              </w:rPr>
              <w:t>噪声监测</w:t>
            </w:r>
          </w:p>
          <w:p>
            <w:pPr>
              <w:pStyle w:val="5"/>
              <w:spacing w:line="360" w:lineRule="auto"/>
              <w:ind w:firstLine="480"/>
              <w:rPr>
                <w:color w:val="auto"/>
                <w:sz w:val="24"/>
              </w:rPr>
            </w:pPr>
            <w:r>
              <w:rPr>
                <w:color w:val="auto"/>
                <w:sz w:val="24"/>
              </w:rPr>
              <w:t>根据《排污单位自行监测技术指南总则》（HJ 819-2017）</w:t>
            </w:r>
            <w:r>
              <w:rPr>
                <w:rFonts w:hint="eastAsia"/>
                <w:color w:val="auto"/>
                <w:sz w:val="24"/>
              </w:rPr>
              <w:t>，</w:t>
            </w:r>
            <w:r>
              <w:rPr>
                <w:color w:val="auto"/>
                <w:sz w:val="24"/>
              </w:rPr>
              <w:t>厂周界</w:t>
            </w:r>
            <w:r>
              <w:rPr>
                <w:rFonts w:hint="eastAsia"/>
                <w:color w:val="auto"/>
                <w:sz w:val="24"/>
                <w:lang w:val="en-US" w:eastAsia="zh-CN"/>
              </w:rPr>
              <w:t>和敏感点珑庭花园</w:t>
            </w:r>
            <w:r>
              <w:rPr>
                <w:color w:val="auto"/>
                <w:sz w:val="24"/>
              </w:rPr>
              <w:t>噪声每</w:t>
            </w:r>
            <w:r>
              <w:rPr>
                <w:rFonts w:hint="eastAsia"/>
                <w:color w:val="auto"/>
                <w:sz w:val="24"/>
              </w:rPr>
              <w:t>季度</w:t>
            </w:r>
            <w:r>
              <w:rPr>
                <w:color w:val="auto"/>
                <w:sz w:val="24"/>
              </w:rPr>
              <w:t>测1次，噪声监测按《环境监测技术规范》执行，采用积分声级计或具有相同功能的测量仪器测量等效连续A声级。</w:t>
            </w:r>
          </w:p>
          <w:p>
            <w:pPr>
              <w:pStyle w:val="5"/>
              <w:spacing w:line="360" w:lineRule="auto"/>
              <w:ind w:firstLine="480"/>
              <w:rPr>
                <w:sz w:val="24"/>
                <w:szCs w:val="22"/>
              </w:rPr>
            </w:pPr>
            <w:r>
              <w:rPr>
                <w:color w:val="auto"/>
                <w:sz w:val="24"/>
                <w:szCs w:val="22"/>
                <w:lang w:val="zh-CN"/>
              </w:rPr>
              <w:t>上述监测内容均按国家规定的数据采集、处理、采样和分析方法进行监测，若企业不具备监测条件，可委托有资质的检测单位进行监测，</w:t>
            </w:r>
            <w:r>
              <w:rPr>
                <w:sz w:val="24"/>
                <w:szCs w:val="22"/>
                <w:lang w:val="zh-CN"/>
              </w:rPr>
              <w:t>监测结果以报告形式上报当地环保部门。</w:t>
            </w:r>
          </w:p>
          <w:p>
            <w:pPr>
              <w:spacing w:line="360" w:lineRule="auto"/>
              <w:ind w:firstLine="480" w:firstLineChars="200"/>
              <w:rPr>
                <w:b/>
                <w:sz w:val="24"/>
              </w:rPr>
            </w:pPr>
            <w:r>
              <w:rPr>
                <w:rFonts w:hint="eastAsia"/>
                <w:b/>
                <w:sz w:val="24"/>
                <w:lang w:val="en-US" w:eastAsia="zh-CN"/>
              </w:rPr>
              <w:t>9</w:t>
            </w:r>
            <w:r>
              <w:rPr>
                <w:b/>
                <w:sz w:val="24"/>
              </w:rPr>
              <w:t>、竣工环保验收</w:t>
            </w:r>
          </w:p>
          <w:p>
            <w:pPr>
              <w:spacing w:line="360" w:lineRule="auto"/>
              <w:ind w:firstLine="480" w:firstLineChars="200"/>
              <w:rPr>
                <w:sz w:val="24"/>
              </w:rPr>
            </w:pPr>
            <w:r>
              <w:rPr>
                <w:sz w:val="24"/>
              </w:rPr>
              <w:t>“建设项目竣工环保验收一览表”见表7-</w:t>
            </w:r>
            <w:r>
              <w:rPr>
                <w:rFonts w:hint="eastAsia"/>
                <w:sz w:val="24"/>
              </w:rPr>
              <w:t>3</w:t>
            </w:r>
            <w:r>
              <w:rPr>
                <w:rFonts w:hint="eastAsia"/>
                <w:sz w:val="24"/>
                <w:lang w:val="en-US" w:eastAsia="zh-CN"/>
              </w:rPr>
              <w:t>4</w:t>
            </w:r>
            <w:r>
              <w:rPr>
                <w:sz w:val="24"/>
              </w:rPr>
              <w:t>。</w:t>
            </w:r>
          </w:p>
          <w:p>
            <w:pPr>
              <w:ind w:firstLine="420" w:firstLineChars="200"/>
              <w:jc w:val="center"/>
              <w:rPr>
                <w:b/>
                <w:szCs w:val="21"/>
              </w:rPr>
            </w:pPr>
            <w:r>
              <w:rPr>
                <w:b/>
                <w:szCs w:val="21"/>
              </w:rPr>
              <w:t>表7-</w:t>
            </w:r>
            <w:r>
              <w:rPr>
                <w:rFonts w:hint="eastAsia"/>
                <w:b/>
                <w:szCs w:val="21"/>
              </w:rPr>
              <w:t>3</w:t>
            </w:r>
            <w:r>
              <w:rPr>
                <w:rFonts w:hint="eastAsia"/>
                <w:b/>
                <w:szCs w:val="21"/>
                <w:lang w:val="en-US" w:eastAsia="zh-CN"/>
              </w:rPr>
              <w:t>4</w:t>
            </w:r>
            <w:r>
              <w:rPr>
                <w:b/>
                <w:szCs w:val="21"/>
              </w:rPr>
              <w:t xml:space="preserve">  建设项目竣工环保验收一览表</w:t>
            </w:r>
          </w:p>
          <w:tbl>
            <w:tblPr>
              <w:tblStyle w:val="56"/>
              <w:tblW w:w="4998" w:type="pct"/>
              <w:tblInd w:w="0" w:type="dxa"/>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autofit"/>
              <w:tblCellMar>
                <w:top w:w="0" w:type="dxa"/>
                <w:left w:w="23" w:type="dxa"/>
                <w:bottom w:w="0" w:type="dxa"/>
                <w:right w:w="23" w:type="dxa"/>
              </w:tblCellMar>
            </w:tblPr>
            <w:tblGrid>
              <w:gridCol w:w="552"/>
              <w:gridCol w:w="612"/>
              <w:gridCol w:w="919"/>
              <w:gridCol w:w="1971"/>
              <w:gridCol w:w="57"/>
              <w:gridCol w:w="2915"/>
              <w:gridCol w:w="1283"/>
            </w:tblGrid>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23" w:type="dxa"/>
                  <w:bottom w:w="0" w:type="dxa"/>
                  <w:right w:w="23" w:type="dxa"/>
                </w:tblCellMar>
              </w:tblPrEx>
              <w:trPr>
                <w:trHeight w:val="307" w:hRule="atLeast"/>
              </w:trPr>
              <w:tc>
                <w:tcPr>
                  <w:tcW w:w="332" w:type="pct"/>
                  <w:vAlign w:val="center"/>
                </w:tcPr>
                <w:p>
                  <w:pPr>
                    <w:adjustRightInd w:val="0"/>
                    <w:snapToGrid w:val="0"/>
                    <w:jc w:val="center"/>
                    <w:rPr>
                      <w:b/>
                      <w:szCs w:val="21"/>
                    </w:rPr>
                  </w:pPr>
                  <w:bookmarkStart w:id="7" w:name="_Hlk505114431"/>
                  <w:r>
                    <w:rPr>
                      <w:b/>
                      <w:szCs w:val="21"/>
                    </w:rPr>
                    <w:t>类别</w:t>
                  </w:r>
                </w:p>
              </w:tc>
              <w:tc>
                <w:tcPr>
                  <w:tcW w:w="368" w:type="pct"/>
                  <w:vAlign w:val="center"/>
                </w:tcPr>
                <w:p>
                  <w:pPr>
                    <w:adjustRightInd w:val="0"/>
                    <w:snapToGrid w:val="0"/>
                    <w:jc w:val="center"/>
                    <w:rPr>
                      <w:b/>
                      <w:szCs w:val="21"/>
                    </w:rPr>
                  </w:pPr>
                  <w:r>
                    <w:rPr>
                      <w:b/>
                      <w:szCs w:val="21"/>
                    </w:rPr>
                    <w:t>污染源</w:t>
                  </w:r>
                </w:p>
              </w:tc>
              <w:tc>
                <w:tcPr>
                  <w:tcW w:w="553" w:type="pct"/>
                  <w:vAlign w:val="center"/>
                </w:tcPr>
                <w:p>
                  <w:pPr>
                    <w:adjustRightInd w:val="0"/>
                    <w:snapToGrid w:val="0"/>
                    <w:jc w:val="center"/>
                    <w:rPr>
                      <w:b/>
                      <w:szCs w:val="21"/>
                    </w:rPr>
                  </w:pPr>
                  <w:r>
                    <w:rPr>
                      <w:b/>
                      <w:szCs w:val="21"/>
                    </w:rPr>
                    <w:t>污染物</w:t>
                  </w:r>
                </w:p>
              </w:tc>
              <w:tc>
                <w:tcPr>
                  <w:tcW w:w="1186" w:type="pct"/>
                  <w:vAlign w:val="center"/>
                </w:tcPr>
                <w:p>
                  <w:pPr>
                    <w:adjustRightInd w:val="0"/>
                    <w:snapToGrid w:val="0"/>
                    <w:jc w:val="center"/>
                    <w:rPr>
                      <w:b/>
                      <w:szCs w:val="21"/>
                    </w:rPr>
                  </w:pPr>
                  <w:r>
                    <w:rPr>
                      <w:b/>
                      <w:szCs w:val="21"/>
                    </w:rPr>
                    <w:t>治理措施（设施数量、规模、处理能力等）</w:t>
                  </w:r>
                </w:p>
              </w:tc>
              <w:tc>
                <w:tcPr>
                  <w:tcW w:w="1788" w:type="pct"/>
                  <w:gridSpan w:val="2"/>
                  <w:vAlign w:val="center"/>
                </w:tcPr>
                <w:p>
                  <w:pPr>
                    <w:adjustRightInd w:val="0"/>
                    <w:snapToGrid w:val="0"/>
                    <w:jc w:val="center"/>
                    <w:rPr>
                      <w:b/>
                      <w:szCs w:val="21"/>
                    </w:rPr>
                  </w:pPr>
                  <w:r>
                    <w:rPr>
                      <w:b/>
                      <w:szCs w:val="21"/>
                    </w:rPr>
                    <w:t>处理效果、执行标准或拟达要求</w:t>
                  </w:r>
                </w:p>
              </w:tc>
              <w:tc>
                <w:tcPr>
                  <w:tcW w:w="772" w:type="pct"/>
                  <w:vAlign w:val="center"/>
                </w:tcPr>
                <w:p>
                  <w:pPr>
                    <w:adjustRightInd w:val="0"/>
                    <w:snapToGrid w:val="0"/>
                    <w:jc w:val="center"/>
                    <w:rPr>
                      <w:b/>
                      <w:szCs w:val="21"/>
                    </w:rPr>
                  </w:pPr>
                  <w:r>
                    <w:rPr>
                      <w:rFonts w:hint="eastAsia"/>
                      <w:b/>
                      <w:szCs w:val="21"/>
                    </w:rPr>
                    <w:t>完成时间</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23" w:type="dxa"/>
                  <w:bottom w:w="0" w:type="dxa"/>
                  <w:right w:w="23" w:type="dxa"/>
                </w:tblCellMar>
              </w:tblPrEx>
              <w:trPr>
                <w:trHeight w:val="697" w:hRule="atLeast"/>
              </w:trPr>
              <w:tc>
                <w:tcPr>
                  <w:tcW w:w="332" w:type="pct"/>
                  <w:vAlign w:val="center"/>
                </w:tcPr>
                <w:p>
                  <w:pPr>
                    <w:adjustRightInd w:val="0"/>
                    <w:snapToGrid w:val="0"/>
                    <w:jc w:val="center"/>
                    <w:rPr>
                      <w:szCs w:val="21"/>
                    </w:rPr>
                  </w:pPr>
                  <w:r>
                    <w:rPr>
                      <w:rFonts w:hint="eastAsia"/>
                      <w:szCs w:val="21"/>
                    </w:rPr>
                    <w:t>有组织废气</w:t>
                  </w:r>
                </w:p>
              </w:tc>
              <w:tc>
                <w:tcPr>
                  <w:tcW w:w="368" w:type="pct"/>
                  <w:vAlign w:val="center"/>
                </w:tcPr>
                <w:p>
                  <w:pPr>
                    <w:adjustRightInd w:val="0"/>
                    <w:snapToGrid w:val="0"/>
                    <w:jc w:val="center"/>
                    <w:rPr>
                      <w:szCs w:val="21"/>
                    </w:rPr>
                  </w:pPr>
                  <w:r>
                    <w:rPr>
                      <w:rFonts w:hint="eastAsia"/>
                      <w:szCs w:val="21"/>
                    </w:rPr>
                    <w:t>排气筒</w:t>
                  </w:r>
                </w:p>
              </w:tc>
              <w:tc>
                <w:tcPr>
                  <w:tcW w:w="553" w:type="pct"/>
                  <w:vAlign w:val="center"/>
                </w:tcPr>
                <w:p>
                  <w:pPr>
                    <w:adjustRightInd w:val="0"/>
                    <w:snapToGrid w:val="0"/>
                    <w:jc w:val="center"/>
                    <w:rPr>
                      <w:rFonts w:hint="default"/>
                      <w:szCs w:val="21"/>
                      <w:lang w:val="en-US"/>
                    </w:rPr>
                  </w:pPr>
                  <w:r>
                    <w:rPr>
                      <w:rFonts w:hint="eastAsia"/>
                      <w:color w:val="auto"/>
                      <w:kern w:val="0"/>
                      <w:szCs w:val="21"/>
                      <w:lang w:eastAsia="zh-CN"/>
                    </w:rPr>
                    <w:t>粉尘、非甲烷总烃、氯化氢</w:t>
                  </w:r>
                </w:p>
              </w:tc>
              <w:tc>
                <w:tcPr>
                  <w:tcW w:w="1186" w:type="pct"/>
                  <w:vAlign w:val="center"/>
                </w:tcPr>
                <w:p>
                  <w:pPr>
                    <w:adjustRightInd w:val="0"/>
                    <w:snapToGrid w:val="0"/>
                    <w:jc w:val="center"/>
                    <w:rPr>
                      <w:szCs w:val="21"/>
                    </w:rPr>
                  </w:pPr>
                  <w:r>
                    <w:rPr>
                      <w:rFonts w:hint="eastAsia"/>
                      <w:szCs w:val="21"/>
                    </w:rPr>
                    <w:t>半密闭的集气罩收集+1套“二级活性炭吸附设备+</w:t>
                  </w:r>
                  <w:r>
                    <w:rPr>
                      <w:rFonts w:hint="eastAsia"/>
                      <w:szCs w:val="21"/>
                      <w:lang w:val="en-US" w:eastAsia="zh-CN"/>
                    </w:rPr>
                    <w:t>15</w:t>
                  </w:r>
                  <w:r>
                    <w:rPr>
                      <w:rFonts w:hint="eastAsia"/>
                      <w:szCs w:val="21"/>
                    </w:rPr>
                    <w:t>m排气筒”</w:t>
                  </w:r>
                </w:p>
              </w:tc>
              <w:tc>
                <w:tcPr>
                  <w:tcW w:w="1788" w:type="pct"/>
                  <w:gridSpan w:val="2"/>
                  <w:vAlign w:val="center"/>
                </w:tcPr>
                <w:p>
                  <w:pPr>
                    <w:adjustRightInd w:val="0"/>
                    <w:snapToGrid w:val="0"/>
                    <w:jc w:val="center"/>
                    <w:rPr>
                      <w:rFonts w:hint="eastAsia" w:eastAsia="宋体"/>
                      <w:szCs w:val="21"/>
                      <w:lang w:eastAsia="zh-CN"/>
                    </w:rPr>
                  </w:pPr>
                  <w:r>
                    <w:rPr>
                      <w:rFonts w:hint="eastAsia"/>
                      <w:szCs w:val="21"/>
                      <w:lang w:eastAsia="zh-CN"/>
                    </w:rPr>
                    <w:t>粉尘、非甲烷总烃排放浓度《合成树脂工业污染物排放标准》（DB37/2375-2013）中表5中标准限值</w:t>
                  </w:r>
                </w:p>
              </w:tc>
              <w:tc>
                <w:tcPr>
                  <w:tcW w:w="772" w:type="pct"/>
                  <w:vMerge w:val="restart"/>
                  <w:vAlign w:val="center"/>
                </w:tcPr>
                <w:p>
                  <w:pPr>
                    <w:adjustRightInd w:val="0"/>
                    <w:snapToGrid w:val="0"/>
                    <w:jc w:val="center"/>
                    <w:rPr>
                      <w:szCs w:val="21"/>
                    </w:rPr>
                  </w:pPr>
                  <w:r>
                    <w:rPr>
                      <w:rFonts w:hint="eastAsia"/>
                      <w:szCs w:val="21"/>
                    </w:rPr>
                    <w:t>与主体工程同时实施，同时完成，同时投入使用</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23" w:type="dxa"/>
                  <w:bottom w:w="0" w:type="dxa"/>
                  <w:right w:w="23" w:type="dxa"/>
                </w:tblCellMar>
              </w:tblPrEx>
              <w:trPr>
                <w:trHeight w:val="697" w:hRule="atLeast"/>
              </w:trPr>
              <w:tc>
                <w:tcPr>
                  <w:tcW w:w="332" w:type="pct"/>
                  <w:vAlign w:val="center"/>
                </w:tcPr>
                <w:p>
                  <w:pPr>
                    <w:adjustRightInd w:val="0"/>
                    <w:snapToGrid w:val="0"/>
                    <w:jc w:val="center"/>
                    <w:rPr>
                      <w:color w:val="FF0000"/>
                      <w:szCs w:val="21"/>
                    </w:rPr>
                  </w:pPr>
                  <w:r>
                    <w:rPr>
                      <w:rFonts w:hint="eastAsia"/>
                      <w:color w:val="FF0000"/>
                      <w:szCs w:val="21"/>
                    </w:rPr>
                    <w:t>无组织废气</w:t>
                  </w:r>
                </w:p>
              </w:tc>
              <w:tc>
                <w:tcPr>
                  <w:tcW w:w="368" w:type="pct"/>
                  <w:vAlign w:val="center"/>
                </w:tcPr>
                <w:p>
                  <w:pPr>
                    <w:adjustRightInd w:val="0"/>
                    <w:snapToGrid w:val="0"/>
                    <w:jc w:val="center"/>
                    <w:rPr>
                      <w:color w:val="FF0000"/>
                      <w:szCs w:val="21"/>
                    </w:rPr>
                  </w:pPr>
                  <w:r>
                    <w:rPr>
                      <w:rFonts w:hint="eastAsia"/>
                      <w:color w:val="FF0000"/>
                      <w:szCs w:val="21"/>
                    </w:rPr>
                    <w:t>生产车间</w:t>
                  </w:r>
                </w:p>
              </w:tc>
              <w:tc>
                <w:tcPr>
                  <w:tcW w:w="553" w:type="pct"/>
                  <w:vAlign w:val="center"/>
                </w:tcPr>
                <w:p>
                  <w:pPr>
                    <w:adjustRightInd w:val="0"/>
                    <w:snapToGrid w:val="0"/>
                    <w:jc w:val="center"/>
                    <w:rPr>
                      <w:color w:val="FF0000"/>
                      <w:szCs w:val="21"/>
                    </w:rPr>
                  </w:pPr>
                  <w:r>
                    <w:rPr>
                      <w:rFonts w:hint="eastAsia"/>
                      <w:color w:val="auto"/>
                      <w:kern w:val="0"/>
                      <w:szCs w:val="21"/>
                      <w:lang w:eastAsia="zh-CN"/>
                    </w:rPr>
                    <w:t>非甲烷总烃、粉尘、氯化氢</w:t>
                  </w:r>
                </w:p>
              </w:tc>
              <w:tc>
                <w:tcPr>
                  <w:tcW w:w="1186" w:type="pct"/>
                  <w:vAlign w:val="center"/>
                </w:tcPr>
                <w:p>
                  <w:pPr>
                    <w:adjustRightInd w:val="0"/>
                    <w:snapToGrid w:val="0"/>
                    <w:jc w:val="center"/>
                    <w:rPr>
                      <w:color w:val="FF0000"/>
                      <w:szCs w:val="21"/>
                    </w:rPr>
                  </w:pPr>
                  <w:r>
                    <w:rPr>
                      <w:rFonts w:hint="eastAsia"/>
                      <w:color w:val="FF0000"/>
                      <w:szCs w:val="21"/>
                    </w:rPr>
                    <w:t>增加车间通风频次</w:t>
                  </w:r>
                </w:p>
              </w:tc>
              <w:tc>
                <w:tcPr>
                  <w:tcW w:w="1788" w:type="pct"/>
                  <w:gridSpan w:val="2"/>
                  <w:vAlign w:val="center"/>
                </w:tcPr>
                <w:p>
                  <w:pPr>
                    <w:adjustRightInd w:val="0"/>
                    <w:snapToGrid w:val="0"/>
                    <w:jc w:val="center"/>
                    <w:rPr>
                      <w:color w:val="FF0000"/>
                      <w:szCs w:val="21"/>
                    </w:rPr>
                  </w:pPr>
                  <w:r>
                    <w:rPr>
                      <w:rFonts w:hint="eastAsia"/>
                      <w:szCs w:val="21"/>
                      <w:lang w:eastAsia="zh-CN"/>
                    </w:rPr>
                    <w:t>粉尘、非甲烷总烃排放浓度《合成树脂工业污染物排放标准》（DB37/2375-2013）中表</w:t>
                  </w:r>
                  <w:r>
                    <w:rPr>
                      <w:rFonts w:hint="eastAsia"/>
                      <w:szCs w:val="21"/>
                      <w:lang w:val="en-US" w:eastAsia="zh-CN"/>
                    </w:rPr>
                    <w:t>9</w:t>
                  </w:r>
                  <w:r>
                    <w:rPr>
                      <w:rFonts w:hint="eastAsia"/>
                      <w:szCs w:val="21"/>
                      <w:lang w:eastAsia="zh-CN"/>
                    </w:rPr>
                    <w:t>中标准限值</w:t>
                  </w:r>
                </w:p>
              </w:tc>
              <w:tc>
                <w:tcPr>
                  <w:tcW w:w="772" w:type="pct"/>
                  <w:vMerge w:val="continue"/>
                  <w:vAlign w:val="center"/>
                </w:tcPr>
                <w:p>
                  <w:pPr>
                    <w:adjustRightInd w:val="0"/>
                    <w:snapToGrid w:val="0"/>
                    <w:jc w:val="center"/>
                    <w:rPr>
                      <w:szCs w:val="21"/>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23" w:type="dxa"/>
                  <w:bottom w:w="0" w:type="dxa"/>
                  <w:right w:w="23" w:type="dxa"/>
                </w:tblCellMar>
              </w:tblPrEx>
              <w:trPr>
                <w:trHeight w:val="537" w:hRule="atLeast"/>
              </w:trPr>
              <w:tc>
                <w:tcPr>
                  <w:tcW w:w="332" w:type="pct"/>
                  <w:vAlign w:val="center"/>
                </w:tcPr>
                <w:p>
                  <w:pPr>
                    <w:adjustRightInd w:val="0"/>
                    <w:snapToGrid w:val="0"/>
                    <w:jc w:val="center"/>
                    <w:rPr>
                      <w:szCs w:val="21"/>
                    </w:rPr>
                  </w:pPr>
                  <w:r>
                    <w:rPr>
                      <w:szCs w:val="21"/>
                    </w:rPr>
                    <w:t>废水</w:t>
                  </w:r>
                </w:p>
              </w:tc>
              <w:tc>
                <w:tcPr>
                  <w:tcW w:w="368" w:type="pct"/>
                  <w:vAlign w:val="center"/>
                </w:tcPr>
                <w:p>
                  <w:pPr>
                    <w:adjustRightInd w:val="0"/>
                    <w:snapToGrid w:val="0"/>
                    <w:jc w:val="center"/>
                    <w:rPr>
                      <w:szCs w:val="21"/>
                    </w:rPr>
                  </w:pPr>
                  <w:r>
                    <w:rPr>
                      <w:szCs w:val="21"/>
                    </w:rPr>
                    <w:t>生</w:t>
                  </w:r>
                  <w:r>
                    <w:rPr>
                      <w:rFonts w:hint="eastAsia"/>
                      <w:szCs w:val="21"/>
                    </w:rPr>
                    <w:t>活</w:t>
                  </w:r>
                  <w:r>
                    <w:rPr>
                      <w:szCs w:val="21"/>
                    </w:rPr>
                    <w:t>废水</w:t>
                  </w:r>
                </w:p>
              </w:tc>
              <w:tc>
                <w:tcPr>
                  <w:tcW w:w="553" w:type="pct"/>
                  <w:vAlign w:val="center"/>
                </w:tcPr>
                <w:p>
                  <w:pPr>
                    <w:adjustRightInd w:val="0"/>
                    <w:snapToGrid w:val="0"/>
                    <w:contextualSpacing/>
                    <w:jc w:val="center"/>
                    <w:rPr>
                      <w:szCs w:val="21"/>
                    </w:rPr>
                  </w:pPr>
                  <w:r>
                    <w:rPr>
                      <w:szCs w:val="21"/>
                    </w:rPr>
                    <w:t>COD、SS、NH</w:t>
                  </w:r>
                  <w:r>
                    <w:rPr>
                      <w:szCs w:val="21"/>
                      <w:vertAlign w:val="subscript"/>
                    </w:rPr>
                    <w:t>3</w:t>
                  </w:r>
                  <w:r>
                    <w:rPr>
                      <w:szCs w:val="21"/>
                    </w:rPr>
                    <w:t>-N、TP</w:t>
                  </w:r>
                  <w:r>
                    <w:rPr>
                      <w:rFonts w:hint="eastAsia"/>
                      <w:szCs w:val="21"/>
                    </w:rPr>
                    <w:t>、TN</w:t>
                  </w:r>
                </w:p>
              </w:tc>
              <w:tc>
                <w:tcPr>
                  <w:tcW w:w="1186" w:type="pct"/>
                  <w:vAlign w:val="center"/>
                </w:tcPr>
                <w:p>
                  <w:pPr>
                    <w:adjustRightInd w:val="0"/>
                    <w:snapToGrid w:val="0"/>
                    <w:jc w:val="center"/>
                    <w:rPr>
                      <w:szCs w:val="21"/>
                    </w:rPr>
                  </w:pPr>
                  <w:r>
                    <w:rPr>
                      <w:rFonts w:hint="eastAsia"/>
                      <w:szCs w:val="21"/>
                    </w:rPr>
                    <w:t>依托厂区现有1座</w:t>
                  </w:r>
                  <w:r>
                    <w:rPr>
                      <w:szCs w:val="21"/>
                    </w:rPr>
                    <w:t>化粪池</w:t>
                  </w:r>
                  <w:r>
                    <w:rPr>
                      <w:rFonts w:hint="eastAsia"/>
                      <w:szCs w:val="21"/>
                    </w:rPr>
                    <w:t>预处理</w:t>
                  </w:r>
                </w:p>
              </w:tc>
              <w:tc>
                <w:tcPr>
                  <w:tcW w:w="1788" w:type="pct"/>
                  <w:gridSpan w:val="2"/>
                  <w:vAlign w:val="center"/>
                </w:tcPr>
                <w:p>
                  <w:pPr>
                    <w:adjustRightInd w:val="0"/>
                    <w:snapToGrid w:val="0"/>
                    <w:jc w:val="center"/>
                    <w:rPr>
                      <w:szCs w:val="21"/>
                    </w:rPr>
                  </w:pPr>
                  <w:r>
                    <w:rPr>
                      <w:rFonts w:hint="eastAsia"/>
                      <w:kern w:val="0"/>
                      <w:szCs w:val="21"/>
                    </w:rPr>
                    <w:t>废水经预处理后达金坛区第二污水处理厂接管标准</w:t>
                  </w:r>
                </w:p>
              </w:tc>
              <w:tc>
                <w:tcPr>
                  <w:tcW w:w="772" w:type="pct"/>
                  <w:vMerge w:val="continue"/>
                  <w:vAlign w:val="center"/>
                </w:tcPr>
                <w:p>
                  <w:pPr>
                    <w:adjustRightInd w:val="0"/>
                    <w:snapToGrid w:val="0"/>
                    <w:jc w:val="center"/>
                    <w:rPr>
                      <w:kern w:val="0"/>
                      <w:szCs w:val="21"/>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23" w:type="dxa"/>
                  <w:bottom w:w="0" w:type="dxa"/>
                  <w:right w:w="23" w:type="dxa"/>
                </w:tblCellMar>
              </w:tblPrEx>
              <w:trPr>
                <w:trHeight w:val="519" w:hRule="atLeast"/>
              </w:trPr>
              <w:tc>
                <w:tcPr>
                  <w:tcW w:w="332" w:type="pct"/>
                  <w:vAlign w:val="center"/>
                </w:tcPr>
                <w:p>
                  <w:pPr>
                    <w:adjustRightInd w:val="0"/>
                    <w:snapToGrid w:val="0"/>
                    <w:jc w:val="center"/>
                    <w:rPr>
                      <w:szCs w:val="21"/>
                    </w:rPr>
                  </w:pPr>
                  <w:r>
                    <w:rPr>
                      <w:szCs w:val="21"/>
                    </w:rPr>
                    <w:t>噪声</w:t>
                  </w:r>
                </w:p>
              </w:tc>
              <w:tc>
                <w:tcPr>
                  <w:tcW w:w="368" w:type="pct"/>
                  <w:vAlign w:val="center"/>
                </w:tcPr>
                <w:p>
                  <w:pPr>
                    <w:adjustRightInd w:val="0"/>
                    <w:snapToGrid w:val="0"/>
                    <w:jc w:val="center"/>
                    <w:rPr>
                      <w:szCs w:val="21"/>
                    </w:rPr>
                  </w:pPr>
                  <w:r>
                    <w:rPr>
                      <w:szCs w:val="21"/>
                    </w:rPr>
                    <w:t>车间</w:t>
                  </w:r>
                </w:p>
              </w:tc>
              <w:tc>
                <w:tcPr>
                  <w:tcW w:w="553" w:type="pct"/>
                  <w:vAlign w:val="center"/>
                </w:tcPr>
                <w:p>
                  <w:pPr>
                    <w:adjustRightInd w:val="0"/>
                    <w:snapToGrid w:val="0"/>
                    <w:jc w:val="center"/>
                    <w:rPr>
                      <w:szCs w:val="21"/>
                    </w:rPr>
                  </w:pPr>
                  <w:r>
                    <w:rPr>
                      <w:szCs w:val="21"/>
                    </w:rPr>
                    <w:t>机械设备</w:t>
                  </w:r>
                </w:p>
              </w:tc>
              <w:tc>
                <w:tcPr>
                  <w:tcW w:w="1186" w:type="pct"/>
                  <w:vAlign w:val="center"/>
                </w:tcPr>
                <w:p>
                  <w:pPr>
                    <w:adjustRightInd w:val="0"/>
                    <w:snapToGrid w:val="0"/>
                    <w:jc w:val="center"/>
                    <w:rPr>
                      <w:szCs w:val="21"/>
                    </w:rPr>
                  </w:pPr>
                  <w:r>
                    <w:rPr>
                      <w:szCs w:val="21"/>
                    </w:rPr>
                    <w:t>厂房隔声、减振</w:t>
                  </w:r>
                </w:p>
              </w:tc>
              <w:tc>
                <w:tcPr>
                  <w:tcW w:w="1788" w:type="pct"/>
                  <w:gridSpan w:val="2"/>
                  <w:vAlign w:val="center"/>
                </w:tcPr>
                <w:p>
                  <w:pPr>
                    <w:adjustRightInd w:val="0"/>
                    <w:snapToGrid w:val="0"/>
                    <w:jc w:val="center"/>
                    <w:rPr>
                      <w:szCs w:val="21"/>
                    </w:rPr>
                  </w:pPr>
                  <w:r>
                    <w:rPr>
                      <w:szCs w:val="21"/>
                    </w:rPr>
                    <w:t>《工业企业厂界环境噪声排放标准》（GB12348－2008）中</w:t>
                  </w:r>
                  <w:r>
                    <w:rPr>
                      <w:rFonts w:hint="eastAsia"/>
                      <w:szCs w:val="21"/>
                    </w:rPr>
                    <w:t>3</w:t>
                  </w:r>
                  <w:r>
                    <w:rPr>
                      <w:szCs w:val="21"/>
                    </w:rPr>
                    <w:t>类</w:t>
                  </w:r>
                  <w:r>
                    <w:rPr>
                      <w:rFonts w:hint="eastAsia"/>
                      <w:szCs w:val="21"/>
                    </w:rPr>
                    <w:t>区限值</w:t>
                  </w:r>
                </w:p>
              </w:tc>
              <w:tc>
                <w:tcPr>
                  <w:tcW w:w="772" w:type="pct"/>
                  <w:vMerge w:val="continue"/>
                  <w:vAlign w:val="center"/>
                </w:tcPr>
                <w:p>
                  <w:pPr>
                    <w:adjustRightInd w:val="0"/>
                    <w:snapToGrid w:val="0"/>
                    <w:jc w:val="center"/>
                    <w:rPr>
                      <w:szCs w:val="21"/>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23" w:type="dxa"/>
                  <w:bottom w:w="0" w:type="dxa"/>
                  <w:right w:w="23" w:type="dxa"/>
                </w:tblCellMar>
              </w:tblPrEx>
              <w:trPr>
                <w:trHeight w:val="559" w:hRule="atLeast"/>
              </w:trPr>
              <w:tc>
                <w:tcPr>
                  <w:tcW w:w="332" w:type="pct"/>
                  <w:vMerge w:val="restart"/>
                  <w:vAlign w:val="center"/>
                </w:tcPr>
                <w:p>
                  <w:pPr>
                    <w:adjustRightInd w:val="0"/>
                    <w:snapToGrid w:val="0"/>
                    <w:jc w:val="center"/>
                    <w:rPr>
                      <w:szCs w:val="21"/>
                    </w:rPr>
                  </w:pPr>
                  <w:r>
                    <w:rPr>
                      <w:szCs w:val="21"/>
                    </w:rPr>
                    <w:t>固废</w:t>
                  </w:r>
                </w:p>
              </w:tc>
              <w:tc>
                <w:tcPr>
                  <w:tcW w:w="368" w:type="pct"/>
                  <w:vMerge w:val="restart"/>
                  <w:vAlign w:val="center"/>
                </w:tcPr>
                <w:p>
                  <w:pPr>
                    <w:adjustRightInd w:val="0"/>
                    <w:snapToGrid w:val="0"/>
                    <w:jc w:val="center"/>
                    <w:rPr>
                      <w:szCs w:val="21"/>
                    </w:rPr>
                  </w:pPr>
                  <w:r>
                    <w:rPr>
                      <w:szCs w:val="21"/>
                    </w:rPr>
                    <w:t>生产</w:t>
                  </w:r>
                  <w:r>
                    <w:rPr>
                      <w:rFonts w:hint="eastAsia"/>
                      <w:szCs w:val="21"/>
                    </w:rPr>
                    <w:t>过程</w:t>
                  </w:r>
                </w:p>
              </w:tc>
              <w:tc>
                <w:tcPr>
                  <w:tcW w:w="553" w:type="pct"/>
                  <w:vAlign w:val="center"/>
                </w:tcPr>
                <w:p>
                  <w:pPr>
                    <w:adjustRightInd w:val="0"/>
                    <w:snapToGrid w:val="0"/>
                    <w:rPr>
                      <w:szCs w:val="21"/>
                    </w:rPr>
                  </w:pPr>
                  <w:r>
                    <w:rPr>
                      <w:szCs w:val="21"/>
                    </w:rPr>
                    <w:t>一般固废</w:t>
                  </w:r>
                </w:p>
              </w:tc>
              <w:tc>
                <w:tcPr>
                  <w:tcW w:w="1186" w:type="pct"/>
                  <w:vAlign w:val="center"/>
                </w:tcPr>
                <w:p>
                  <w:pPr>
                    <w:adjustRightInd w:val="0"/>
                    <w:snapToGrid w:val="0"/>
                    <w:jc w:val="center"/>
                    <w:rPr>
                      <w:szCs w:val="21"/>
                    </w:rPr>
                  </w:pPr>
                  <w:r>
                    <w:rPr>
                      <w:rFonts w:hint="eastAsia"/>
                      <w:szCs w:val="21"/>
                    </w:rPr>
                    <w:t>一般</w:t>
                  </w:r>
                  <w:r>
                    <w:rPr>
                      <w:szCs w:val="21"/>
                    </w:rPr>
                    <w:t>固废堆场</w:t>
                  </w:r>
                  <w:r>
                    <w:rPr>
                      <w:rFonts w:hint="eastAsia"/>
                      <w:szCs w:val="21"/>
                      <w:lang w:val="en-US" w:eastAsia="zh-CN"/>
                    </w:rPr>
                    <w:t>15</w:t>
                  </w:r>
                  <w:r>
                    <w:rPr>
                      <w:szCs w:val="21"/>
                    </w:rPr>
                    <w:t>m</w:t>
                  </w:r>
                  <w:r>
                    <w:rPr>
                      <w:szCs w:val="21"/>
                      <w:vertAlign w:val="superscript"/>
                    </w:rPr>
                    <w:t>2</w:t>
                  </w:r>
                </w:p>
              </w:tc>
              <w:tc>
                <w:tcPr>
                  <w:tcW w:w="1788" w:type="pct"/>
                  <w:gridSpan w:val="2"/>
                  <w:vMerge w:val="restart"/>
                  <w:vAlign w:val="center"/>
                </w:tcPr>
                <w:p>
                  <w:pPr>
                    <w:adjustRightInd w:val="0"/>
                    <w:snapToGrid w:val="0"/>
                    <w:jc w:val="center"/>
                    <w:rPr>
                      <w:szCs w:val="21"/>
                    </w:rPr>
                  </w:pPr>
                  <w:r>
                    <w:rPr>
                      <w:szCs w:val="21"/>
                    </w:rPr>
                    <w:t>固废100%</w:t>
                  </w:r>
                  <w:r>
                    <w:rPr>
                      <w:rFonts w:hint="eastAsia"/>
                      <w:szCs w:val="21"/>
                    </w:rPr>
                    <w:t>收集</w:t>
                  </w:r>
                </w:p>
              </w:tc>
              <w:tc>
                <w:tcPr>
                  <w:tcW w:w="772" w:type="pct"/>
                  <w:vMerge w:val="continue"/>
                  <w:vAlign w:val="center"/>
                </w:tcPr>
                <w:p>
                  <w:pPr>
                    <w:adjustRightInd w:val="0"/>
                    <w:snapToGrid w:val="0"/>
                    <w:jc w:val="center"/>
                    <w:rPr>
                      <w:szCs w:val="21"/>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23" w:type="dxa"/>
                  <w:bottom w:w="0" w:type="dxa"/>
                  <w:right w:w="23" w:type="dxa"/>
                </w:tblCellMar>
              </w:tblPrEx>
              <w:trPr>
                <w:trHeight w:val="559" w:hRule="atLeast"/>
              </w:trPr>
              <w:tc>
                <w:tcPr>
                  <w:tcW w:w="332" w:type="pct"/>
                  <w:vMerge w:val="continue"/>
                  <w:vAlign w:val="center"/>
                </w:tcPr>
                <w:p>
                  <w:pPr>
                    <w:adjustRightInd w:val="0"/>
                    <w:snapToGrid w:val="0"/>
                    <w:jc w:val="center"/>
                    <w:rPr>
                      <w:szCs w:val="21"/>
                    </w:rPr>
                  </w:pPr>
                </w:p>
              </w:tc>
              <w:tc>
                <w:tcPr>
                  <w:tcW w:w="368" w:type="pct"/>
                  <w:vMerge w:val="continue"/>
                  <w:vAlign w:val="center"/>
                </w:tcPr>
                <w:p>
                  <w:pPr>
                    <w:adjustRightInd w:val="0"/>
                    <w:snapToGrid w:val="0"/>
                    <w:jc w:val="center"/>
                    <w:rPr>
                      <w:szCs w:val="21"/>
                    </w:rPr>
                  </w:pPr>
                </w:p>
              </w:tc>
              <w:tc>
                <w:tcPr>
                  <w:tcW w:w="553" w:type="pct"/>
                  <w:vAlign w:val="center"/>
                </w:tcPr>
                <w:p>
                  <w:pPr>
                    <w:adjustRightInd w:val="0"/>
                    <w:snapToGrid w:val="0"/>
                    <w:rPr>
                      <w:szCs w:val="21"/>
                    </w:rPr>
                  </w:pPr>
                  <w:r>
                    <w:rPr>
                      <w:rFonts w:hint="eastAsia"/>
                      <w:szCs w:val="21"/>
                    </w:rPr>
                    <w:t>危险废物</w:t>
                  </w:r>
                </w:p>
              </w:tc>
              <w:tc>
                <w:tcPr>
                  <w:tcW w:w="1186" w:type="pct"/>
                  <w:vAlign w:val="center"/>
                </w:tcPr>
                <w:p>
                  <w:pPr>
                    <w:adjustRightInd w:val="0"/>
                    <w:snapToGrid w:val="0"/>
                    <w:jc w:val="center"/>
                    <w:rPr>
                      <w:szCs w:val="21"/>
                    </w:rPr>
                  </w:pPr>
                  <w:r>
                    <w:rPr>
                      <w:rFonts w:hint="eastAsia"/>
                      <w:szCs w:val="21"/>
                    </w:rPr>
                    <w:t>危险废物</w:t>
                  </w:r>
                  <w:r>
                    <w:rPr>
                      <w:szCs w:val="21"/>
                    </w:rPr>
                    <w:t>堆场</w:t>
                  </w:r>
                  <w:r>
                    <w:rPr>
                      <w:rFonts w:hint="eastAsia"/>
                      <w:szCs w:val="21"/>
                      <w:lang w:val="en-US" w:eastAsia="zh-CN"/>
                    </w:rPr>
                    <w:t>54</w:t>
                  </w:r>
                  <w:r>
                    <w:rPr>
                      <w:szCs w:val="21"/>
                    </w:rPr>
                    <w:t>m</w:t>
                  </w:r>
                  <w:r>
                    <w:rPr>
                      <w:szCs w:val="21"/>
                      <w:vertAlign w:val="superscript"/>
                    </w:rPr>
                    <w:t>2</w:t>
                  </w:r>
                </w:p>
              </w:tc>
              <w:tc>
                <w:tcPr>
                  <w:tcW w:w="1788" w:type="pct"/>
                  <w:gridSpan w:val="2"/>
                  <w:vMerge w:val="continue"/>
                  <w:vAlign w:val="center"/>
                </w:tcPr>
                <w:p>
                  <w:pPr>
                    <w:adjustRightInd w:val="0"/>
                    <w:snapToGrid w:val="0"/>
                    <w:jc w:val="center"/>
                    <w:rPr>
                      <w:szCs w:val="21"/>
                    </w:rPr>
                  </w:pPr>
                </w:p>
              </w:tc>
              <w:tc>
                <w:tcPr>
                  <w:tcW w:w="772" w:type="pct"/>
                  <w:vMerge w:val="continue"/>
                  <w:vAlign w:val="center"/>
                </w:tcPr>
                <w:p>
                  <w:pPr>
                    <w:adjustRightInd w:val="0"/>
                    <w:snapToGrid w:val="0"/>
                    <w:jc w:val="center"/>
                    <w:rPr>
                      <w:szCs w:val="21"/>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23" w:type="dxa"/>
                  <w:bottom w:w="0" w:type="dxa"/>
                  <w:right w:w="23" w:type="dxa"/>
                </w:tblCellMar>
              </w:tblPrEx>
              <w:trPr>
                <w:trHeight w:val="292" w:hRule="atLeast"/>
              </w:trPr>
              <w:tc>
                <w:tcPr>
                  <w:tcW w:w="332" w:type="pct"/>
                  <w:vMerge w:val="continue"/>
                  <w:vAlign w:val="center"/>
                </w:tcPr>
                <w:p>
                  <w:pPr>
                    <w:adjustRightInd w:val="0"/>
                    <w:snapToGrid w:val="0"/>
                    <w:jc w:val="center"/>
                    <w:rPr>
                      <w:szCs w:val="21"/>
                    </w:rPr>
                  </w:pPr>
                </w:p>
              </w:tc>
              <w:tc>
                <w:tcPr>
                  <w:tcW w:w="368" w:type="pct"/>
                  <w:vAlign w:val="center"/>
                </w:tcPr>
                <w:p>
                  <w:pPr>
                    <w:adjustRightInd w:val="0"/>
                    <w:snapToGrid w:val="0"/>
                    <w:jc w:val="center"/>
                    <w:rPr>
                      <w:szCs w:val="21"/>
                    </w:rPr>
                  </w:pPr>
                  <w:r>
                    <w:rPr>
                      <w:szCs w:val="21"/>
                    </w:rPr>
                    <w:t>生活过程</w:t>
                  </w:r>
                </w:p>
              </w:tc>
              <w:tc>
                <w:tcPr>
                  <w:tcW w:w="553" w:type="pct"/>
                  <w:vAlign w:val="center"/>
                </w:tcPr>
                <w:p>
                  <w:pPr>
                    <w:adjustRightInd w:val="0"/>
                    <w:snapToGrid w:val="0"/>
                    <w:jc w:val="center"/>
                    <w:rPr>
                      <w:szCs w:val="21"/>
                    </w:rPr>
                  </w:pPr>
                  <w:r>
                    <w:rPr>
                      <w:szCs w:val="21"/>
                    </w:rPr>
                    <w:t>生活垃圾</w:t>
                  </w:r>
                </w:p>
              </w:tc>
              <w:tc>
                <w:tcPr>
                  <w:tcW w:w="1186" w:type="pct"/>
                  <w:vAlign w:val="center"/>
                </w:tcPr>
                <w:p>
                  <w:pPr>
                    <w:adjustRightInd w:val="0"/>
                    <w:snapToGrid w:val="0"/>
                    <w:jc w:val="center"/>
                    <w:rPr>
                      <w:szCs w:val="21"/>
                    </w:rPr>
                  </w:pPr>
                  <w:r>
                    <w:rPr>
                      <w:szCs w:val="21"/>
                    </w:rPr>
                    <w:t>垃圾桶</w:t>
                  </w:r>
                </w:p>
              </w:tc>
              <w:tc>
                <w:tcPr>
                  <w:tcW w:w="1788" w:type="pct"/>
                  <w:gridSpan w:val="2"/>
                  <w:vMerge w:val="continue"/>
                  <w:vAlign w:val="center"/>
                </w:tcPr>
                <w:p>
                  <w:pPr>
                    <w:adjustRightInd w:val="0"/>
                    <w:snapToGrid w:val="0"/>
                    <w:jc w:val="center"/>
                    <w:rPr>
                      <w:szCs w:val="21"/>
                    </w:rPr>
                  </w:pPr>
                </w:p>
              </w:tc>
              <w:tc>
                <w:tcPr>
                  <w:tcW w:w="772" w:type="pct"/>
                  <w:vMerge w:val="continue"/>
                  <w:vAlign w:val="center"/>
                </w:tcPr>
                <w:p>
                  <w:pPr>
                    <w:adjustRightInd w:val="0"/>
                    <w:snapToGrid w:val="0"/>
                    <w:jc w:val="center"/>
                    <w:rPr>
                      <w:szCs w:val="21"/>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23" w:type="dxa"/>
                  <w:bottom w:w="0" w:type="dxa"/>
                  <w:right w:w="23" w:type="dxa"/>
                </w:tblCellMar>
              </w:tblPrEx>
              <w:trPr>
                <w:trHeight w:val="264" w:hRule="atLeast"/>
              </w:trPr>
              <w:tc>
                <w:tcPr>
                  <w:tcW w:w="1253" w:type="pct"/>
                  <w:gridSpan w:val="3"/>
                  <w:vAlign w:val="center"/>
                </w:tcPr>
                <w:p>
                  <w:pPr>
                    <w:adjustRightInd w:val="0"/>
                    <w:snapToGrid w:val="0"/>
                    <w:jc w:val="center"/>
                    <w:rPr>
                      <w:color w:val="auto"/>
                      <w:szCs w:val="21"/>
                    </w:rPr>
                  </w:pPr>
                  <w:r>
                    <w:rPr>
                      <w:color w:val="auto"/>
                      <w:szCs w:val="21"/>
                    </w:rPr>
                    <w:t>绿化</w:t>
                  </w:r>
                </w:p>
              </w:tc>
              <w:tc>
                <w:tcPr>
                  <w:tcW w:w="1186" w:type="pct"/>
                  <w:vAlign w:val="center"/>
                </w:tcPr>
                <w:p>
                  <w:pPr>
                    <w:adjustRightInd w:val="0"/>
                    <w:snapToGrid w:val="0"/>
                    <w:jc w:val="center"/>
                    <w:rPr>
                      <w:color w:val="auto"/>
                      <w:szCs w:val="21"/>
                    </w:rPr>
                  </w:pPr>
                  <w:r>
                    <w:rPr>
                      <w:color w:val="auto"/>
                      <w:szCs w:val="21"/>
                    </w:rPr>
                    <w:t>—</w:t>
                  </w:r>
                </w:p>
              </w:tc>
              <w:tc>
                <w:tcPr>
                  <w:tcW w:w="1788" w:type="pct"/>
                  <w:gridSpan w:val="2"/>
                  <w:vAlign w:val="center"/>
                </w:tcPr>
                <w:p>
                  <w:pPr>
                    <w:adjustRightInd w:val="0"/>
                    <w:snapToGrid w:val="0"/>
                    <w:jc w:val="center"/>
                    <w:rPr>
                      <w:color w:val="auto"/>
                      <w:szCs w:val="21"/>
                    </w:rPr>
                  </w:pPr>
                  <w:r>
                    <w:rPr>
                      <w:color w:val="auto"/>
                      <w:szCs w:val="21"/>
                    </w:rPr>
                    <w:t>依托现有</w:t>
                  </w:r>
                </w:p>
              </w:tc>
              <w:tc>
                <w:tcPr>
                  <w:tcW w:w="772" w:type="pct"/>
                  <w:vMerge w:val="continue"/>
                  <w:vAlign w:val="center"/>
                </w:tcPr>
                <w:p>
                  <w:pPr>
                    <w:adjustRightInd w:val="0"/>
                    <w:snapToGrid w:val="0"/>
                    <w:jc w:val="center"/>
                    <w:rPr>
                      <w:szCs w:val="21"/>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23" w:type="dxa"/>
                  <w:bottom w:w="0" w:type="dxa"/>
                  <w:right w:w="23" w:type="dxa"/>
                </w:tblCellMar>
              </w:tblPrEx>
              <w:trPr>
                <w:trHeight w:val="264" w:hRule="atLeast"/>
              </w:trPr>
              <w:tc>
                <w:tcPr>
                  <w:tcW w:w="1253" w:type="pct"/>
                  <w:gridSpan w:val="3"/>
                  <w:vAlign w:val="center"/>
                </w:tcPr>
                <w:p>
                  <w:pPr>
                    <w:adjustRightInd w:val="0"/>
                    <w:snapToGrid w:val="0"/>
                    <w:jc w:val="center"/>
                    <w:rPr>
                      <w:rFonts w:hint="eastAsia"/>
                      <w:color w:val="auto"/>
                      <w:szCs w:val="21"/>
                    </w:rPr>
                  </w:pPr>
                  <w:r>
                    <w:rPr>
                      <w:rFonts w:hint="eastAsia"/>
                      <w:color w:val="auto"/>
                      <w:szCs w:val="21"/>
                    </w:rPr>
                    <w:t>总量平衡具体</w:t>
                  </w:r>
                </w:p>
                <w:p>
                  <w:pPr>
                    <w:adjustRightInd w:val="0"/>
                    <w:snapToGrid w:val="0"/>
                    <w:jc w:val="center"/>
                    <w:rPr>
                      <w:color w:val="auto"/>
                      <w:szCs w:val="21"/>
                    </w:rPr>
                  </w:pPr>
                  <w:r>
                    <w:rPr>
                      <w:rFonts w:hint="eastAsia"/>
                      <w:color w:val="auto"/>
                      <w:szCs w:val="21"/>
                    </w:rPr>
                    <w:t>方案</w:t>
                  </w:r>
                </w:p>
              </w:tc>
              <w:tc>
                <w:tcPr>
                  <w:tcW w:w="2974" w:type="pct"/>
                  <w:gridSpan w:val="3"/>
                  <w:vAlign w:val="center"/>
                </w:tcPr>
                <w:p>
                  <w:pPr>
                    <w:adjustRightInd w:val="0"/>
                    <w:snapToGrid w:val="0"/>
                    <w:jc w:val="center"/>
                    <w:rPr>
                      <w:rFonts w:hint="eastAsia" w:eastAsia="宋体"/>
                      <w:color w:val="auto"/>
                      <w:szCs w:val="21"/>
                      <w:lang w:eastAsia="zh-CN"/>
                    </w:rPr>
                  </w:pPr>
                  <w:r>
                    <w:rPr>
                      <w:rFonts w:hint="eastAsia"/>
                      <w:color w:val="auto"/>
                      <w:szCs w:val="21"/>
                    </w:rPr>
                    <w:t>废气：</w:t>
                  </w:r>
                  <w:r>
                    <w:rPr>
                      <w:rFonts w:hint="eastAsia"/>
                      <w:color w:val="auto"/>
                      <w:szCs w:val="21"/>
                      <w:lang w:eastAsia="zh-CN"/>
                    </w:rPr>
                    <w:t>颗粒物</w:t>
                  </w:r>
                  <w:r>
                    <w:rPr>
                      <w:rFonts w:hint="eastAsia"/>
                      <w:color w:val="auto"/>
                      <w:szCs w:val="21"/>
                      <w:lang w:val="en-US" w:eastAsia="zh-CN"/>
                    </w:rPr>
                    <w:t>0.0005t/a、</w:t>
                  </w:r>
                  <w:r>
                    <w:rPr>
                      <w:rFonts w:hint="eastAsia"/>
                      <w:color w:val="auto"/>
                      <w:szCs w:val="21"/>
                      <w:lang w:eastAsia="zh-CN"/>
                    </w:rPr>
                    <w:t>非甲烷总烃</w:t>
                  </w:r>
                  <w:r>
                    <w:rPr>
                      <w:rFonts w:hint="eastAsia"/>
                      <w:color w:val="auto"/>
                      <w:szCs w:val="21"/>
                    </w:rPr>
                    <w:t>0.0</w:t>
                  </w:r>
                  <w:r>
                    <w:rPr>
                      <w:rFonts w:hint="eastAsia"/>
                      <w:color w:val="auto"/>
                      <w:szCs w:val="21"/>
                      <w:lang w:val="en-US" w:eastAsia="zh-CN"/>
                    </w:rPr>
                    <w:t>5kg</w:t>
                  </w:r>
                  <w:r>
                    <w:rPr>
                      <w:rFonts w:hint="eastAsia"/>
                      <w:color w:val="auto"/>
                      <w:szCs w:val="21"/>
                    </w:rPr>
                    <w:t>/a；废水</w:t>
                  </w:r>
                  <w:r>
                    <w:rPr>
                      <w:rFonts w:hint="eastAsia"/>
                      <w:color w:val="auto"/>
                      <w:szCs w:val="21"/>
                      <w:lang w:eastAsia="zh-CN"/>
                    </w:rPr>
                    <w:t>（</w:t>
                  </w:r>
                  <w:r>
                    <w:rPr>
                      <w:rFonts w:hint="eastAsia"/>
                      <w:color w:val="auto"/>
                      <w:szCs w:val="21"/>
                      <w:lang w:val="en-US" w:eastAsia="zh-CN"/>
                    </w:rPr>
                    <w:t>接管考核量</w:t>
                  </w:r>
                  <w:r>
                    <w:rPr>
                      <w:rFonts w:hint="eastAsia"/>
                      <w:color w:val="auto"/>
                      <w:szCs w:val="21"/>
                      <w:lang w:eastAsia="zh-CN"/>
                    </w:rPr>
                    <w:t>）</w:t>
                  </w:r>
                  <w:r>
                    <w:rPr>
                      <w:rFonts w:hint="eastAsia"/>
                      <w:color w:val="auto"/>
                      <w:szCs w:val="21"/>
                    </w:rPr>
                    <w:t>：生活污水排放量3</w:t>
                  </w:r>
                  <w:r>
                    <w:rPr>
                      <w:rFonts w:hint="eastAsia"/>
                      <w:color w:val="auto"/>
                      <w:szCs w:val="21"/>
                      <w:lang w:val="en-US" w:eastAsia="zh-CN"/>
                    </w:rPr>
                    <w:t>6</w:t>
                  </w:r>
                  <w:r>
                    <w:rPr>
                      <w:rFonts w:hint="eastAsia"/>
                      <w:color w:val="auto"/>
                      <w:szCs w:val="21"/>
                    </w:rPr>
                    <w:t>0t/a，COD0.1</w:t>
                  </w:r>
                  <w:r>
                    <w:rPr>
                      <w:rFonts w:hint="eastAsia"/>
                      <w:color w:val="auto"/>
                      <w:szCs w:val="21"/>
                      <w:lang w:val="en-US" w:eastAsia="zh-CN"/>
                    </w:rPr>
                    <w:t>2</w:t>
                  </w:r>
                  <w:r>
                    <w:rPr>
                      <w:rFonts w:hint="eastAsia"/>
                      <w:color w:val="auto"/>
                      <w:szCs w:val="21"/>
                    </w:rPr>
                    <w:t>2t/a、SS0.0</w:t>
                  </w:r>
                  <w:r>
                    <w:rPr>
                      <w:rFonts w:hint="eastAsia"/>
                      <w:color w:val="auto"/>
                      <w:szCs w:val="21"/>
                      <w:lang w:val="en-US" w:eastAsia="zh-CN"/>
                    </w:rPr>
                    <w:t>5</w:t>
                  </w:r>
                  <w:r>
                    <w:rPr>
                      <w:rFonts w:hint="eastAsia"/>
                      <w:color w:val="auto"/>
                      <w:szCs w:val="21"/>
                    </w:rPr>
                    <w:t>8t/a、氨氮0.01</w:t>
                  </w:r>
                  <w:r>
                    <w:rPr>
                      <w:rFonts w:hint="eastAsia"/>
                      <w:color w:val="auto"/>
                      <w:szCs w:val="21"/>
                      <w:lang w:val="en-US" w:eastAsia="zh-CN"/>
                    </w:rPr>
                    <w:t>26</w:t>
                  </w:r>
                  <w:r>
                    <w:rPr>
                      <w:rFonts w:hint="eastAsia"/>
                      <w:color w:val="auto"/>
                      <w:szCs w:val="21"/>
                    </w:rPr>
                    <w:t>t/a、总磷0.00</w:t>
                  </w:r>
                  <w:r>
                    <w:rPr>
                      <w:rFonts w:hint="eastAsia"/>
                      <w:color w:val="auto"/>
                      <w:szCs w:val="21"/>
                      <w:lang w:val="en-US" w:eastAsia="zh-CN"/>
                    </w:rPr>
                    <w:t>11</w:t>
                  </w:r>
                  <w:r>
                    <w:rPr>
                      <w:rFonts w:hint="eastAsia"/>
                      <w:color w:val="auto"/>
                      <w:szCs w:val="21"/>
                    </w:rPr>
                    <w:t>t/a、总氮0.01</w:t>
                  </w:r>
                  <w:r>
                    <w:rPr>
                      <w:rFonts w:hint="eastAsia"/>
                      <w:color w:val="auto"/>
                      <w:szCs w:val="21"/>
                      <w:lang w:val="en-US" w:eastAsia="zh-CN"/>
                    </w:rPr>
                    <w:t>8</w:t>
                  </w:r>
                  <w:r>
                    <w:rPr>
                      <w:rFonts w:hint="eastAsia"/>
                      <w:color w:val="auto"/>
                      <w:szCs w:val="21"/>
                    </w:rPr>
                    <w:t>t/a</w:t>
                  </w:r>
                  <w:r>
                    <w:rPr>
                      <w:rFonts w:hint="eastAsia"/>
                      <w:color w:val="auto"/>
                      <w:szCs w:val="21"/>
                      <w:lang w:eastAsia="zh-CN"/>
                    </w:rPr>
                    <w:t>；固废：固废排放总量为零。</w:t>
                  </w:r>
                </w:p>
              </w:tc>
              <w:tc>
                <w:tcPr>
                  <w:tcW w:w="772" w:type="pct"/>
                  <w:vMerge w:val="continue"/>
                  <w:vAlign w:val="center"/>
                </w:tcPr>
                <w:p>
                  <w:pPr>
                    <w:adjustRightInd w:val="0"/>
                    <w:snapToGrid w:val="0"/>
                    <w:jc w:val="center"/>
                    <w:rPr>
                      <w:szCs w:val="21"/>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23" w:type="dxa"/>
                  <w:bottom w:w="0" w:type="dxa"/>
                  <w:right w:w="23" w:type="dxa"/>
                </w:tblCellMar>
              </w:tblPrEx>
              <w:trPr>
                <w:trHeight w:val="264" w:hRule="atLeast"/>
              </w:trPr>
              <w:tc>
                <w:tcPr>
                  <w:tcW w:w="1253" w:type="pct"/>
                  <w:gridSpan w:val="3"/>
                  <w:vMerge w:val="restart"/>
                  <w:vAlign w:val="center"/>
                </w:tcPr>
                <w:p>
                  <w:pPr>
                    <w:adjustRightInd w:val="0"/>
                    <w:snapToGrid w:val="0"/>
                    <w:jc w:val="center"/>
                    <w:rPr>
                      <w:color w:val="auto"/>
                      <w:szCs w:val="21"/>
                    </w:rPr>
                  </w:pPr>
                  <w:r>
                    <w:rPr>
                      <w:color w:val="auto"/>
                      <w:szCs w:val="21"/>
                    </w:rPr>
                    <w:t>雨污分流</w:t>
                  </w:r>
                </w:p>
              </w:tc>
              <w:tc>
                <w:tcPr>
                  <w:tcW w:w="1186" w:type="pct"/>
                  <w:vAlign w:val="center"/>
                </w:tcPr>
                <w:p>
                  <w:pPr>
                    <w:adjustRightInd w:val="0"/>
                    <w:snapToGrid w:val="0"/>
                    <w:jc w:val="center"/>
                    <w:rPr>
                      <w:color w:val="auto"/>
                      <w:szCs w:val="21"/>
                    </w:rPr>
                  </w:pPr>
                  <w:r>
                    <w:rPr>
                      <w:color w:val="auto"/>
                      <w:szCs w:val="21"/>
                    </w:rPr>
                    <w:t>雨水排口1个</w:t>
                  </w:r>
                </w:p>
              </w:tc>
              <w:tc>
                <w:tcPr>
                  <w:tcW w:w="1788" w:type="pct"/>
                  <w:gridSpan w:val="2"/>
                  <w:vAlign w:val="center"/>
                </w:tcPr>
                <w:p>
                  <w:pPr>
                    <w:adjustRightInd w:val="0"/>
                    <w:snapToGrid w:val="0"/>
                    <w:jc w:val="center"/>
                    <w:rPr>
                      <w:color w:val="auto"/>
                      <w:szCs w:val="21"/>
                    </w:rPr>
                  </w:pPr>
                  <w:r>
                    <w:rPr>
                      <w:color w:val="auto"/>
                      <w:szCs w:val="21"/>
                    </w:rPr>
                    <w:t>依托现有</w:t>
                  </w:r>
                </w:p>
              </w:tc>
              <w:tc>
                <w:tcPr>
                  <w:tcW w:w="772" w:type="pct"/>
                  <w:vMerge w:val="continue"/>
                  <w:vAlign w:val="center"/>
                </w:tcPr>
                <w:p>
                  <w:pPr>
                    <w:adjustRightInd w:val="0"/>
                    <w:snapToGrid w:val="0"/>
                    <w:jc w:val="center"/>
                    <w:rPr>
                      <w:szCs w:val="21"/>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23" w:type="dxa"/>
                  <w:bottom w:w="0" w:type="dxa"/>
                  <w:right w:w="23" w:type="dxa"/>
                </w:tblCellMar>
              </w:tblPrEx>
              <w:trPr>
                <w:trHeight w:val="264" w:hRule="atLeast"/>
              </w:trPr>
              <w:tc>
                <w:tcPr>
                  <w:tcW w:w="1253" w:type="pct"/>
                  <w:gridSpan w:val="3"/>
                  <w:vMerge w:val="continue"/>
                  <w:vAlign w:val="center"/>
                </w:tcPr>
                <w:p>
                  <w:pPr>
                    <w:adjustRightInd w:val="0"/>
                    <w:snapToGrid w:val="0"/>
                    <w:jc w:val="center"/>
                    <w:rPr>
                      <w:color w:val="auto"/>
                      <w:szCs w:val="21"/>
                    </w:rPr>
                  </w:pPr>
                </w:p>
              </w:tc>
              <w:tc>
                <w:tcPr>
                  <w:tcW w:w="1186" w:type="pct"/>
                  <w:vAlign w:val="center"/>
                </w:tcPr>
                <w:p>
                  <w:pPr>
                    <w:adjustRightInd w:val="0"/>
                    <w:snapToGrid w:val="0"/>
                    <w:jc w:val="center"/>
                    <w:rPr>
                      <w:color w:val="auto"/>
                      <w:szCs w:val="21"/>
                    </w:rPr>
                  </w:pPr>
                  <w:r>
                    <w:rPr>
                      <w:rFonts w:hint="eastAsia"/>
                      <w:color w:val="auto"/>
                      <w:szCs w:val="21"/>
                    </w:rPr>
                    <w:t>污水排放口1个</w:t>
                  </w:r>
                </w:p>
              </w:tc>
              <w:tc>
                <w:tcPr>
                  <w:tcW w:w="1788" w:type="pct"/>
                  <w:gridSpan w:val="2"/>
                  <w:vAlign w:val="center"/>
                </w:tcPr>
                <w:p>
                  <w:pPr>
                    <w:adjustRightInd w:val="0"/>
                    <w:snapToGrid w:val="0"/>
                    <w:jc w:val="center"/>
                    <w:rPr>
                      <w:color w:val="auto"/>
                      <w:szCs w:val="21"/>
                    </w:rPr>
                  </w:pPr>
                  <w:r>
                    <w:rPr>
                      <w:color w:val="auto"/>
                      <w:szCs w:val="21"/>
                    </w:rPr>
                    <w:t>依托现有</w:t>
                  </w:r>
                </w:p>
              </w:tc>
              <w:tc>
                <w:tcPr>
                  <w:tcW w:w="772" w:type="pct"/>
                  <w:vMerge w:val="continue"/>
                  <w:vAlign w:val="center"/>
                </w:tcPr>
                <w:p>
                  <w:pPr>
                    <w:adjustRightInd w:val="0"/>
                    <w:snapToGrid w:val="0"/>
                    <w:jc w:val="center"/>
                    <w:rPr>
                      <w:szCs w:val="21"/>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23" w:type="dxa"/>
                  <w:bottom w:w="0" w:type="dxa"/>
                  <w:right w:w="23" w:type="dxa"/>
                </w:tblCellMar>
              </w:tblPrEx>
              <w:trPr>
                <w:trHeight w:val="264" w:hRule="atLeast"/>
              </w:trPr>
              <w:tc>
                <w:tcPr>
                  <w:tcW w:w="1253" w:type="pct"/>
                  <w:gridSpan w:val="3"/>
                  <w:vAlign w:val="center"/>
                </w:tcPr>
                <w:p>
                  <w:pPr>
                    <w:adjustRightInd w:val="0"/>
                    <w:snapToGrid w:val="0"/>
                    <w:jc w:val="center"/>
                    <w:rPr>
                      <w:rFonts w:hint="eastAsia" w:eastAsia="宋体"/>
                      <w:color w:val="auto"/>
                      <w:szCs w:val="21"/>
                      <w:lang w:eastAsia="zh-CN"/>
                    </w:rPr>
                  </w:pPr>
                  <w:r>
                    <w:rPr>
                      <w:rFonts w:hint="eastAsia"/>
                      <w:color w:val="auto"/>
                      <w:szCs w:val="21"/>
                      <w:lang w:eastAsia="zh-CN"/>
                    </w:rPr>
                    <w:t>风险防范措施</w:t>
                  </w:r>
                </w:p>
              </w:tc>
              <w:tc>
                <w:tcPr>
                  <w:tcW w:w="2974" w:type="pct"/>
                  <w:gridSpan w:val="3"/>
                  <w:vAlign w:val="center"/>
                </w:tcPr>
                <w:p>
                  <w:pPr>
                    <w:adjustRightInd w:val="0"/>
                    <w:snapToGrid w:val="0"/>
                    <w:jc w:val="center"/>
                    <w:rPr>
                      <w:color w:val="auto"/>
                      <w:szCs w:val="21"/>
                    </w:rPr>
                  </w:pPr>
                  <w:r>
                    <w:rPr>
                      <w:rStyle w:val="75"/>
                      <w:rFonts w:hint="eastAsia" w:ascii="Times New Roman" w:hAnsi="Times New Roman"/>
                      <w:color w:val="auto"/>
                      <w:spacing w:val="0"/>
                      <w:kern w:val="2"/>
                      <w:szCs w:val="21"/>
                      <w:lang w:eastAsia="zh-CN"/>
                    </w:rPr>
                    <w:t>做好</w:t>
                  </w:r>
                  <w:r>
                    <w:rPr>
                      <w:rStyle w:val="75"/>
                      <w:rFonts w:hint="eastAsia" w:ascii="Times New Roman" w:hAnsi="Times New Roman"/>
                      <w:color w:val="auto"/>
                      <w:spacing w:val="0"/>
                      <w:kern w:val="2"/>
                      <w:szCs w:val="21"/>
                    </w:rPr>
                    <w:t>分区防渗</w:t>
                  </w:r>
                </w:p>
              </w:tc>
              <w:tc>
                <w:tcPr>
                  <w:tcW w:w="772" w:type="pct"/>
                  <w:vMerge w:val="continue"/>
                  <w:vAlign w:val="center"/>
                </w:tcPr>
                <w:p>
                  <w:pPr>
                    <w:adjustRightInd w:val="0"/>
                    <w:snapToGrid w:val="0"/>
                    <w:jc w:val="center"/>
                    <w:rPr>
                      <w:szCs w:val="21"/>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23" w:type="dxa"/>
                  <w:bottom w:w="0" w:type="dxa"/>
                  <w:right w:w="23" w:type="dxa"/>
                </w:tblCellMar>
              </w:tblPrEx>
              <w:trPr>
                <w:trHeight w:val="264" w:hRule="atLeast"/>
              </w:trPr>
              <w:tc>
                <w:tcPr>
                  <w:tcW w:w="1253" w:type="pct"/>
                  <w:gridSpan w:val="3"/>
                  <w:vAlign w:val="center"/>
                </w:tcPr>
                <w:p>
                  <w:pPr>
                    <w:adjustRightInd w:val="0"/>
                    <w:snapToGrid w:val="0"/>
                    <w:jc w:val="center"/>
                    <w:rPr>
                      <w:color w:val="auto"/>
                      <w:szCs w:val="21"/>
                    </w:rPr>
                  </w:pPr>
                  <w:r>
                    <w:rPr>
                      <w:color w:val="auto"/>
                      <w:szCs w:val="21"/>
                    </w:rPr>
                    <w:t>环境管理（机构、监测能力等）</w:t>
                  </w:r>
                </w:p>
              </w:tc>
              <w:tc>
                <w:tcPr>
                  <w:tcW w:w="2974" w:type="pct"/>
                  <w:gridSpan w:val="3"/>
                  <w:vAlign w:val="center"/>
                </w:tcPr>
                <w:p>
                  <w:pPr>
                    <w:adjustRightInd w:val="0"/>
                    <w:snapToGrid w:val="0"/>
                    <w:jc w:val="center"/>
                    <w:rPr>
                      <w:color w:val="auto"/>
                      <w:szCs w:val="21"/>
                    </w:rPr>
                  </w:pPr>
                  <w:r>
                    <w:rPr>
                      <w:color w:val="auto"/>
                      <w:szCs w:val="21"/>
                    </w:rPr>
                    <w:t>公司环境管理机构、环境管理体系建立，</w:t>
                  </w:r>
                  <w:r>
                    <w:rPr>
                      <w:rFonts w:hint="eastAsia"/>
                      <w:color w:val="auto"/>
                      <w:szCs w:val="21"/>
                    </w:rPr>
                    <w:t>营运期</w:t>
                  </w:r>
                  <w:r>
                    <w:rPr>
                      <w:color w:val="auto"/>
                      <w:szCs w:val="21"/>
                    </w:rPr>
                    <w:t>监测计划和实施</w:t>
                  </w:r>
                </w:p>
              </w:tc>
              <w:tc>
                <w:tcPr>
                  <w:tcW w:w="772" w:type="pct"/>
                  <w:vMerge w:val="continue"/>
                  <w:vAlign w:val="center"/>
                </w:tcPr>
                <w:p>
                  <w:pPr>
                    <w:adjustRightInd w:val="0"/>
                    <w:snapToGrid w:val="0"/>
                    <w:jc w:val="center"/>
                    <w:rPr>
                      <w:szCs w:val="21"/>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23" w:type="dxa"/>
                  <w:bottom w:w="0" w:type="dxa"/>
                  <w:right w:w="23" w:type="dxa"/>
                </w:tblCellMar>
              </w:tblPrEx>
              <w:trPr>
                <w:trHeight w:val="90" w:hRule="atLeast"/>
              </w:trPr>
              <w:tc>
                <w:tcPr>
                  <w:tcW w:w="1253" w:type="pct"/>
                  <w:gridSpan w:val="3"/>
                  <w:vAlign w:val="center"/>
                </w:tcPr>
                <w:p>
                  <w:pPr>
                    <w:adjustRightInd w:val="0"/>
                    <w:snapToGrid w:val="0"/>
                    <w:jc w:val="center"/>
                    <w:rPr>
                      <w:color w:val="auto"/>
                      <w:szCs w:val="21"/>
                    </w:rPr>
                  </w:pPr>
                  <w:r>
                    <w:rPr>
                      <w:color w:val="auto"/>
                      <w:szCs w:val="21"/>
                    </w:rPr>
                    <w:t>规范设置</w:t>
                  </w:r>
                </w:p>
              </w:tc>
              <w:tc>
                <w:tcPr>
                  <w:tcW w:w="1220" w:type="pct"/>
                  <w:gridSpan w:val="2"/>
                  <w:vAlign w:val="center"/>
                </w:tcPr>
                <w:p>
                  <w:pPr>
                    <w:adjustRightInd w:val="0"/>
                    <w:snapToGrid w:val="0"/>
                    <w:jc w:val="center"/>
                    <w:rPr>
                      <w:color w:val="auto"/>
                      <w:szCs w:val="21"/>
                    </w:rPr>
                  </w:pPr>
                  <w:r>
                    <w:rPr>
                      <w:rFonts w:hint="eastAsia"/>
                      <w:color w:val="auto"/>
                      <w:szCs w:val="21"/>
                    </w:rPr>
                    <w:t>废水、</w:t>
                  </w:r>
                  <w:r>
                    <w:rPr>
                      <w:color w:val="auto"/>
                      <w:szCs w:val="21"/>
                    </w:rPr>
                    <w:t>固废排污标志牌、说明</w:t>
                  </w:r>
                </w:p>
                <w:p>
                  <w:pPr>
                    <w:adjustRightInd w:val="0"/>
                    <w:snapToGrid w:val="0"/>
                    <w:jc w:val="center"/>
                    <w:rPr>
                      <w:color w:val="auto"/>
                      <w:szCs w:val="21"/>
                    </w:rPr>
                  </w:pPr>
                </w:p>
              </w:tc>
              <w:tc>
                <w:tcPr>
                  <w:tcW w:w="1754" w:type="pct"/>
                  <w:vAlign w:val="center"/>
                </w:tcPr>
                <w:p>
                  <w:pPr>
                    <w:adjustRightInd w:val="0"/>
                    <w:snapToGrid w:val="0"/>
                    <w:jc w:val="center"/>
                    <w:rPr>
                      <w:color w:val="auto"/>
                      <w:szCs w:val="21"/>
                    </w:rPr>
                  </w:pPr>
                  <w:r>
                    <w:rPr>
                      <w:color w:val="auto"/>
                      <w:szCs w:val="21"/>
                    </w:rPr>
                    <w:t>规范化设置、满足环境管理要求</w:t>
                  </w:r>
                </w:p>
              </w:tc>
              <w:tc>
                <w:tcPr>
                  <w:tcW w:w="772" w:type="pct"/>
                  <w:vMerge w:val="continue"/>
                  <w:vAlign w:val="center"/>
                </w:tcPr>
                <w:p>
                  <w:pPr>
                    <w:adjustRightInd w:val="0"/>
                    <w:snapToGrid w:val="0"/>
                    <w:jc w:val="center"/>
                    <w:rPr>
                      <w:szCs w:val="21"/>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23" w:type="dxa"/>
                  <w:bottom w:w="0" w:type="dxa"/>
                  <w:right w:w="23" w:type="dxa"/>
                </w:tblCellMar>
              </w:tblPrEx>
              <w:trPr>
                <w:trHeight w:val="90" w:hRule="atLeast"/>
              </w:trPr>
              <w:tc>
                <w:tcPr>
                  <w:tcW w:w="1253" w:type="pct"/>
                  <w:gridSpan w:val="3"/>
                  <w:vAlign w:val="center"/>
                </w:tcPr>
                <w:p>
                  <w:pPr>
                    <w:adjustRightInd w:val="0"/>
                    <w:snapToGrid w:val="0"/>
                    <w:jc w:val="center"/>
                    <w:rPr>
                      <w:color w:val="auto"/>
                      <w:szCs w:val="21"/>
                    </w:rPr>
                  </w:pPr>
                  <w:r>
                    <w:rPr>
                      <w:color w:val="auto"/>
                      <w:szCs w:val="21"/>
                    </w:rPr>
                    <w:t>卫生防护距离</w:t>
                  </w:r>
                </w:p>
              </w:tc>
              <w:tc>
                <w:tcPr>
                  <w:tcW w:w="2974" w:type="pct"/>
                  <w:gridSpan w:val="3"/>
                  <w:vAlign w:val="center"/>
                </w:tcPr>
                <w:p>
                  <w:pPr>
                    <w:adjustRightInd w:val="0"/>
                    <w:snapToGrid w:val="0"/>
                    <w:jc w:val="center"/>
                    <w:rPr>
                      <w:color w:val="auto"/>
                      <w:szCs w:val="21"/>
                    </w:rPr>
                  </w:pPr>
                  <w:r>
                    <w:rPr>
                      <w:rFonts w:hint="eastAsia"/>
                      <w:color w:val="auto"/>
                      <w:szCs w:val="21"/>
                    </w:rPr>
                    <w:t>车间为边界外延</w:t>
                  </w:r>
                  <w:r>
                    <w:rPr>
                      <w:rFonts w:hint="eastAsia"/>
                      <w:color w:val="auto"/>
                      <w:szCs w:val="21"/>
                      <w:lang w:val="en-US" w:eastAsia="zh-CN"/>
                    </w:rPr>
                    <w:t>100</w:t>
                  </w:r>
                  <w:r>
                    <w:rPr>
                      <w:rFonts w:hint="eastAsia"/>
                      <w:color w:val="auto"/>
                      <w:szCs w:val="21"/>
                    </w:rPr>
                    <w:t>m</w:t>
                  </w:r>
                  <w:r>
                    <w:rPr>
                      <w:color w:val="auto"/>
                      <w:szCs w:val="21"/>
                    </w:rPr>
                    <w:t>范围区域</w:t>
                  </w:r>
                </w:p>
              </w:tc>
              <w:tc>
                <w:tcPr>
                  <w:tcW w:w="772" w:type="pct"/>
                  <w:vMerge w:val="continue"/>
                  <w:vAlign w:val="center"/>
                </w:tcPr>
                <w:p>
                  <w:pPr>
                    <w:adjustRightInd w:val="0"/>
                    <w:snapToGrid w:val="0"/>
                    <w:jc w:val="center"/>
                    <w:rPr>
                      <w:szCs w:val="21"/>
                    </w:rPr>
                  </w:pPr>
                </w:p>
              </w:tc>
            </w:tr>
            <w:bookmarkEnd w:id="7"/>
          </w:tbl>
          <w:p>
            <w:pPr>
              <w:spacing w:line="360" w:lineRule="auto"/>
              <w:ind w:firstLine="420" w:firstLineChars="200"/>
              <w:rPr>
                <w:b/>
                <w:bCs/>
                <w:szCs w:val="21"/>
              </w:rPr>
            </w:pPr>
          </w:p>
        </w:tc>
      </w:tr>
    </w:tbl>
    <w:p/>
    <w:p>
      <w:pPr>
        <w:pStyle w:val="312"/>
        <w:rPr>
          <w:rFonts w:ascii="Times New Roman" w:hAnsi="Times New Roman"/>
        </w:rPr>
      </w:pPr>
      <w:r>
        <w:rPr>
          <w:rFonts w:ascii="Times New Roman" w:hAnsi="Times New Roman"/>
        </w:rPr>
        <w:t>建设项目拟采取的防治措施及预期治理效果</w:t>
      </w:r>
    </w:p>
    <w:tbl>
      <w:tblPr>
        <w:tblStyle w:val="56"/>
        <w:tblW w:w="4998" w:type="pct"/>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autofit"/>
        <w:tblCellMar>
          <w:top w:w="0" w:type="dxa"/>
          <w:left w:w="51" w:type="dxa"/>
          <w:bottom w:w="0" w:type="dxa"/>
          <w:right w:w="51" w:type="dxa"/>
        </w:tblCellMar>
      </w:tblPr>
      <w:tblGrid>
        <w:gridCol w:w="887"/>
        <w:gridCol w:w="480"/>
        <w:gridCol w:w="721"/>
        <w:gridCol w:w="1363"/>
        <w:gridCol w:w="1995"/>
        <w:gridCol w:w="2965"/>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51" w:type="dxa"/>
            <w:bottom w:w="0" w:type="dxa"/>
            <w:right w:w="51" w:type="dxa"/>
          </w:tblCellMar>
        </w:tblPrEx>
        <w:trPr>
          <w:trHeight w:val="454" w:hRule="atLeast"/>
          <w:jc w:val="center"/>
        </w:trPr>
        <w:tc>
          <w:tcPr>
            <w:tcW w:w="529" w:type="pct"/>
            <w:tcBorders>
              <w:top w:val="single" w:color="auto" w:sz="12" w:space="0"/>
              <w:bottom w:val="single" w:color="auto" w:sz="6" w:space="0"/>
              <w:tl2br w:val="single" w:color="auto" w:sz="6" w:space="0"/>
            </w:tcBorders>
            <w:vAlign w:val="center"/>
          </w:tcPr>
          <w:p>
            <w:pPr>
              <w:snapToGrid w:val="0"/>
              <w:jc w:val="right"/>
              <w:rPr>
                <w:b/>
                <w:szCs w:val="21"/>
              </w:rPr>
            </w:pPr>
            <w:r>
              <w:rPr>
                <w:b/>
                <w:szCs w:val="21"/>
              </w:rPr>
              <w:t>内容</w:t>
            </w:r>
          </w:p>
          <w:p>
            <w:pPr>
              <w:snapToGrid w:val="0"/>
              <w:rPr>
                <w:b/>
                <w:szCs w:val="21"/>
              </w:rPr>
            </w:pPr>
            <w:r>
              <w:rPr>
                <w:b/>
                <w:szCs w:val="21"/>
              </w:rPr>
              <w:t>类型</w:t>
            </w:r>
          </w:p>
        </w:tc>
        <w:tc>
          <w:tcPr>
            <w:tcW w:w="708" w:type="pct"/>
            <w:gridSpan w:val="2"/>
            <w:tcBorders>
              <w:top w:val="single" w:color="auto" w:sz="12" w:space="0"/>
              <w:bottom w:val="single" w:color="auto" w:sz="6" w:space="0"/>
            </w:tcBorders>
            <w:vAlign w:val="center"/>
          </w:tcPr>
          <w:p>
            <w:pPr>
              <w:snapToGrid w:val="0"/>
              <w:jc w:val="center"/>
              <w:rPr>
                <w:b/>
                <w:szCs w:val="21"/>
              </w:rPr>
            </w:pPr>
            <w:r>
              <w:rPr>
                <w:b/>
                <w:szCs w:val="21"/>
              </w:rPr>
              <w:t>排放源</w:t>
            </w:r>
          </w:p>
          <w:p>
            <w:pPr>
              <w:snapToGrid w:val="0"/>
              <w:jc w:val="center"/>
              <w:rPr>
                <w:b/>
                <w:szCs w:val="21"/>
              </w:rPr>
            </w:pPr>
            <w:r>
              <w:rPr>
                <w:b/>
                <w:szCs w:val="21"/>
              </w:rPr>
              <w:t>(编号)</w:t>
            </w:r>
          </w:p>
        </w:tc>
        <w:tc>
          <w:tcPr>
            <w:tcW w:w="812" w:type="pct"/>
            <w:tcBorders>
              <w:top w:val="single" w:color="auto" w:sz="12" w:space="0"/>
              <w:bottom w:val="single" w:color="auto" w:sz="6" w:space="0"/>
            </w:tcBorders>
            <w:vAlign w:val="center"/>
          </w:tcPr>
          <w:p>
            <w:pPr>
              <w:snapToGrid w:val="0"/>
              <w:jc w:val="center"/>
              <w:rPr>
                <w:b/>
                <w:szCs w:val="21"/>
              </w:rPr>
            </w:pPr>
            <w:r>
              <w:rPr>
                <w:b/>
                <w:szCs w:val="21"/>
              </w:rPr>
              <w:t>污染物名称</w:t>
            </w:r>
          </w:p>
        </w:tc>
        <w:tc>
          <w:tcPr>
            <w:tcW w:w="1187" w:type="pct"/>
            <w:tcBorders>
              <w:top w:val="single" w:color="auto" w:sz="12" w:space="0"/>
              <w:bottom w:val="single" w:color="auto" w:sz="6" w:space="0"/>
            </w:tcBorders>
            <w:vAlign w:val="center"/>
          </w:tcPr>
          <w:p>
            <w:pPr>
              <w:snapToGrid w:val="0"/>
              <w:jc w:val="center"/>
              <w:rPr>
                <w:b/>
                <w:szCs w:val="21"/>
              </w:rPr>
            </w:pPr>
            <w:r>
              <w:rPr>
                <w:b/>
                <w:szCs w:val="21"/>
              </w:rPr>
              <w:t>防治措施</w:t>
            </w:r>
          </w:p>
        </w:tc>
        <w:tc>
          <w:tcPr>
            <w:tcW w:w="1763" w:type="pct"/>
            <w:tcBorders>
              <w:top w:val="single" w:color="auto" w:sz="12" w:space="0"/>
              <w:bottom w:val="single" w:color="auto" w:sz="6" w:space="0"/>
            </w:tcBorders>
            <w:vAlign w:val="center"/>
          </w:tcPr>
          <w:p>
            <w:pPr>
              <w:snapToGrid w:val="0"/>
              <w:jc w:val="center"/>
              <w:rPr>
                <w:b/>
                <w:szCs w:val="21"/>
              </w:rPr>
            </w:pPr>
            <w:r>
              <w:rPr>
                <w:b/>
                <w:szCs w:val="21"/>
              </w:rPr>
              <w:t>预期治理效果</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51" w:type="dxa"/>
            <w:bottom w:w="0" w:type="dxa"/>
            <w:right w:w="51" w:type="dxa"/>
          </w:tblCellMar>
        </w:tblPrEx>
        <w:trPr>
          <w:trHeight w:val="434" w:hRule="atLeast"/>
          <w:jc w:val="center"/>
        </w:trPr>
        <w:tc>
          <w:tcPr>
            <w:tcW w:w="529" w:type="pct"/>
            <w:vMerge w:val="restart"/>
            <w:vAlign w:val="center"/>
          </w:tcPr>
          <w:p>
            <w:pPr>
              <w:snapToGrid w:val="0"/>
              <w:jc w:val="center"/>
              <w:rPr>
                <w:szCs w:val="21"/>
              </w:rPr>
            </w:pPr>
            <w:r>
              <w:rPr>
                <w:szCs w:val="21"/>
              </w:rPr>
              <w:t>大</w:t>
            </w:r>
          </w:p>
          <w:p>
            <w:pPr>
              <w:snapToGrid w:val="0"/>
              <w:jc w:val="center"/>
              <w:rPr>
                <w:szCs w:val="21"/>
              </w:rPr>
            </w:pPr>
            <w:r>
              <w:rPr>
                <w:szCs w:val="21"/>
              </w:rPr>
              <w:t>气</w:t>
            </w:r>
          </w:p>
          <w:p>
            <w:pPr>
              <w:snapToGrid w:val="0"/>
              <w:jc w:val="center"/>
              <w:rPr>
                <w:szCs w:val="21"/>
              </w:rPr>
            </w:pPr>
            <w:r>
              <w:rPr>
                <w:szCs w:val="21"/>
              </w:rPr>
              <w:t>污</w:t>
            </w:r>
          </w:p>
          <w:p>
            <w:pPr>
              <w:snapToGrid w:val="0"/>
              <w:jc w:val="center"/>
              <w:rPr>
                <w:szCs w:val="21"/>
              </w:rPr>
            </w:pPr>
            <w:r>
              <w:rPr>
                <w:szCs w:val="21"/>
              </w:rPr>
              <w:t>染</w:t>
            </w:r>
          </w:p>
          <w:p>
            <w:pPr>
              <w:snapToGrid w:val="0"/>
              <w:jc w:val="center"/>
              <w:rPr>
                <w:szCs w:val="21"/>
              </w:rPr>
            </w:pPr>
            <w:r>
              <w:rPr>
                <w:szCs w:val="21"/>
              </w:rPr>
              <w:t>物</w:t>
            </w:r>
          </w:p>
        </w:tc>
        <w:tc>
          <w:tcPr>
            <w:tcW w:w="287" w:type="pct"/>
            <w:tcBorders>
              <w:top w:val="single" w:color="auto" w:sz="6" w:space="0"/>
            </w:tcBorders>
            <w:vAlign w:val="center"/>
          </w:tcPr>
          <w:p>
            <w:pPr>
              <w:snapToGrid w:val="0"/>
              <w:spacing w:line="320" w:lineRule="exact"/>
              <w:jc w:val="center"/>
              <w:rPr>
                <w:szCs w:val="21"/>
              </w:rPr>
            </w:pPr>
            <w:r>
              <w:rPr>
                <w:rFonts w:hint="eastAsia"/>
                <w:szCs w:val="21"/>
              </w:rPr>
              <w:t>有组织</w:t>
            </w:r>
          </w:p>
        </w:tc>
        <w:tc>
          <w:tcPr>
            <w:tcW w:w="420" w:type="pct"/>
            <w:tcBorders>
              <w:top w:val="single" w:color="auto" w:sz="6" w:space="0"/>
            </w:tcBorders>
            <w:vAlign w:val="center"/>
          </w:tcPr>
          <w:p>
            <w:pPr>
              <w:snapToGrid w:val="0"/>
              <w:spacing w:line="320" w:lineRule="exact"/>
              <w:jc w:val="center"/>
              <w:rPr>
                <w:rFonts w:hint="default" w:eastAsia="宋体"/>
                <w:szCs w:val="21"/>
                <w:lang w:val="en-US" w:eastAsia="zh-CN"/>
              </w:rPr>
            </w:pPr>
            <w:r>
              <w:rPr>
                <w:rFonts w:hint="eastAsia"/>
                <w:szCs w:val="21"/>
              </w:rPr>
              <w:t>排气筒</w:t>
            </w:r>
            <w:r>
              <w:rPr>
                <w:rFonts w:hint="eastAsia"/>
                <w:szCs w:val="21"/>
                <w:lang w:val="en-US" w:eastAsia="zh-CN"/>
              </w:rPr>
              <w:t>DA001</w:t>
            </w:r>
          </w:p>
        </w:tc>
        <w:tc>
          <w:tcPr>
            <w:tcW w:w="812" w:type="pct"/>
            <w:tcBorders>
              <w:top w:val="single" w:color="auto" w:sz="6" w:space="0"/>
            </w:tcBorders>
            <w:vAlign w:val="center"/>
          </w:tcPr>
          <w:p>
            <w:pPr>
              <w:spacing w:line="320" w:lineRule="exact"/>
              <w:jc w:val="center"/>
              <w:rPr>
                <w:rFonts w:hint="default" w:eastAsia="宋体"/>
                <w:szCs w:val="21"/>
                <w:lang w:val="en-US" w:eastAsia="zh-CN"/>
              </w:rPr>
            </w:pPr>
            <w:r>
              <w:rPr>
                <w:rFonts w:hint="eastAsia"/>
                <w:szCs w:val="21"/>
                <w:lang w:eastAsia="zh-CN"/>
              </w:rPr>
              <w:t>粉尘、非甲烷总烃、</w:t>
            </w:r>
            <w:r>
              <w:rPr>
                <w:rFonts w:hint="eastAsia"/>
                <w:szCs w:val="21"/>
                <w:lang w:val="en-US" w:eastAsia="zh-CN"/>
              </w:rPr>
              <w:t>氯化氢</w:t>
            </w:r>
          </w:p>
        </w:tc>
        <w:tc>
          <w:tcPr>
            <w:tcW w:w="1187" w:type="pct"/>
            <w:tcBorders>
              <w:top w:val="single" w:color="auto" w:sz="6" w:space="0"/>
            </w:tcBorders>
            <w:vAlign w:val="center"/>
          </w:tcPr>
          <w:p>
            <w:pPr>
              <w:adjustRightInd w:val="0"/>
              <w:snapToGrid w:val="0"/>
              <w:jc w:val="center"/>
              <w:rPr>
                <w:szCs w:val="21"/>
              </w:rPr>
            </w:pPr>
            <w:r>
              <w:rPr>
                <w:rFonts w:hint="eastAsia"/>
                <w:szCs w:val="21"/>
                <w:lang w:eastAsia="zh-CN"/>
              </w:rPr>
              <w:t>粉尘</w:t>
            </w:r>
            <w:r>
              <w:rPr>
                <w:rFonts w:hint="eastAsia"/>
                <w:szCs w:val="21"/>
              </w:rPr>
              <w:t>经半密闭的集气罩收集至</w:t>
            </w:r>
            <w:r>
              <w:rPr>
                <w:rFonts w:hint="eastAsia"/>
                <w:szCs w:val="21"/>
                <w:lang w:eastAsia="zh-CN"/>
              </w:rPr>
              <w:t>布袋除尘器处理，非甲烷总烃、</w:t>
            </w:r>
            <w:r>
              <w:rPr>
                <w:rFonts w:hint="eastAsia"/>
                <w:szCs w:val="21"/>
                <w:lang w:val="en-US" w:eastAsia="zh-CN"/>
              </w:rPr>
              <w:t>氯化氢</w:t>
            </w:r>
            <w:r>
              <w:rPr>
                <w:rFonts w:hint="eastAsia"/>
                <w:szCs w:val="21"/>
              </w:rPr>
              <w:t>经半密闭的集气罩收集至“二级活性炭吸附设备”处理后</w:t>
            </w:r>
            <w:r>
              <w:rPr>
                <w:rFonts w:hint="eastAsia"/>
                <w:szCs w:val="21"/>
                <w:lang w:eastAsia="zh-CN"/>
              </w:rPr>
              <w:t>，两股废气</w:t>
            </w:r>
            <w:r>
              <w:rPr>
                <w:rFonts w:hint="eastAsia"/>
                <w:szCs w:val="21"/>
              </w:rPr>
              <w:t>通过</w:t>
            </w:r>
            <w:r>
              <w:rPr>
                <w:rFonts w:hint="eastAsia"/>
                <w:szCs w:val="21"/>
                <w:lang w:val="en-US" w:eastAsia="zh-CN"/>
              </w:rPr>
              <w:t>15</w:t>
            </w:r>
            <w:r>
              <w:rPr>
                <w:rFonts w:hint="eastAsia"/>
                <w:szCs w:val="21"/>
              </w:rPr>
              <w:t>m排气筒高空达标排放</w:t>
            </w:r>
          </w:p>
        </w:tc>
        <w:tc>
          <w:tcPr>
            <w:tcW w:w="1763" w:type="pct"/>
            <w:vMerge w:val="restart"/>
            <w:vAlign w:val="center"/>
          </w:tcPr>
          <w:p>
            <w:pPr>
              <w:snapToGrid w:val="0"/>
              <w:jc w:val="center"/>
              <w:rPr>
                <w:rFonts w:hint="eastAsia"/>
                <w:szCs w:val="21"/>
                <w:lang w:eastAsia="zh-CN"/>
              </w:rPr>
            </w:pPr>
            <w:r>
              <w:rPr>
                <w:rFonts w:hint="eastAsia"/>
                <w:szCs w:val="21"/>
                <w:lang w:eastAsia="zh-CN"/>
              </w:rPr>
              <w:t>粉尘、非甲烷总烃</w:t>
            </w:r>
            <w:r>
              <w:rPr>
                <w:rFonts w:hint="eastAsia"/>
                <w:kern w:val="0"/>
                <w:szCs w:val="21"/>
              </w:rPr>
              <w:t>排放执行</w:t>
            </w:r>
            <w:r>
              <w:rPr>
                <w:rFonts w:hint="eastAsia"/>
                <w:szCs w:val="21"/>
                <w:lang w:eastAsia="zh-CN"/>
              </w:rPr>
              <w:t>《合成树脂工业污染物排放标准》（DB37/2375-2013）中表5和表</w:t>
            </w:r>
            <w:r>
              <w:rPr>
                <w:rFonts w:hint="eastAsia"/>
                <w:szCs w:val="21"/>
                <w:lang w:val="en-US" w:eastAsia="zh-CN"/>
              </w:rPr>
              <w:t>9</w:t>
            </w:r>
            <w:r>
              <w:rPr>
                <w:rFonts w:hint="eastAsia"/>
                <w:szCs w:val="21"/>
                <w:lang w:eastAsia="zh-CN"/>
              </w:rPr>
              <w:t>中标准限值；粉尘排放</w:t>
            </w:r>
            <w:r>
              <w:rPr>
                <w:rFonts w:hint="eastAsia"/>
                <w:kern w:val="0"/>
                <w:szCs w:val="21"/>
              </w:rPr>
              <w:t>执行</w:t>
            </w:r>
            <w:r>
              <w:rPr>
                <w:rFonts w:hint="eastAsia"/>
                <w:szCs w:val="21"/>
                <w:lang w:eastAsia="zh-CN"/>
              </w:rPr>
              <w:t>《合成树脂工业污染物排放标准》（DB37/2375-2013）中表</w:t>
            </w:r>
            <w:r>
              <w:rPr>
                <w:rFonts w:hint="eastAsia"/>
                <w:szCs w:val="21"/>
                <w:lang w:val="en-US" w:eastAsia="zh-CN"/>
              </w:rPr>
              <w:t>9</w:t>
            </w:r>
            <w:r>
              <w:rPr>
                <w:rFonts w:hint="eastAsia"/>
                <w:szCs w:val="21"/>
                <w:lang w:eastAsia="zh-CN"/>
              </w:rPr>
              <w:t>中标准限值</w:t>
            </w:r>
          </w:p>
          <w:p>
            <w:pPr>
              <w:snapToGrid w:val="0"/>
              <w:jc w:val="center"/>
              <w:rPr>
                <w:szCs w:val="21"/>
              </w:rPr>
            </w:pPr>
            <w:r>
              <w:rPr>
                <w:rFonts w:hint="eastAsia"/>
                <w:szCs w:val="21"/>
              </w:rPr>
              <w:t>车间外1m：达到《挥发性有机物无组织排放控制标准》（GB37822-2019）中控制标准</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51" w:type="dxa"/>
            <w:bottom w:w="0" w:type="dxa"/>
            <w:right w:w="51" w:type="dxa"/>
          </w:tblCellMar>
        </w:tblPrEx>
        <w:trPr>
          <w:trHeight w:val="303" w:hRule="atLeast"/>
          <w:jc w:val="center"/>
        </w:trPr>
        <w:tc>
          <w:tcPr>
            <w:tcW w:w="529" w:type="pct"/>
            <w:vMerge w:val="continue"/>
            <w:vAlign w:val="center"/>
          </w:tcPr>
          <w:p>
            <w:pPr>
              <w:snapToGrid w:val="0"/>
              <w:jc w:val="center"/>
              <w:rPr>
                <w:szCs w:val="21"/>
              </w:rPr>
            </w:pPr>
          </w:p>
        </w:tc>
        <w:tc>
          <w:tcPr>
            <w:tcW w:w="287" w:type="pct"/>
            <w:tcBorders>
              <w:top w:val="single" w:color="auto" w:sz="6" w:space="0"/>
            </w:tcBorders>
            <w:vAlign w:val="center"/>
          </w:tcPr>
          <w:p>
            <w:pPr>
              <w:snapToGrid w:val="0"/>
              <w:spacing w:line="320" w:lineRule="exact"/>
              <w:jc w:val="center"/>
              <w:rPr>
                <w:szCs w:val="21"/>
              </w:rPr>
            </w:pPr>
            <w:r>
              <w:rPr>
                <w:rFonts w:hint="eastAsia"/>
                <w:szCs w:val="21"/>
              </w:rPr>
              <w:t>无组织</w:t>
            </w:r>
          </w:p>
        </w:tc>
        <w:tc>
          <w:tcPr>
            <w:tcW w:w="420" w:type="pct"/>
            <w:tcBorders>
              <w:top w:val="single" w:color="auto" w:sz="6" w:space="0"/>
            </w:tcBorders>
            <w:vAlign w:val="center"/>
          </w:tcPr>
          <w:p>
            <w:pPr>
              <w:snapToGrid w:val="0"/>
              <w:spacing w:line="320" w:lineRule="exact"/>
              <w:jc w:val="center"/>
              <w:rPr>
                <w:szCs w:val="21"/>
              </w:rPr>
            </w:pPr>
            <w:r>
              <w:rPr>
                <w:rFonts w:hint="eastAsia"/>
                <w:szCs w:val="21"/>
              </w:rPr>
              <w:t>生产车间</w:t>
            </w:r>
          </w:p>
        </w:tc>
        <w:tc>
          <w:tcPr>
            <w:tcW w:w="812" w:type="pct"/>
            <w:tcBorders>
              <w:top w:val="single" w:color="auto" w:sz="6" w:space="0"/>
            </w:tcBorders>
            <w:vAlign w:val="center"/>
          </w:tcPr>
          <w:p>
            <w:pPr>
              <w:spacing w:line="320" w:lineRule="exact"/>
              <w:jc w:val="center"/>
              <w:rPr>
                <w:szCs w:val="21"/>
              </w:rPr>
            </w:pPr>
            <w:r>
              <w:rPr>
                <w:rFonts w:hint="eastAsia"/>
                <w:szCs w:val="21"/>
                <w:lang w:eastAsia="zh-CN"/>
              </w:rPr>
              <w:t>非甲烷总烃、</w:t>
            </w:r>
            <w:r>
              <w:rPr>
                <w:rFonts w:hint="eastAsia"/>
                <w:szCs w:val="21"/>
                <w:lang w:val="en-US" w:eastAsia="zh-CN"/>
              </w:rPr>
              <w:t>氯化氢、粉尘</w:t>
            </w:r>
          </w:p>
        </w:tc>
        <w:tc>
          <w:tcPr>
            <w:tcW w:w="1187" w:type="pct"/>
            <w:vAlign w:val="center"/>
          </w:tcPr>
          <w:p>
            <w:pPr>
              <w:adjustRightInd w:val="0"/>
              <w:snapToGrid w:val="0"/>
              <w:jc w:val="center"/>
              <w:rPr>
                <w:szCs w:val="21"/>
              </w:rPr>
            </w:pPr>
            <w:r>
              <w:rPr>
                <w:rFonts w:hint="eastAsia"/>
                <w:color w:val="FF0000"/>
                <w:szCs w:val="21"/>
              </w:rPr>
              <w:t>增加车间通风频次</w:t>
            </w:r>
          </w:p>
        </w:tc>
        <w:tc>
          <w:tcPr>
            <w:tcW w:w="1763" w:type="pct"/>
            <w:vMerge w:val="continue"/>
            <w:vAlign w:val="center"/>
          </w:tcPr>
          <w:p>
            <w:pPr>
              <w:snapToGrid w:val="0"/>
              <w:jc w:val="center"/>
              <w:rPr>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51" w:type="dxa"/>
            <w:bottom w:w="0" w:type="dxa"/>
            <w:right w:w="51" w:type="dxa"/>
          </w:tblCellMar>
        </w:tblPrEx>
        <w:trPr>
          <w:trHeight w:val="294" w:hRule="atLeast"/>
          <w:jc w:val="center"/>
        </w:trPr>
        <w:tc>
          <w:tcPr>
            <w:tcW w:w="529" w:type="pct"/>
            <w:vMerge w:val="restart"/>
            <w:tcBorders>
              <w:top w:val="single" w:color="auto" w:sz="4" w:space="0"/>
            </w:tcBorders>
            <w:vAlign w:val="center"/>
          </w:tcPr>
          <w:p>
            <w:pPr>
              <w:snapToGrid w:val="0"/>
              <w:jc w:val="center"/>
              <w:rPr>
                <w:szCs w:val="21"/>
              </w:rPr>
            </w:pPr>
            <w:r>
              <w:rPr>
                <w:szCs w:val="21"/>
              </w:rPr>
              <w:t>水</w:t>
            </w:r>
          </w:p>
          <w:p>
            <w:pPr>
              <w:snapToGrid w:val="0"/>
              <w:jc w:val="center"/>
              <w:rPr>
                <w:szCs w:val="21"/>
              </w:rPr>
            </w:pPr>
            <w:r>
              <w:rPr>
                <w:szCs w:val="21"/>
              </w:rPr>
              <w:t>污</w:t>
            </w:r>
          </w:p>
          <w:p>
            <w:pPr>
              <w:snapToGrid w:val="0"/>
              <w:jc w:val="center"/>
              <w:rPr>
                <w:szCs w:val="21"/>
              </w:rPr>
            </w:pPr>
            <w:r>
              <w:rPr>
                <w:szCs w:val="21"/>
              </w:rPr>
              <w:t>染</w:t>
            </w:r>
          </w:p>
          <w:p>
            <w:pPr>
              <w:snapToGrid w:val="0"/>
              <w:jc w:val="center"/>
              <w:rPr>
                <w:szCs w:val="21"/>
              </w:rPr>
            </w:pPr>
            <w:r>
              <w:rPr>
                <w:szCs w:val="21"/>
              </w:rPr>
              <w:t>物</w:t>
            </w:r>
          </w:p>
        </w:tc>
        <w:tc>
          <w:tcPr>
            <w:tcW w:w="708" w:type="pct"/>
            <w:gridSpan w:val="2"/>
            <w:vMerge w:val="restart"/>
            <w:tcBorders>
              <w:top w:val="single" w:color="auto" w:sz="4" w:space="0"/>
            </w:tcBorders>
            <w:vAlign w:val="center"/>
          </w:tcPr>
          <w:p>
            <w:pPr>
              <w:jc w:val="center"/>
              <w:rPr>
                <w:szCs w:val="21"/>
              </w:rPr>
            </w:pPr>
            <w:r>
              <w:rPr>
                <w:szCs w:val="21"/>
              </w:rPr>
              <w:t>生活污水</w:t>
            </w:r>
          </w:p>
        </w:tc>
        <w:tc>
          <w:tcPr>
            <w:tcW w:w="812" w:type="pct"/>
            <w:tcBorders>
              <w:top w:val="single" w:color="auto" w:sz="6" w:space="0"/>
              <w:bottom w:val="single" w:color="auto" w:sz="4" w:space="0"/>
            </w:tcBorders>
            <w:vAlign w:val="center"/>
          </w:tcPr>
          <w:p>
            <w:pPr>
              <w:adjustRightInd w:val="0"/>
              <w:snapToGrid w:val="0"/>
              <w:jc w:val="center"/>
              <w:rPr>
                <w:szCs w:val="21"/>
              </w:rPr>
            </w:pPr>
            <w:r>
              <w:rPr>
                <w:szCs w:val="21"/>
              </w:rPr>
              <w:t>COD</w:t>
            </w:r>
          </w:p>
        </w:tc>
        <w:tc>
          <w:tcPr>
            <w:tcW w:w="1187" w:type="pct"/>
            <w:vMerge w:val="restart"/>
            <w:tcBorders>
              <w:top w:val="single" w:color="auto" w:sz="6" w:space="0"/>
            </w:tcBorders>
            <w:vAlign w:val="center"/>
          </w:tcPr>
          <w:p>
            <w:pPr>
              <w:jc w:val="center"/>
              <w:rPr>
                <w:szCs w:val="21"/>
              </w:rPr>
            </w:pPr>
            <w:r>
              <w:rPr>
                <w:szCs w:val="21"/>
              </w:rPr>
              <w:t>生活污水依托</w:t>
            </w:r>
            <w:r>
              <w:rPr>
                <w:rFonts w:hint="eastAsia"/>
                <w:szCs w:val="21"/>
              </w:rPr>
              <w:t>厂区现有</w:t>
            </w:r>
            <w:r>
              <w:rPr>
                <w:szCs w:val="21"/>
              </w:rPr>
              <w:t>化粪池收集</w:t>
            </w:r>
            <w:r>
              <w:rPr>
                <w:rFonts w:hint="eastAsia"/>
                <w:szCs w:val="21"/>
              </w:rPr>
              <w:t>预</w:t>
            </w:r>
            <w:r>
              <w:rPr>
                <w:szCs w:val="21"/>
              </w:rPr>
              <w:t>处理后接管至常州金坛区第二污水处理厂集中处理</w:t>
            </w:r>
          </w:p>
        </w:tc>
        <w:tc>
          <w:tcPr>
            <w:tcW w:w="1763" w:type="pct"/>
            <w:vMerge w:val="restart"/>
            <w:tcBorders>
              <w:top w:val="single" w:color="auto" w:sz="6" w:space="0"/>
            </w:tcBorders>
            <w:vAlign w:val="center"/>
          </w:tcPr>
          <w:p>
            <w:pPr>
              <w:adjustRightInd w:val="0"/>
              <w:snapToGrid w:val="0"/>
              <w:jc w:val="center"/>
              <w:rPr>
                <w:szCs w:val="21"/>
              </w:rPr>
            </w:pPr>
            <w:r>
              <w:rPr>
                <w:rFonts w:hint="eastAsia"/>
                <w:kern w:val="0"/>
                <w:szCs w:val="21"/>
              </w:rPr>
              <w:t>废水经处理后达金坛区第二污水处理厂接管标准</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51" w:type="dxa"/>
            <w:bottom w:w="0" w:type="dxa"/>
            <w:right w:w="51" w:type="dxa"/>
          </w:tblCellMar>
        </w:tblPrEx>
        <w:trPr>
          <w:trHeight w:val="309" w:hRule="atLeast"/>
          <w:jc w:val="center"/>
        </w:trPr>
        <w:tc>
          <w:tcPr>
            <w:tcW w:w="529" w:type="pct"/>
            <w:vMerge w:val="continue"/>
            <w:vAlign w:val="center"/>
          </w:tcPr>
          <w:p>
            <w:pPr>
              <w:snapToGrid w:val="0"/>
              <w:jc w:val="center"/>
              <w:rPr>
                <w:szCs w:val="21"/>
              </w:rPr>
            </w:pPr>
          </w:p>
        </w:tc>
        <w:tc>
          <w:tcPr>
            <w:tcW w:w="708" w:type="pct"/>
            <w:gridSpan w:val="2"/>
            <w:vMerge w:val="continue"/>
            <w:vAlign w:val="center"/>
          </w:tcPr>
          <w:p>
            <w:pPr>
              <w:jc w:val="center"/>
              <w:rPr>
                <w:szCs w:val="21"/>
              </w:rPr>
            </w:pPr>
          </w:p>
        </w:tc>
        <w:tc>
          <w:tcPr>
            <w:tcW w:w="812" w:type="pct"/>
            <w:tcBorders>
              <w:top w:val="single" w:color="auto" w:sz="6" w:space="0"/>
              <w:bottom w:val="single" w:color="auto" w:sz="4" w:space="0"/>
            </w:tcBorders>
            <w:vAlign w:val="center"/>
          </w:tcPr>
          <w:p>
            <w:pPr>
              <w:adjustRightInd w:val="0"/>
              <w:snapToGrid w:val="0"/>
              <w:jc w:val="center"/>
              <w:rPr>
                <w:szCs w:val="21"/>
              </w:rPr>
            </w:pPr>
            <w:r>
              <w:rPr>
                <w:szCs w:val="21"/>
              </w:rPr>
              <w:t>SS</w:t>
            </w:r>
          </w:p>
        </w:tc>
        <w:tc>
          <w:tcPr>
            <w:tcW w:w="1187" w:type="pct"/>
            <w:vMerge w:val="continue"/>
            <w:vAlign w:val="center"/>
          </w:tcPr>
          <w:p>
            <w:pPr>
              <w:jc w:val="center"/>
              <w:rPr>
                <w:szCs w:val="21"/>
              </w:rPr>
            </w:pPr>
          </w:p>
        </w:tc>
        <w:tc>
          <w:tcPr>
            <w:tcW w:w="1763" w:type="pct"/>
            <w:vMerge w:val="continue"/>
            <w:vAlign w:val="center"/>
          </w:tcPr>
          <w:p>
            <w:pPr>
              <w:jc w:val="center"/>
              <w:rPr>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51" w:type="dxa"/>
            <w:bottom w:w="0" w:type="dxa"/>
            <w:right w:w="51" w:type="dxa"/>
          </w:tblCellMar>
        </w:tblPrEx>
        <w:trPr>
          <w:trHeight w:val="354" w:hRule="atLeast"/>
          <w:jc w:val="center"/>
        </w:trPr>
        <w:tc>
          <w:tcPr>
            <w:tcW w:w="529" w:type="pct"/>
            <w:vMerge w:val="continue"/>
            <w:vAlign w:val="center"/>
          </w:tcPr>
          <w:p>
            <w:pPr>
              <w:snapToGrid w:val="0"/>
              <w:jc w:val="center"/>
              <w:rPr>
                <w:szCs w:val="21"/>
              </w:rPr>
            </w:pPr>
          </w:p>
        </w:tc>
        <w:tc>
          <w:tcPr>
            <w:tcW w:w="708" w:type="pct"/>
            <w:gridSpan w:val="2"/>
            <w:vMerge w:val="continue"/>
            <w:vAlign w:val="center"/>
          </w:tcPr>
          <w:p>
            <w:pPr>
              <w:jc w:val="center"/>
              <w:rPr>
                <w:szCs w:val="21"/>
              </w:rPr>
            </w:pPr>
          </w:p>
        </w:tc>
        <w:tc>
          <w:tcPr>
            <w:tcW w:w="812" w:type="pct"/>
            <w:tcBorders>
              <w:top w:val="single" w:color="auto" w:sz="6" w:space="0"/>
              <w:bottom w:val="single" w:color="auto" w:sz="4" w:space="0"/>
            </w:tcBorders>
            <w:vAlign w:val="center"/>
          </w:tcPr>
          <w:p>
            <w:pPr>
              <w:adjustRightInd w:val="0"/>
              <w:snapToGrid w:val="0"/>
              <w:jc w:val="center"/>
              <w:rPr>
                <w:szCs w:val="21"/>
              </w:rPr>
            </w:pPr>
            <w:r>
              <w:rPr>
                <w:szCs w:val="21"/>
              </w:rPr>
              <w:t>NH</w:t>
            </w:r>
            <w:r>
              <w:rPr>
                <w:szCs w:val="21"/>
                <w:vertAlign w:val="subscript"/>
              </w:rPr>
              <w:t>3</w:t>
            </w:r>
            <w:r>
              <w:rPr>
                <w:szCs w:val="21"/>
              </w:rPr>
              <w:t>-N</w:t>
            </w:r>
          </w:p>
        </w:tc>
        <w:tc>
          <w:tcPr>
            <w:tcW w:w="1187" w:type="pct"/>
            <w:vMerge w:val="continue"/>
            <w:vAlign w:val="center"/>
          </w:tcPr>
          <w:p>
            <w:pPr>
              <w:jc w:val="center"/>
              <w:rPr>
                <w:szCs w:val="21"/>
              </w:rPr>
            </w:pPr>
          </w:p>
        </w:tc>
        <w:tc>
          <w:tcPr>
            <w:tcW w:w="1763" w:type="pct"/>
            <w:vMerge w:val="continue"/>
            <w:vAlign w:val="center"/>
          </w:tcPr>
          <w:p>
            <w:pPr>
              <w:jc w:val="center"/>
              <w:rPr>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51" w:type="dxa"/>
            <w:bottom w:w="0" w:type="dxa"/>
            <w:right w:w="51" w:type="dxa"/>
          </w:tblCellMar>
        </w:tblPrEx>
        <w:trPr>
          <w:trHeight w:val="279" w:hRule="atLeast"/>
          <w:jc w:val="center"/>
        </w:trPr>
        <w:tc>
          <w:tcPr>
            <w:tcW w:w="529" w:type="pct"/>
            <w:vMerge w:val="continue"/>
            <w:vAlign w:val="center"/>
          </w:tcPr>
          <w:p>
            <w:pPr>
              <w:snapToGrid w:val="0"/>
              <w:jc w:val="center"/>
              <w:rPr>
                <w:szCs w:val="21"/>
              </w:rPr>
            </w:pPr>
          </w:p>
        </w:tc>
        <w:tc>
          <w:tcPr>
            <w:tcW w:w="708" w:type="pct"/>
            <w:gridSpan w:val="2"/>
            <w:vMerge w:val="continue"/>
            <w:vAlign w:val="center"/>
          </w:tcPr>
          <w:p>
            <w:pPr>
              <w:jc w:val="center"/>
              <w:rPr>
                <w:szCs w:val="21"/>
              </w:rPr>
            </w:pPr>
          </w:p>
        </w:tc>
        <w:tc>
          <w:tcPr>
            <w:tcW w:w="812" w:type="pct"/>
            <w:tcBorders>
              <w:top w:val="single" w:color="auto" w:sz="6" w:space="0"/>
              <w:bottom w:val="single" w:color="auto" w:sz="4" w:space="0"/>
            </w:tcBorders>
            <w:vAlign w:val="center"/>
          </w:tcPr>
          <w:p>
            <w:pPr>
              <w:adjustRightInd w:val="0"/>
              <w:snapToGrid w:val="0"/>
              <w:jc w:val="center"/>
              <w:rPr>
                <w:szCs w:val="21"/>
              </w:rPr>
            </w:pPr>
            <w:r>
              <w:rPr>
                <w:szCs w:val="21"/>
              </w:rPr>
              <w:t>TP</w:t>
            </w:r>
          </w:p>
        </w:tc>
        <w:tc>
          <w:tcPr>
            <w:tcW w:w="1187" w:type="pct"/>
            <w:vMerge w:val="continue"/>
            <w:vAlign w:val="center"/>
          </w:tcPr>
          <w:p>
            <w:pPr>
              <w:jc w:val="center"/>
              <w:rPr>
                <w:szCs w:val="21"/>
              </w:rPr>
            </w:pPr>
          </w:p>
        </w:tc>
        <w:tc>
          <w:tcPr>
            <w:tcW w:w="1763" w:type="pct"/>
            <w:vMerge w:val="continue"/>
            <w:vAlign w:val="center"/>
          </w:tcPr>
          <w:p>
            <w:pPr>
              <w:jc w:val="center"/>
              <w:rPr>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51" w:type="dxa"/>
            <w:bottom w:w="0" w:type="dxa"/>
            <w:right w:w="51" w:type="dxa"/>
          </w:tblCellMar>
        </w:tblPrEx>
        <w:trPr>
          <w:trHeight w:val="129" w:hRule="atLeast"/>
          <w:jc w:val="center"/>
        </w:trPr>
        <w:tc>
          <w:tcPr>
            <w:tcW w:w="529" w:type="pct"/>
            <w:vMerge w:val="continue"/>
            <w:vAlign w:val="center"/>
          </w:tcPr>
          <w:p>
            <w:pPr>
              <w:snapToGrid w:val="0"/>
              <w:jc w:val="center"/>
              <w:rPr>
                <w:szCs w:val="21"/>
              </w:rPr>
            </w:pPr>
          </w:p>
        </w:tc>
        <w:tc>
          <w:tcPr>
            <w:tcW w:w="708" w:type="pct"/>
            <w:gridSpan w:val="2"/>
            <w:vMerge w:val="continue"/>
            <w:vAlign w:val="center"/>
          </w:tcPr>
          <w:p>
            <w:pPr>
              <w:jc w:val="center"/>
              <w:rPr>
                <w:szCs w:val="21"/>
              </w:rPr>
            </w:pPr>
          </w:p>
        </w:tc>
        <w:tc>
          <w:tcPr>
            <w:tcW w:w="812" w:type="pct"/>
            <w:tcBorders>
              <w:top w:val="single" w:color="auto" w:sz="6" w:space="0"/>
              <w:bottom w:val="single" w:color="auto" w:sz="4" w:space="0"/>
            </w:tcBorders>
            <w:vAlign w:val="center"/>
          </w:tcPr>
          <w:p>
            <w:pPr>
              <w:adjustRightInd w:val="0"/>
              <w:snapToGrid w:val="0"/>
              <w:jc w:val="center"/>
              <w:rPr>
                <w:szCs w:val="21"/>
              </w:rPr>
            </w:pPr>
            <w:r>
              <w:rPr>
                <w:rFonts w:hint="eastAsia"/>
                <w:szCs w:val="21"/>
              </w:rPr>
              <w:t>TN</w:t>
            </w:r>
          </w:p>
        </w:tc>
        <w:tc>
          <w:tcPr>
            <w:tcW w:w="1187" w:type="pct"/>
            <w:vMerge w:val="continue"/>
            <w:vAlign w:val="center"/>
          </w:tcPr>
          <w:p>
            <w:pPr>
              <w:jc w:val="center"/>
              <w:rPr>
                <w:szCs w:val="21"/>
              </w:rPr>
            </w:pPr>
          </w:p>
        </w:tc>
        <w:tc>
          <w:tcPr>
            <w:tcW w:w="1763" w:type="pct"/>
            <w:vMerge w:val="continue"/>
            <w:vAlign w:val="center"/>
          </w:tcPr>
          <w:p>
            <w:pPr>
              <w:jc w:val="center"/>
              <w:rPr>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51" w:type="dxa"/>
            <w:bottom w:w="0" w:type="dxa"/>
            <w:right w:w="51" w:type="dxa"/>
          </w:tblCellMar>
        </w:tblPrEx>
        <w:trPr>
          <w:trHeight w:val="454" w:hRule="atLeast"/>
          <w:jc w:val="center"/>
        </w:trPr>
        <w:tc>
          <w:tcPr>
            <w:tcW w:w="529" w:type="pct"/>
            <w:vMerge w:val="restart"/>
            <w:vAlign w:val="center"/>
          </w:tcPr>
          <w:p>
            <w:pPr>
              <w:snapToGrid w:val="0"/>
              <w:jc w:val="center"/>
              <w:rPr>
                <w:szCs w:val="21"/>
              </w:rPr>
            </w:pPr>
            <w:r>
              <w:rPr>
                <w:rFonts w:hint="eastAsia"/>
                <w:szCs w:val="21"/>
              </w:rPr>
              <w:t>固</w:t>
            </w:r>
          </w:p>
          <w:p>
            <w:pPr>
              <w:snapToGrid w:val="0"/>
              <w:jc w:val="center"/>
              <w:rPr>
                <w:szCs w:val="21"/>
              </w:rPr>
            </w:pPr>
            <w:r>
              <w:rPr>
                <w:rFonts w:hint="eastAsia"/>
                <w:szCs w:val="21"/>
              </w:rPr>
              <w:t>体</w:t>
            </w:r>
          </w:p>
          <w:p>
            <w:pPr>
              <w:snapToGrid w:val="0"/>
              <w:jc w:val="center"/>
              <w:rPr>
                <w:szCs w:val="21"/>
              </w:rPr>
            </w:pPr>
            <w:r>
              <w:rPr>
                <w:rFonts w:hint="eastAsia"/>
                <w:szCs w:val="21"/>
              </w:rPr>
              <w:t>废</w:t>
            </w:r>
          </w:p>
          <w:p>
            <w:pPr>
              <w:snapToGrid w:val="0"/>
              <w:jc w:val="center"/>
              <w:rPr>
                <w:szCs w:val="21"/>
              </w:rPr>
            </w:pPr>
            <w:r>
              <w:rPr>
                <w:rFonts w:hint="eastAsia"/>
                <w:szCs w:val="21"/>
              </w:rPr>
              <w:t>物</w:t>
            </w:r>
          </w:p>
        </w:tc>
        <w:tc>
          <w:tcPr>
            <w:tcW w:w="708" w:type="pct"/>
            <w:gridSpan w:val="2"/>
            <w:vAlign w:val="center"/>
          </w:tcPr>
          <w:p>
            <w:pPr>
              <w:jc w:val="center"/>
              <w:rPr>
                <w:szCs w:val="21"/>
              </w:rPr>
            </w:pPr>
            <w:r>
              <w:rPr>
                <w:rFonts w:hint="eastAsia"/>
                <w:szCs w:val="21"/>
              </w:rPr>
              <w:t>原料拆封</w:t>
            </w:r>
          </w:p>
        </w:tc>
        <w:tc>
          <w:tcPr>
            <w:tcW w:w="812" w:type="pct"/>
            <w:tcBorders>
              <w:top w:val="single" w:color="auto" w:sz="6" w:space="0"/>
              <w:bottom w:val="single" w:color="auto" w:sz="4" w:space="0"/>
            </w:tcBorders>
            <w:vAlign w:val="center"/>
          </w:tcPr>
          <w:p>
            <w:pPr>
              <w:jc w:val="center"/>
              <w:rPr>
                <w:szCs w:val="21"/>
              </w:rPr>
            </w:pPr>
            <w:r>
              <w:rPr>
                <w:rFonts w:hint="eastAsia"/>
                <w:szCs w:val="21"/>
              </w:rPr>
              <w:t>废包装材料</w:t>
            </w:r>
          </w:p>
        </w:tc>
        <w:tc>
          <w:tcPr>
            <w:tcW w:w="1187" w:type="pct"/>
            <w:vMerge w:val="restart"/>
            <w:vAlign w:val="center"/>
          </w:tcPr>
          <w:p>
            <w:pPr>
              <w:jc w:val="center"/>
              <w:rPr>
                <w:szCs w:val="21"/>
              </w:rPr>
            </w:pPr>
            <w:r>
              <w:rPr>
                <w:rFonts w:hint="eastAsia"/>
                <w:szCs w:val="21"/>
              </w:rPr>
              <w:t>分类收集后售卖</w:t>
            </w:r>
          </w:p>
        </w:tc>
        <w:tc>
          <w:tcPr>
            <w:tcW w:w="1763" w:type="pct"/>
            <w:vMerge w:val="restart"/>
            <w:vAlign w:val="center"/>
          </w:tcPr>
          <w:p>
            <w:pPr>
              <w:jc w:val="center"/>
              <w:rPr>
                <w:szCs w:val="21"/>
              </w:rPr>
            </w:pPr>
            <w:r>
              <w:rPr>
                <w:szCs w:val="21"/>
              </w:rPr>
              <w:t>均得到有效的处理及处置，固废零排放。</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51" w:type="dxa"/>
            <w:bottom w:w="0" w:type="dxa"/>
            <w:right w:w="51" w:type="dxa"/>
          </w:tblCellMar>
        </w:tblPrEx>
        <w:trPr>
          <w:trHeight w:val="219" w:hRule="atLeast"/>
          <w:jc w:val="center"/>
        </w:trPr>
        <w:tc>
          <w:tcPr>
            <w:tcW w:w="529" w:type="pct"/>
            <w:vMerge w:val="continue"/>
            <w:vAlign w:val="center"/>
          </w:tcPr>
          <w:p>
            <w:pPr>
              <w:snapToGrid w:val="0"/>
              <w:jc w:val="center"/>
              <w:rPr>
                <w:szCs w:val="21"/>
              </w:rPr>
            </w:pPr>
          </w:p>
        </w:tc>
        <w:tc>
          <w:tcPr>
            <w:tcW w:w="708" w:type="pct"/>
            <w:gridSpan w:val="2"/>
            <w:vAlign w:val="center"/>
          </w:tcPr>
          <w:p>
            <w:pPr>
              <w:jc w:val="center"/>
              <w:rPr>
                <w:szCs w:val="21"/>
              </w:rPr>
            </w:pPr>
            <w:r>
              <w:rPr>
                <w:rFonts w:hint="eastAsia"/>
                <w:szCs w:val="21"/>
                <w:lang w:eastAsia="zh-CN"/>
              </w:rPr>
              <w:t>注塑成型</w:t>
            </w:r>
          </w:p>
        </w:tc>
        <w:tc>
          <w:tcPr>
            <w:tcW w:w="812" w:type="pct"/>
            <w:tcBorders>
              <w:top w:val="single" w:color="auto" w:sz="6" w:space="0"/>
              <w:bottom w:val="single" w:color="auto" w:sz="4" w:space="0"/>
            </w:tcBorders>
            <w:vAlign w:val="center"/>
          </w:tcPr>
          <w:p>
            <w:pPr>
              <w:jc w:val="center"/>
              <w:rPr>
                <w:szCs w:val="21"/>
              </w:rPr>
            </w:pPr>
            <w:r>
              <w:rPr>
                <w:rFonts w:hint="eastAsia"/>
                <w:szCs w:val="21"/>
                <w:lang w:eastAsia="zh-CN"/>
              </w:rPr>
              <w:t>不合格品</w:t>
            </w:r>
          </w:p>
        </w:tc>
        <w:tc>
          <w:tcPr>
            <w:tcW w:w="1187" w:type="pct"/>
            <w:vMerge w:val="continue"/>
            <w:vAlign w:val="center"/>
          </w:tcPr>
          <w:p>
            <w:pPr>
              <w:jc w:val="center"/>
              <w:rPr>
                <w:szCs w:val="21"/>
              </w:rPr>
            </w:pPr>
          </w:p>
        </w:tc>
        <w:tc>
          <w:tcPr>
            <w:tcW w:w="1763" w:type="pct"/>
            <w:vMerge w:val="continue"/>
            <w:vAlign w:val="center"/>
          </w:tcPr>
          <w:p>
            <w:pPr>
              <w:jc w:val="center"/>
              <w:rPr>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51" w:type="dxa"/>
            <w:bottom w:w="0" w:type="dxa"/>
            <w:right w:w="51" w:type="dxa"/>
          </w:tblCellMar>
        </w:tblPrEx>
        <w:trPr>
          <w:trHeight w:val="339" w:hRule="atLeast"/>
          <w:jc w:val="center"/>
        </w:trPr>
        <w:tc>
          <w:tcPr>
            <w:tcW w:w="529" w:type="pct"/>
            <w:vMerge w:val="continue"/>
            <w:vAlign w:val="center"/>
          </w:tcPr>
          <w:p>
            <w:pPr>
              <w:snapToGrid w:val="0"/>
              <w:jc w:val="center"/>
              <w:rPr>
                <w:szCs w:val="21"/>
              </w:rPr>
            </w:pPr>
          </w:p>
        </w:tc>
        <w:tc>
          <w:tcPr>
            <w:tcW w:w="708" w:type="pct"/>
            <w:gridSpan w:val="2"/>
            <w:vAlign w:val="center"/>
          </w:tcPr>
          <w:p>
            <w:pPr>
              <w:jc w:val="center"/>
              <w:rPr>
                <w:rFonts w:hint="eastAsia"/>
                <w:szCs w:val="21"/>
              </w:rPr>
            </w:pPr>
            <w:r>
              <w:rPr>
                <w:rFonts w:hint="eastAsia"/>
                <w:szCs w:val="21"/>
                <w:lang w:eastAsia="zh-CN"/>
              </w:rPr>
              <w:t>成型工序</w:t>
            </w:r>
          </w:p>
        </w:tc>
        <w:tc>
          <w:tcPr>
            <w:tcW w:w="812" w:type="pct"/>
            <w:tcBorders>
              <w:top w:val="single" w:color="auto" w:sz="6" w:space="0"/>
              <w:bottom w:val="single" w:color="auto" w:sz="4" w:space="0"/>
            </w:tcBorders>
            <w:vAlign w:val="center"/>
          </w:tcPr>
          <w:p>
            <w:pPr>
              <w:jc w:val="center"/>
              <w:rPr>
                <w:rFonts w:hint="eastAsia"/>
                <w:szCs w:val="21"/>
              </w:rPr>
            </w:pPr>
            <w:r>
              <w:rPr>
                <w:rFonts w:hint="eastAsia"/>
                <w:szCs w:val="21"/>
                <w:lang w:eastAsia="zh-CN"/>
              </w:rPr>
              <w:t>废金属碎屑</w:t>
            </w:r>
          </w:p>
        </w:tc>
        <w:tc>
          <w:tcPr>
            <w:tcW w:w="1187" w:type="pct"/>
            <w:vMerge w:val="continue"/>
            <w:vAlign w:val="center"/>
          </w:tcPr>
          <w:p>
            <w:pPr>
              <w:jc w:val="center"/>
              <w:rPr>
                <w:szCs w:val="21"/>
              </w:rPr>
            </w:pPr>
          </w:p>
        </w:tc>
        <w:tc>
          <w:tcPr>
            <w:tcW w:w="1763" w:type="pct"/>
            <w:vMerge w:val="continue"/>
            <w:vAlign w:val="center"/>
          </w:tcPr>
          <w:p>
            <w:pPr>
              <w:jc w:val="center"/>
              <w:rPr>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51" w:type="dxa"/>
            <w:bottom w:w="0" w:type="dxa"/>
            <w:right w:w="51" w:type="dxa"/>
          </w:tblCellMar>
        </w:tblPrEx>
        <w:trPr>
          <w:trHeight w:val="454" w:hRule="atLeast"/>
          <w:jc w:val="center"/>
        </w:trPr>
        <w:tc>
          <w:tcPr>
            <w:tcW w:w="529" w:type="pct"/>
            <w:vMerge w:val="continue"/>
            <w:vAlign w:val="center"/>
          </w:tcPr>
          <w:p>
            <w:pPr>
              <w:snapToGrid w:val="0"/>
              <w:jc w:val="center"/>
              <w:rPr>
                <w:szCs w:val="21"/>
              </w:rPr>
            </w:pPr>
          </w:p>
        </w:tc>
        <w:tc>
          <w:tcPr>
            <w:tcW w:w="708" w:type="pct"/>
            <w:gridSpan w:val="2"/>
            <w:vAlign w:val="center"/>
          </w:tcPr>
          <w:p>
            <w:pPr>
              <w:pStyle w:val="123"/>
              <w:rPr>
                <w:szCs w:val="21"/>
              </w:rPr>
            </w:pPr>
            <w:r>
              <w:rPr>
                <w:rFonts w:hint="eastAsia"/>
                <w:szCs w:val="21"/>
                <w:lang w:eastAsia="zh-CN"/>
              </w:rPr>
              <w:t>成型工序</w:t>
            </w:r>
          </w:p>
        </w:tc>
        <w:tc>
          <w:tcPr>
            <w:tcW w:w="812" w:type="pct"/>
            <w:tcBorders>
              <w:top w:val="single" w:color="auto" w:sz="6" w:space="0"/>
              <w:bottom w:val="single" w:color="auto" w:sz="4" w:space="0"/>
            </w:tcBorders>
            <w:vAlign w:val="center"/>
          </w:tcPr>
          <w:p>
            <w:pPr>
              <w:pStyle w:val="123"/>
              <w:rPr>
                <w:szCs w:val="21"/>
              </w:rPr>
            </w:pPr>
            <w:r>
              <w:rPr>
                <w:rFonts w:hint="eastAsia"/>
              </w:rPr>
              <w:t>废切削液</w:t>
            </w:r>
          </w:p>
        </w:tc>
        <w:tc>
          <w:tcPr>
            <w:tcW w:w="1187" w:type="pct"/>
            <w:vMerge w:val="restart"/>
            <w:vAlign w:val="center"/>
          </w:tcPr>
          <w:p>
            <w:pPr>
              <w:contextualSpacing/>
              <w:jc w:val="center"/>
              <w:rPr>
                <w:szCs w:val="21"/>
              </w:rPr>
            </w:pPr>
            <w:r>
              <w:rPr>
                <w:rFonts w:hint="eastAsia"/>
                <w:szCs w:val="21"/>
              </w:rPr>
              <w:t>委托有资质单位处置</w:t>
            </w:r>
          </w:p>
        </w:tc>
        <w:tc>
          <w:tcPr>
            <w:tcW w:w="1763" w:type="pct"/>
            <w:vMerge w:val="continue"/>
            <w:vAlign w:val="center"/>
          </w:tcPr>
          <w:p>
            <w:pPr>
              <w:jc w:val="center"/>
              <w:rPr>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51" w:type="dxa"/>
            <w:bottom w:w="0" w:type="dxa"/>
            <w:right w:w="51" w:type="dxa"/>
          </w:tblCellMar>
        </w:tblPrEx>
        <w:trPr>
          <w:trHeight w:val="454" w:hRule="atLeast"/>
          <w:jc w:val="center"/>
        </w:trPr>
        <w:tc>
          <w:tcPr>
            <w:tcW w:w="529" w:type="pct"/>
            <w:vMerge w:val="continue"/>
            <w:vAlign w:val="center"/>
          </w:tcPr>
          <w:p>
            <w:pPr>
              <w:snapToGrid w:val="0"/>
              <w:jc w:val="center"/>
              <w:rPr>
                <w:szCs w:val="21"/>
              </w:rPr>
            </w:pPr>
          </w:p>
        </w:tc>
        <w:tc>
          <w:tcPr>
            <w:tcW w:w="708" w:type="pct"/>
            <w:gridSpan w:val="2"/>
            <w:vAlign w:val="center"/>
          </w:tcPr>
          <w:p>
            <w:pPr>
              <w:jc w:val="center"/>
              <w:rPr>
                <w:szCs w:val="21"/>
              </w:rPr>
            </w:pPr>
            <w:r>
              <w:rPr>
                <w:rFonts w:hint="eastAsia"/>
                <w:szCs w:val="21"/>
              </w:rPr>
              <w:t>废气处理</w:t>
            </w:r>
          </w:p>
        </w:tc>
        <w:tc>
          <w:tcPr>
            <w:tcW w:w="812" w:type="pct"/>
            <w:tcBorders>
              <w:top w:val="single" w:color="auto" w:sz="6" w:space="0"/>
              <w:bottom w:val="single" w:color="auto" w:sz="4" w:space="0"/>
            </w:tcBorders>
            <w:vAlign w:val="center"/>
          </w:tcPr>
          <w:p>
            <w:pPr>
              <w:jc w:val="center"/>
              <w:rPr>
                <w:szCs w:val="21"/>
              </w:rPr>
            </w:pPr>
            <w:r>
              <w:rPr>
                <w:rFonts w:hint="eastAsia"/>
                <w:szCs w:val="21"/>
              </w:rPr>
              <w:t>废活性炭</w:t>
            </w:r>
          </w:p>
        </w:tc>
        <w:tc>
          <w:tcPr>
            <w:tcW w:w="1187" w:type="pct"/>
            <w:vMerge w:val="continue"/>
            <w:vAlign w:val="center"/>
          </w:tcPr>
          <w:p>
            <w:pPr>
              <w:contextualSpacing/>
              <w:jc w:val="center"/>
              <w:rPr>
                <w:szCs w:val="21"/>
              </w:rPr>
            </w:pPr>
          </w:p>
        </w:tc>
        <w:tc>
          <w:tcPr>
            <w:tcW w:w="1763" w:type="pct"/>
            <w:vMerge w:val="continue"/>
            <w:vAlign w:val="center"/>
          </w:tcPr>
          <w:p>
            <w:pPr>
              <w:jc w:val="center"/>
              <w:rPr>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51" w:type="dxa"/>
            <w:bottom w:w="0" w:type="dxa"/>
            <w:right w:w="51" w:type="dxa"/>
          </w:tblCellMar>
        </w:tblPrEx>
        <w:trPr>
          <w:trHeight w:val="454" w:hRule="atLeast"/>
          <w:jc w:val="center"/>
        </w:trPr>
        <w:tc>
          <w:tcPr>
            <w:tcW w:w="529" w:type="pct"/>
            <w:vMerge w:val="continue"/>
            <w:vAlign w:val="center"/>
          </w:tcPr>
          <w:p>
            <w:pPr>
              <w:snapToGrid w:val="0"/>
              <w:jc w:val="center"/>
              <w:rPr>
                <w:szCs w:val="21"/>
              </w:rPr>
            </w:pPr>
          </w:p>
        </w:tc>
        <w:tc>
          <w:tcPr>
            <w:tcW w:w="708" w:type="pct"/>
            <w:gridSpan w:val="2"/>
            <w:vAlign w:val="center"/>
          </w:tcPr>
          <w:p>
            <w:pPr>
              <w:jc w:val="center"/>
              <w:rPr>
                <w:szCs w:val="21"/>
              </w:rPr>
            </w:pPr>
            <w:r>
              <w:rPr>
                <w:rFonts w:hint="eastAsia"/>
                <w:szCs w:val="21"/>
              </w:rPr>
              <w:t>设备维护</w:t>
            </w:r>
          </w:p>
        </w:tc>
        <w:tc>
          <w:tcPr>
            <w:tcW w:w="812" w:type="pct"/>
            <w:tcBorders>
              <w:top w:val="single" w:color="auto" w:sz="6" w:space="0"/>
              <w:bottom w:val="single" w:color="auto" w:sz="4" w:space="0"/>
            </w:tcBorders>
            <w:vAlign w:val="center"/>
          </w:tcPr>
          <w:p>
            <w:pPr>
              <w:jc w:val="center"/>
              <w:rPr>
                <w:szCs w:val="21"/>
              </w:rPr>
            </w:pPr>
            <w:r>
              <w:rPr>
                <w:rFonts w:hint="eastAsia"/>
                <w:szCs w:val="21"/>
              </w:rPr>
              <w:t>废润滑油</w:t>
            </w:r>
          </w:p>
        </w:tc>
        <w:tc>
          <w:tcPr>
            <w:tcW w:w="1187" w:type="pct"/>
            <w:vMerge w:val="continue"/>
            <w:vAlign w:val="center"/>
          </w:tcPr>
          <w:p>
            <w:pPr>
              <w:contextualSpacing/>
              <w:jc w:val="center"/>
              <w:rPr>
                <w:szCs w:val="21"/>
              </w:rPr>
            </w:pPr>
          </w:p>
        </w:tc>
        <w:tc>
          <w:tcPr>
            <w:tcW w:w="1763" w:type="pct"/>
            <w:vMerge w:val="continue"/>
            <w:vAlign w:val="center"/>
          </w:tcPr>
          <w:p>
            <w:pPr>
              <w:jc w:val="center"/>
              <w:rPr>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51" w:type="dxa"/>
            <w:bottom w:w="0" w:type="dxa"/>
            <w:right w:w="51" w:type="dxa"/>
          </w:tblCellMar>
        </w:tblPrEx>
        <w:trPr>
          <w:trHeight w:val="454" w:hRule="atLeast"/>
          <w:jc w:val="center"/>
        </w:trPr>
        <w:tc>
          <w:tcPr>
            <w:tcW w:w="529" w:type="pct"/>
            <w:vMerge w:val="continue"/>
            <w:vAlign w:val="center"/>
          </w:tcPr>
          <w:p>
            <w:pPr>
              <w:snapToGrid w:val="0"/>
              <w:jc w:val="center"/>
              <w:rPr>
                <w:szCs w:val="21"/>
              </w:rPr>
            </w:pPr>
          </w:p>
        </w:tc>
        <w:tc>
          <w:tcPr>
            <w:tcW w:w="708" w:type="pct"/>
            <w:gridSpan w:val="2"/>
            <w:vAlign w:val="center"/>
          </w:tcPr>
          <w:p>
            <w:pPr>
              <w:jc w:val="center"/>
              <w:rPr>
                <w:szCs w:val="21"/>
              </w:rPr>
            </w:pPr>
            <w:r>
              <w:rPr>
                <w:rFonts w:hint="eastAsia"/>
                <w:szCs w:val="21"/>
              </w:rPr>
              <w:t>原料拆封</w:t>
            </w:r>
          </w:p>
        </w:tc>
        <w:tc>
          <w:tcPr>
            <w:tcW w:w="812" w:type="pct"/>
            <w:tcBorders>
              <w:top w:val="single" w:color="auto" w:sz="6" w:space="0"/>
              <w:bottom w:val="single" w:color="auto" w:sz="4" w:space="0"/>
            </w:tcBorders>
            <w:vAlign w:val="center"/>
          </w:tcPr>
          <w:p>
            <w:pPr>
              <w:jc w:val="center"/>
              <w:rPr>
                <w:szCs w:val="21"/>
              </w:rPr>
            </w:pPr>
            <w:r>
              <w:rPr>
                <w:rFonts w:hint="eastAsia"/>
                <w:szCs w:val="21"/>
              </w:rPr>
              <w:t>废包装桶</w:t>
            </w:r>
          </w:p>
        </w:tc>
        <w:tc>
          <w:tcPr>
            <w:tcW w:w="1187" w:type="pct"/>
            <w:vMerge w:val="continue"/>
            <w:vAlign w:val="center"/>
          </w:tcPr>
          <w:p>
            <w:pPr>
              <w:contextualSpacing/>
              <w:jc w:val="center"/>
              <w:rPr>
                <w:szCs w:val="21"/>
              </w:rPr>
            </w:pPr>
          </w:p>
        </w:tc>
        <w:tc>
          <w:tcPr>
            <w:tcW w:w="1763" w:type="pct"/>
            <w:vMerge w:val="continue"/>
            <w:vAlign w:val="center"/>
          </w:tcPr>
          <w:p>
            <w:pPr>
              <w:jc w:val="center"/>
              <w:rPr>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51" w:type="dxa"/>
            <w:bottom w:w="0" w:type="dxa"/>
            <w:right w:w="51" w:type="dxa"/>
          </w:tblCellMar>
        </w:tblPrEx>
        <w:trPr>
          <w:trHeight w:val="344" w:hRule="atLeast"/>
          <w:jc w:val="center"/>
        </w:trPr>
        <w:tc>
          <w:tcPr>
            <w:tcW w:w="529" w:type="pct"/>
            <w:vMerge w:val="continue"/>
            <w:vAlign w:val="center"/>
          </w:tcPr>
          <w:p>
            <w:pPr>
              <w:snapToGrid w:val="0"/>
              <w:jc w:val="center"/>
              <w:rPr>
                <w:szCs w:val="21"/>
              </w:rPr>
            </w:pPr>
          </w:p>
        </w:tc>
        <w:tc>
          <w:tcPr>
            <w:tcW w:w="708" w:type="pct"/>
            <w:gridSpan w:val="2"/>
            <w:vAlign w:val="center"/>
          </w:tcPr>
          <w:p>
            <w:pPr>
              <w:jc w:val="center"/>
              <w:rPr>
                <w:szCs w:val="21"/>
              </w:rPr>
            </w:pPr>
            <w:r>
              <w:rPr>
                <w:rFonts w:hint="eastAsia"/>
                <w:szCs w:val="21"/>
                <w:lang w:eastAsia="zh-CN"/>
              </w:rPr>
              <w:t>设备维护</w:t>
            </w:r>
          </w:p>
        </w:tc>
        <w:tc>
          <w:tcPr>
            <w:tcW w:w="812" w:type="pct"/>
            <w:tcBorders>
              <w:top w:val="single" w:color="auto" w:sz="6" w:space="0"/>
              <w:bottom w:val="single" w:color="auto" w:sz="4" w:space="0"/>
            </w:tcBorders>
            <w:vAlign w:val="center"/>
          </w:tcPr>
          <w:p>
            <w:pPr>
              <w:jc w:val="center"/>
              <w:rPr>
                <w:szCs w:val="21"/>
              </w:rPr>
            </w:pPr>
            <w:r>
              <w:rPr>
                <w:rFonts w:hint="eastAsia"/>
                <w:szCs w:val="21"/>
              </w:rPr>
              <w:t>废</w:t>
            </w:r>
            <w:r>
              <w:rPr>
                <w:rFonts w:hint="eastAsia"/>
                <w:szCs w:val="21"/>
                <w:lang w:eastAsia="zh-CN"/>
              </w:rPr>
              <w:t>含油抹布</w:t>
            </w:r>
          </w:p>
        </w:tc>
        <w:tc>
          <w:tcPr>
            <w:tcW w:w="1187" w:type="pct"/>
            <w:vAlign w:val="center"/>
          </w:tcPr>
          <w:p>
            <w:pPr>
              <w:contextualSpacing/>
              <w:jc w:val="center"/>
              <w:rPr>
                <w:rFonts w:hint="eastAsia" w:eastAsia="宋体"/>
                <w:szCs w:val="21"/>
                <w:lang w:eastAsia="zh-CN"/>
              </w:rPr>
            </w:pPr>
            <w:r>
              <w:rPr>
                <w:rFonts w:hint="eastAsia"/>
                <w:szCs w:val="21"/>
                <w:lang w:eastAsia="zh-CN"/>
              </w:rPr>
              <w:t>混入生活垃圾的委托环卫部门清运</w:t>
            </w:r>
          </w:p>
        </w:tc>
        <w:tc>
          <w:tcPr>
            <w:tcW w:w="1763" w:type="pct"/>
            <w:vMerge w:val="continue"/>
            <w:vAlign w:val="center"/>
          </w:tcPr>
          <w:p>
            <w:pPr>
              <w:jc w:val="center"/>
              <w:rPr>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51" w:type="dxa"/>
            <w:bottom w:w="0" w:type="dxa"/>
            <w:right w:w="51" w:type="dxa"/>
          </w:tblCellMar>
        </w:tblPrEx>
        <w:trPr>
          <w:trHeight w:val="454" w:hRule="atLeast"/>
          <w:jc w:val="center"/>
        </w:trPr>
        <w:tc>
          <w:tcPr>
            <w:tcW w:w="529" w:type="pct"/>
            <w:vMerge w:val="continue"/>
            <w:vAlign w:val="center"/>
          </w:tcPr>
          <w:p>
            <w:pPr>
              <w:snapToGrid w:val="0"/>
              <w:jc w:val="center"/>
              <w:rPr>
                <w:szCs w:val="21"/>
              </w:rPr>
            </w:pPr>
          </w:p>
        </w:tc>
        <w:tc>
          <w:tcPr>
            <w:tcW w:w="708" w:type="pct"/>
            <w:gridSpan w:val="2"/>
            <w:vAlign w:val="center"/>
          </w:tcPr>
          <w:p>
            <w:pPr>
              <w:jc w:val="center"/>
              <w:rPr>
                <w:szCs w:val="21"/>
              </w:rPr>
            </w:pPr>
            <w:r>
              <w:rPr>
                <w:rFonts w:hint="eastAsia"/>
                <w:szCs w:val="21"/>
              </w:rPr>
              <w:t>员工日常生活</w:t>
            </w:r>
          </w:p>
        </w:tc>
        <w:tc>
          <w:tcPr>
            <w:tcW w:w="812" w:type="pct"/>
            <w:tcBorders>
              <w:top w:val="single" w:color="auto" w:sz="6" w:space="0"/>
              <w:bottom w:val="single" w:color="auto" w:sz="4" w:space="0"/>
            </w:tcBorders>
            <w:vAlign w:val="center"/>
          </w:tcPr>
          <w:p>
            <w:pPr>
              <w:jc w:val="center"/>
              <w:rPr>
                <w:szCs w:val="21"/>
              </w:rPr>
            </w:pPr>
            <w:r>
              <w:rPr>
                <w:rFonts w:hint="eastAsia"/>
                <w:szCs w:val="21"/>
              </w:rPr>
              <w:t>生活垃圾</w:t>
            </w:r>
          </w:p>
        </w:tc>
        <w:tc>
          <w:tcPr>
            <w:tcW w:w="1187" w:type="pct"/>
            <w:vAlign w:val="center"/>
          </w:tcPr>
          <w:p>
            <w:pPr>
              <w:contextualSpacing/>
              <w:jc w:val="center"/>
              <w:rPr>
                <w:szCs w:val="21"/>
              </w:rPr>
            </w:pPr>
            <w:r>
              <w:rPr>
                <w:rFonts w:hint="eastAsia"/>
                <w:szCs w:val="21"/>
              </w:rPr>
              <w:t>委托环卫部门清运</w:t>
            </w:r>
          </w:p>
        </w:tc>
        <w:tc>
          <w:tcPr>
            <w:tcW w:w="1763" w:type="pct"/>
            <w:vMerge w:val="continue"/>
            <w:vAlign w:val="center"/>
          </w:tcPr>
          <w:p>
            <w:pPr>
              <w:jc w:val="center"/>
              <w:rPr>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51" w:type="dxa"/>
            <w:bottom w:w="0" w:type="dxa"/>
            <w:right w:w="51" w:type="dxa"/>
          </w:tblCellMar>
        </w:tblPrEx>
        <w:trPr>
          <w:trHeight w:val="454" w:hRule="atLeast"/>
          <w:jc w:val="center"/>
        </w:trPr>
        <w:tc>
          <w:tcPr>
            <w:tcW w:w="529" w:type="pct"/>
            <w:tcBorders>
              <w:top w:val="single" w:color="auto" w:sz="6" w:space="0"/>
            </w:tcBorders>
            <w:vAlign w:val="center"/>
          </w:tcPr>
          <w:p>
            <w:pPr>
              <w:snapToGrid w:val="0"/>
              <w:jc w:val="center"/>
              <w:rPr>
                <w:szCs w:val="21"/>
              </w:rPr>
            </w:pPr>
            <w:r>
              <w:rPr>
                <w:szCs w:val="21"/>
              </w:rPr>
              <w:t>噪</w:t>
            </w:r>
          </w:p>
          <w:p>
            <w:pPr>
              <w:snapToGrid w:val="0"/>
              <w:jc w:val="center"/>
              <w:rPr>
                <w:szCs w:val="21"/>
              </w:rPr>
            </w:pPr>
            <w:r>
              <w:rPr>
                <w:szCs w:val="21"/>
              </w:rPr>
              <w:t>声</w:t>
            </w:r>
          </w:p>
        </w:tc>
        <w:tc>
          <w:tcPr>
            <w:tcW w:w="4470" w:type="pct"/>
            <w:gridSpan w:val="5"/>
            <w:tcBorders>
              <w:top w:val="single" w:color="auto" w:sz="6" w:space="0"/>
            </w:tcBorders>
            <w:vAlign w:val="center"/>
          </w:tcPr>
          <w:p>
            <w:pPr>
              <w:ind w:firstLine="420" w:firstLineChars="200"/>
              <w:rPr>
                <w:szCs w:val="21"/>
              </w:rPr>
            </w:pPr>
            <w:r>
              <w:rPr>
                <w:rFonts w:hint="eastAsia"/>
                <w:szCs w:val="21"/>
                <w:shd w:val="clear" w:color="auto" w:fill="FFFFFF"/>
              </w:rPr>
              <w:t>建设项目主要高噪声设备为小型不锈钢锉磨床、镍钛锉车床、注塑机、空压机组、风机等设备运行噪声，经减振、隔声与距离衰减后，在经过隔声减振等措施和距离衰减之后，项目营运期厂界噪声排放可满足《工业企业厂界环境噪声排放标准》（GB12348-2008）中的3类区限值，敏感点</w:t>
            </w:r>
            <w:r>
              <w:rPr>
                <w:rFonts w:hint="eastAsia"/>
                <w:szCs w:val="21"/>
                <w:shd w:val="clear" w:color="auto" w:fill="FFFFFF"/>
                <w:lang w:eastAsia="zh-CN"/>
              </w:rPr>
              <w:t>珑庭花园</w:t>
            </w:r>
            <w:r>
              <w:rPr>
                <w:rFonts w:hint="eastAsia"/>
                <w:szCs w:val="21"/>
                <w:shd w:val="clear" w:color="auto" w:fill="FFFFFF"/>
              </w:rPr>
              <w:t>声环境预测叠加值可满足《声环境质量标准》（GB3096-2008）中的2类区限值，对环境影响较小。</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51" w:type="dxa"/>
            <w:bottom w:w="0" w:type="dxa"/>
            <w:right w:w="51" w:type="dxa"/>
          </w:tblCellMar>
        </w:tblPrEx>
        <w:trPr>
          <w:trHeight w:val="506" w:hRule="atLeast"/>
          <w:jc w:val="center"/>
        </w:trPr>
        <w:tc>
          <w:tcPr>
            <w:tcW w:w="529" w:type="pct"/>
            <w:tcBorders>
              <w:top w:val="single" w:color="auto" w:sz="6" w:space="0"/>
              <w:bottom w:val="single" w:color="auto" w:sz="6" w:space="0"/>
            </w:tcBorders>
            <w:vAlign w:val="center"/>
          </w:tcPr>
          <w:p>
            <w:pPr>
              <w:snapToGrid w:val="0"/>
              <w:jc w:val="center"/>
              <w:rPr>
                <w:szCs w:val="21"/>
              </w:rPr>
            </w:pPr>
            <w:r>
              <w:rPr>
                <w:szCs w:val="21"/>
              </w:rPr>
              <w:t>其它</w:t>
            </w:r>
          </w:p>
        </w:tc>
        <w:tc>
          <w:tcPr>
            <w:tcW w:w="4470" w:type="pct"/>
            <w:gridSpan w:val="5"/>
            <w:tcBorders>
              <w:top w:val="single" w:color="auto" w:sz="6" w:space="0"/>
              <w:bottom w:val="single" w:color="auto" w:sz="6" w:space="0"/>
            </w:tcBorders>
            <w:vAlign w:val="center"/>
          </w:tcPr>
          <w:p>
            <w:pPr>
              <w:snapToGrid w:val="0"/>
              <w:ind w:firstLine="190" w:firstLineChars="100"/>
              <w:jc w:val="center"/>
              <w:rPr>
                <w:szCs w:val="21"/>
              </w:rPr>
            </w:pPr>
            <w:r>
              <w:rPr>
                <w:spacing w:val="-10"/>
                <w:szCs w:val="21"/>
              </w:rPr>
              <w:t>无</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51" w:type="dxa"/>
            <w:bottom w:w="0" w:type="dxa"/>
            <w:right w:w="51" w:type="dxa"/>
          </w:tblCellMar>
        </w:tblPrEx>
        <w:trPr>
          <w:trHeight w:val="706" w:hRule="atLeast"/>
          <w:jc w:val="center"/>
        </w:trPr>
        <w:tc>
          <w:tcPr>
            <w:tcW w:w="5000" w:type="pct"/>
            <w:gridSpan w:val="6"/>
            <w:tcBorders>
              <w:top w:val="single" w:color="auto" w:sz="6" w:space="0"/>
              <w:bottom w:val="single" w:color="auto" w:sz="12" w:space="0"/>
            </w:tcBorders>
          </w:tcPr>
          <w:p>
            <w:pPr>
              <w:spacing w:line="360" w:lineRule="auto"/>
              <w:rPr>
                <w:b/>
                <w:bCs/>
                <w:szCs w:val="21"/>
              </w:rPr>
            </w:pPr>
            <w:r>
              <w:rPr>
                <w:b/>
                <w:bCs/>
                <w:szCs w:val="21"/>
              </w:rPr>
              <w:t>生态保护措施及预期效果：</w:t>
            </w:r>
          </w:p>
          <w:p>
            <w:pPr>
              <w:spacing w:line="360" w:lineRule="auto"/>
              <w:ind w:firstLine="420" w:firstLineChars="200"/>
              <w:rPr>
                <w:b/>
                <w:bCs/>
                <w:szCs w:val="21"/>
              </w:rPr>
            </w:pPr>
            <w:r>
              <w:rPr>
                <w:szCs w:val="21"/>
              </w:rPr>
              <w:t>无</w:t>
            </w:r>
          </w:p>
        </w:tc>
      </w:tr>
    </w:tbl>
    <w:p>
      <w:pPr>
        <w:pStyle w:val="312"/>
        <w:rPr>
          <w:rFonts w:ascii="Times New Roman" w:hAnsi="Times New Roman"/>
        </w:rPr>
      </w:pPr>
      <w:r>
        <w:rPr>
          <w:rFonts w:ascii="Times New Roman" w:hAnsi="Times New Roman"/>
        </w:rPr>
        <w:t>结论与建议</w:t>
      </w:r>
    </w:p>
    <w:tbl>
      <w:tblPr>
        <w:tblStyle w:val="56"/>
        <w:tblW w:w="8533" w:type="dxa"/>
        <w:jc w:val="center"/>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
      <w:tblGrid>
        <w:gridCol w:w="8485"/>
        <w:gridCol w:w="48"/>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gridAfter w:val="1"/>
          <w:wAfter w:w="48" w:type="dxa"/>
          <w:trHeight w:val="13140" w:hRule="atLeast"/>
          <w:jc w:val="center"/>
        </w:trPr>
        <w:tc>
          <w:tcPr>
            <w:tcW w:w="8485" w:type="dxa"/>
          </w:tcPr>
          <w:p>
            <w:pPr>
              <w:snapToGrid w:val="0"/>
              <w:rPr>
                <w:b/>
                <w:sz w:val="10"/>
              </w:rPr>
            </w:pPr>
          </w:p>
          <w:p>
            <w:pPr>
              <w:spacing w:line="360" w:lineRule="auto"/>
              <w:ind w:firstLine="480" w:firstLineChars="200"/>
              <w:rPr>
                <w:b/>
                <w:sz w:val="24"/>
              </w:rPr>
            </w:pPr>
            <w:r>
              <w:rPr>
                <w:b/>
                <w:sz w:val="24"/>
              </w:rPr>
              <w:t>1、项目概况</w:t>
            </w:r>
          </w:p>
          <w:p>
            <w:pPr>
              <w:spacing w:line="360" w:lineRule="auto"/>
              <w:ind w:firstLine="480" w:firstLineChars="200"/>
              <w:rPr>
                <w:rFonts w:hint="eastAsia"/>
                <w:color w:val="000000" w:themeColor="text1"/>
                <w:sz w:val="24"/>
                <w:szCs w:val="24"/>
                <w14:textFill>
                  <w14:solidFill>
                    <w14:schemeClr w14:val="tx1"/>
                  </w14:solidFill>
                </w14:textFill>
              </w:rPr>
            </w:pPr>
            <w:r>
              <w:rPr>
                <w:rFonts w:hint="eastAsia"/>
                <w:color w:val="000000" w:themeColor="text1"/>
                <w:kern w:val="0"/>
                <w:sz w:val="24"/>
                <w:szCs w:val="24"/>
                <w:lang w:eastAsia="zh-CN"/>
                <w14:textFill>
                  <w14:solidFill>
                    <w14:schemeClr w14:val="tx1"/>
                  </w14:solidFill>
                </w14:textFill>
              </w:rPr>
              <w:t>江苏</w:t>
            </w:r>
            <w:r>
              <w:rPr>
                <w:rFonts w:hint="eastAsia" w:ascii="Times New Roman" w:hAnsi="Times New Roman" w:cs="Times New Roman"/>
                <w:color w:val="000000" w:themeColor="text1"/>
                <w:kern w:val="0"/>
                <w:sz w:val="24"/>
                <w:szCs w:val="24"/>
                <w:lang w:eastAsia="zh-CN"/>
                <w14:textFill>
                  <w14:solidFill>
                    <w14:schemeClr w14:val="tx1"/>
                  </w14:solidFill>
                </w14:textFill>
              </w:rPr>
              <w:t>华益</w:t>
            </w:r>
            <w:r>
              <w:rPr>
                <w:rFonts w:hint="eastAsia" w:ascii="Times New Roman" w:hAnsi="Times New Roman" w:cs="Times New Roman"/>
                <w:color w:val="000000" w:themeColor="text1"/>
                <w:kern w:val="0"/>
                <w:sz w:val="24"/>
                <w:szCs w:val="24"/>
                <w:lang w:val="en-US" w:eastAsia="zh-CN"/>
                <w14:textFill>
                  <w14:solidFill>
                    <w14:schemeClr w14:val="tx1"/>
                  </w14:solidFill>
                </w14:textFill>
              </w:rPr>
              <w:t>壹品</w:t>
            </w:r>
            <w:r>
              <w:rPr>
                <w:rFonts w:hint="eastAsia" w:ascii="Times New Roman" w:hAnsi="Times New Roman" w:cs="Times New Roman"/>
                <w:color w:val="000000" w:themeColor="text1"/>
                <w:kern w:val="0"/>
                <w:sz w:val="24"/>
                <w:szCs w:val="24"/>
                <w:lang w:eastAsia="zh-CN"/>
                <w14:textFill>
                  <w14:solidFill>
                    <w14:schemeClr w14:val="tx1"/>
                  </w14:solidFill>
                </w14:textFill>
              </w:rPr>
              <w:t>医疗</w:t>
            </w:r>
            <w:r>
              <w:rPr>
                <w:rFonts w:hint="eastAsia"/>
                <w:color w:val="000000" w:themeColor="text1"/>
                <w:kern w:val="0"/>
                <w:sz w:val="24"/>
                <w:szCs w:val="24"/>
                <w:lang w:eastAsia="zh-CN"/>
                <w14:textFill>
                  <w14:solidFill>
                    <w14:schemeClr w14:val="tx1"/>
                  </w14:solidFill>
                </w14:textFill>
              </w:rPr>
              <w:t>科技有限公司</w:t>
            </w:r>
            <w:r>
              <w:rPr>
                <w:rFonts w:hint="eastAsia"/>
                <w:color w:val="000000" w:themeColor="text1"/>
                <w:kern w:val="0"/>
                <w:sz w:val="24"/>
                <w:szCs w:val="24"/>
                <w14:textFill>
                  <w14:solidFill>
                    <w14:schemeClr w14:val="tx1"/>
                  </w14:solidFill>
                </w14:textFill>
              </w:rPr>
              <w:t>成立于20</w:t>
            </w:r>
            <w:r>
              <w:rPr>
                <w:rFonts w:hint="eastAsia"/>
                <w:color w:val="000000" w:themeColor="text1"/>
                <w:kern w:val="0"/>
                <w:sz w:val="24"/>
                <w:szCs w:val="24"/>
                <w:lang w:val="en-US" w:eastAsia="zh-CN"/>
                <w14:textFill>
                  <w14:solidFill>
                    <w14:schemeClr w14:val="tx1"/>
                  </w14:solidFill>
                </w14:textFill>
              </w:rPr>
              <w:t>20</w:t>
            </w:r>
            <w:r>
              <w:rPr>
                <w:rFonts w:hint="eastAsia"/>
                <w:color w:val="000000" w:themeColor="text1"/>
                <w:kern w:val="0"/>
                <w:sz w:val="24"/>
                <w:szCs w:val="24"/>
                <w14:textFill>
                  <w14:solidFill>
                    <w14:schemeClr w14:val="tx1"/>
                  </w14:solidFill>
                </w14:textFill>
              </w:rPr>
              <w:t>年</w:t>
            </w:r>
            <w:r>
              <w:rPr>
                <w:rFonts w:hint="eastAsia"/>
                <w:color w:val="000000" w:themeColor="text1"/>
                <w:kern w:val="0"/>
                <w:sz w:val="24"/>
                <w:szCs w:val="24"/>
                <w:lang w:val="en-US" w:eastAsia="zh-CN"/>
                <w14:textFill>
                  <w14:solidFill>
                    <w14:schemeClr w14:val="tx1"/>
                  </w14:solidFill>
                </w14:textFill>
              </w:rPr>
              <w:t>09</w:t>
            </w:r>
            <w:r>
              <w:rPr>
                <w:rFonts w:hint="eastAsia"/>
                <w:color w:val="000000" w:themeColor="text1"/>
                <w:kern w:val="0"/>
                <w:sz w:val="24"/>
                <w:szCs w:val="24"/>
                <w14:textFill>
                  <w14:solidFill>
                    <w14:schemeClr w14:val="tx1"/>
                  </w14:solidFill>
                </w14:textFill>
              </w:rPr>
              <w:t>月1</w:t>
            </w:r>
            <w:r>
              <w:rPr>
                <w:rFonts w:hint="eastAsia"/>
                <w:color w:val="000000" w:themeColor="text1"/>
                <w:kern w:val="0"/>
                <w:sz w:val="24"/>
                <w:szCs w:val="24"/>
                <w:lang w:val="en-US" w:eastAsia="zh-CN"/>
                <w14:textFill>
                  <w14:solidFill>
                    <w14:schemeClr w14:val="tx1"/>
                  </w14:solidFill>
                </w14:textFill>
              </w:rPr>
              <w:t>7</w:t>
            </w:r>
            <w:r>
              <w:rPr>
                <w:rFonts w:hint="eastAsia"/>
                <w:color w:val="000000" w:themeColor="text1"/>
                <w:kern w:val="0"/>
                <w:sz w:val="24"/>
                <w:szCs w:val="24"/>
                <w14:textFill>
                  <w14:solidFill>
                    <w14:schemeClr w14:val="tx1"/>
                  </w14:solidFill>
                </w14:textFill>
              </w:rPr>
              <w:t>日，</w:t>
            </w:r>
            <w:r>
              <w:rPr>
                <w:rFonts w:hint="eastAsia"/>
                <w:color w:val="000000" w:themeColor="text1"/>
                <w:sz w:val="24"/>
                <w:szCs w:val="24"/>
                <w14:textFill>
                  <w14:solidFill>
                    <w14:schemeClr w14:val="tx1"/>
                  </w14:solidFill>
                </w14:textFill>
              </w:rPr>
              <w:t>统一社会信用代码为91320413</w:t>
            </w:r>
            <w:r>
              <w:rPr>
                <w:rFonts w:hint="eastAsia"/>
                <w:color w:val="000000" w:themeColor="text1"/>
                <w:sz w:val="24"/>
                <w:szCs w:val="24"/>
                <w:lang w:val="en-US" w:eastAsia="zh-CN"/>
                <w14:textFill>
                  <w14:solidFill>
                    <w14:schemeClr w14:val="tx1"/>
                  </w14:solidFill>
                </w14:textFill>
              </w:rPr>
              <w:t>MA22FR4620</w:t>
            </w:r>
            <w:r>
              <w:rPr>
                <w:rFonts w:hint="eastAsia"/>
                <w:color w:val="000000" w:themeColor="text1"/>
                <w:sz w:val="24"/>
                <w:szCs w:val="24"/>
                <w14:textFill>
                  <w14:solidFill>
                    <w14:schemeClr w14:val="tx1"/>
                  </w14:solidFill>
                </w14:textFill>
              </w:rPr>
              <w:t>，公司注册地址为常州市金坛区华城路1668号3号楼，主要经营范围为：许可项目</w:t>
            </w:r>
            <w:r>
              <w:rPr>
                <w:rFonts w:hint="eastAsia"/>
                <w:color w:val="000000" w:themeColor="text1"/>
                <w:sz w:val="24"/>
                <w:szCs w:val="24"/>
                <w:lang w:eastAsia="zh-CN"/>
                <w14:textFill>
                  <w14:solidFill>
                    <w14:schemeClr w14:val="tx1"/>
                  </w14:solidFill>
                </w14:textFill>
              </w:rPr>
              <w:t>：</w:t>
            </w:r>
            <w:r>
              <w:rPr>
                <w:rFonts w:hint="eastAsia"/>
                <w:color w:val="000000" w:themeColor="text1"/>
                <w:sz w:val="24"/>
                <w:szCs w:val="24"/>
                <w14:textFill>
                  <w14:solidFill>
                    <w14:schemeClr w14:val="tx1"/>
                  </w14:solidFill>
                </w14:textFill>
              </w:rPr>
              <w:t>第三类医疗器械生产:第三类医疗器械经营:第二类医疗器械生产，货物进出口</w:t>
            </w:r>
            <w:r>
              <w:rPr>
                <w:rFonts w:hint="eastAsia"/>
                <w:color w:val="000000" w:themeColor="text1"/>
                <w:sz w:val="24"/>
                <w:szCs w:val="24"/>
                <w:lang w:eastAsia="zh-CN"/>
                <w14:textFill>
                  <w14:solidFill>
                    <w14:schemeClr w14:val="tx1"/>
                  </w14:solidFill>
                </w14:textFill>
              </w:rPr>
              <w:t>；</w:t>
            </w:r>
            <w:r>
              <w:rPr>
                <w:rFonts w:hint="eastAsia"/>
                <w:color w:val="000000" w:themeColor="text1"/>
                <w:sz w:val="24"/>
                <w:szCs w:val="24"/>
                <w14:textFill>
                  <w14:solidFill>
                    <w14:schemeClr w14:val="tx1"/>
                  </w14:solidFill>
                </w14:textFill>
              </w:rPr>
              <w:t>技术进出口(依法须经批准的项目，经相关部门批准后方可开展经营活动，具体经营项目以审批结果为准)</w:t>
            </w:r>
            <w:r>
              <w:rPr>
                <w:rFonts w:hint="eastAsia"/>
                <w:color w:val="000000" w:themeColor="text1"/>
                <w:sz w:val="24"/>
                <w:szCs w:val="24"/>
                <w:lang w:eastAsia="zh-CN"/>
                <w14:textFill>
                  <w14:solidFill>
                    <w14:schemeClr w14:val="tx1"/>
                  </w14:solidFill>
                </w14:textFill>
              </w:rPr>
              <w:t>；一般</w:t>
            </w:r>
            <w:r>
              <w:rPr>
                <w:rFonts w:hint="eastAsia"/>
                <w:color w:val="000000" w:themeColor="text1"/>
                <w:sz w:val="24"/>
                <w:szCs w:val="24"/>
                <w14:textFill>
                  <w14:solidFill>
                    <w14:schemeClr w14:val="tx1"/>
                  </w14:solidFill>
                </w14:textFill>
              </w:rPr>
              <w:t>项目</w:t>
            </w:r>
            <w:r>
              <w:rPr>
                <w:rFonts w:hint="eastAsia"/>
                <w:color w:val="000000" w:themeColor="text1"/>
                <w:sz w:val="24"/>
                <w:szCs w:val="24"/>
                <w:lang w:eastAsia="zh-CN"/>
                <w14:textFill>
                  <w14:solidFill>
                    <w14:schemeClr w14:val="tx1"/>
                  </w14:solidFill>
                </w14:textFill>
              </w:rPr>
              <w:t>：</w:t>
            </w:r>
            <w:r>
              <w:rPr>
                <w:rFonts w:hint="eastAsia"/>
                <w:color w:val="000000" w:themeColor="text1"/>
                <w:sz w:val="24"/>
                <w:szCs w:val="24"/>
                <w14:textFill>
                  <w14:solidFill>
                    <w14:schemeClr w14:val="tx1"/>
                  </w14:solidFill>
                </w14:textFill>
              </w:rPr>
              <w:t>技术服务、技术开发，技术咨询、技术交流，技术转让，技术推广第一类医疗器械生产第一类医疗器械销售</w:t>
            </w:r>
            <w:r>
              <w:rPr>
                <w:rFonts w:hint="eastAsia"/>
                <w:color w:val="000000" w:themeColor="text1"/>
                <w:sz w:val="24"/>
                <w:szCs w:val="24"/>
                <w:lang w:eastAsia="zh-CN"/>
                <w14:textFill>
                  <w14:solidFill>
                    <w14:schemeClr w14:val="tx1"/>
                  </w14:solidFill>
                </w14:textFill>
              </w:rPr>
              <w:t>；</w:t>
            </w:r>
            <w:r>
              <w:rPr>
                <w:rFonts w:hint="eastAsia"/>
                <w:color w:val="000000" w:themeColor="text1"/>
                <w:sz w:val="24"/>
                <w:szCs w:val="24"/>
                <w14:textFill>
                  <w14:solidFill>
                    <w14:schemeClr w14:val="tx1"/>
                  </w14:solidFill>
                </w14:textFill>
              </w:rPr>
              <w:t xml:space="preserve">信息咨询服务(不含许可类信息咨询服务) </w:t>
            </w:r>
            <w:r>
              <w:rPr>
                <w:rFonts w:hint="eastAsia"/>
                <w:color w:val="000000" w:themeColor="text1"/>
                <w:sz w:val="24"/>
                <w:szCs w:val="24"/>
                <w:lang w:eastAsia="zh-CN"/>
                <w14:textFill>
                  <w14:solidFill>
                    <w14:schemeClr w14:val="tx1"/>
                  </w14:solidFill>
                </w14:textFill>
              </w:rPr>
              <w:t>；</w:t>
            </w:r>
            <w:r>
              <w:rPr>
                <w:rFonts w:hint="eastAsia"/>
                <w:color w:val="000000" w:themeColor="text1"/>
                <w:sz w:val="24"/>
                <w:szCs w:val="24"/>
                <w14:textFill>
                  <w14:solidFill>
                    <w14:schemeClr w14:val="tx1"/>
                  </w14:solidFill>
                </w14:textFill>
              </w:rPr>
              <w:t>金属材料制造</w:t>
            </w:r>
            <w:r>
              <w:rPr>
                <w:rFonts w:hint="eastAsia"/>
                <w:color w:val="000000" w:themeColor="text1"/>
                <w:sz w:val="24"/>
                <w:szCs w:val="24"/>
                <w:lang w:eastAsia="zh-CN"/>
                <w14:textFill>
                  <w14:solidFill>
                    <w14:schemeClr w14:val="tx1"/>
                  </w14:solidFill>
                </w14:textFill>
              </w:rPr>
              <w:t>；</w:t>
            </w:r>
            <w:r>
              <w:rPr>
                <w:rFonts w:hint="eastAsia"/>
                <w:color w:val="000000" w:themeColor="text1"/>
                <w:sz w:val="24"/>
                <w:szCs w:val="24"/>
                <w14:textFill>
                  <w14:solidFill>
                    <w14:schemeClr w14:val="tx1"/>
                  </w14:solidFill>
                </w14:textFill>
              </w:rPr>
              <w:t>金属材料销售</w:t>
            </w:r>
            <w:r>
              <w:rPr>
                <w:rFonts w:hint="eastAsia"/>
                <w:color w:val="000000" w:themeColor="text1"/>
                <w:sz w:val="24"/>
                <w:szCs w:val="24"/>
                <w:lang w:eastAsia="zh-CN"/>
                <w14:textFill>
                  <w14:solidFill>
                    <w14:schemeClr w14:val="tx1"/>
                  </w14:solidFill>
                </w14:textFill>
              </w:rPr>
              <w:t>；</w:t>
            </w:r>
            <w:r>
              <w:rPr>
                <w:rFonts w:hint="eastAsia"/>
                <w:color w:val="000000" w:themeColor="text1"/>
                <w:sz w:val="24"/>
                <w:szCs w:val="24"/>
                <w14:textFill>
                  <w14:solidFill>
                    <w14:schemeClr w14:val="tx1"/>
                  </w14:solidFill>
                </w14:textFill>
              </w:rPr>
              <w:t>电子产品销售</w:t>
            </w:r>
            <w:r>
              <w:rPr>
                <w:rFonts w:hint="eastAsia"/>
                <w:color w:val="000000" w:themeColor="text1"/>
                <w:sz w:val="24"/>
                <w:szCs w:val="24"/>
                <w:lang w:eastAsia="zh-CN"/>
                <w14:textFill>
                  <w14:solidFill>
                    <w14:schemeClr w14:val="tx1"/>
                  </w14:solidFill>
                </w14:textFill>
              </w:rPr>
              <w:t>；</w:t>
            </w:r>
            <w:r>
              <w:rPr>
                <w:rFonts w:hint="eastAsia"/>
                <w:color w:val="000000" w:themeColor="text1"/>
                <w:sz w:val="24"/>
                <w:szCs w:val="24"/>
                <w14:textFill>
                  <w14:solidFill>
                    <w14:schemeClr w14:val="tx1"/>
                  </w14:solidFill>
                </w14:textFill>
              </w:rPr>
              <w:t>机械设备研发机械设备销售(除依法须经批准的项目外，化营业执照依法自主开展经营活动)。</w:t>
            </w:r>
          </w:p>
          <w:p>
            <w:pPr>
              <w:spacing w:line="360" w:lineRule="auto"/>
              <w:ind w:firstLine="480" w:firstLineChars="200"/>
              <w:rPr>
                <w:sz w:val="24"/>
                <w:szCs w:val="24"/>
              </w:rPr>
            </w:pPr>
            <w:r>
              <w:rPr>
                <w:color w:val="000000" w:themeColor="text1"/>
                <w:sz w:val="24"/>
                <w:szCs w:val="24"/>
                <w14:textFill>
                  <w14:solidFill>
                    <w14:schemeClr w14:val="tx1"/>
                  </w14:solidFill>
                </w14:textFill>
              </w:rPr>
              <w:t>为了满足市场需求</w:t>
            </w:r>
            <w:r>
              <w:rPr>
                <w:rFonts w:hint="eastAsia"/>
                <w:color w:val="000000" w:themeColor="text1"/>
                <w:sz w:val="24"/>
                <w:szCs w:val="24"/>
                <w14:textFill>
                  <w14:solidFill>
                    <w14:schemeClr w14:val="tx1"/>
                  </w14:solidFill>
                </w14:textFill>
              </w:rPr>
              <w:t>，</w:t>
            </w:r>
            <w:r>
              <w:rPr>
                <w:rFonts w:hint="eastAsia"/>
                <w:color w:val="000000" w:themeColor="text1"/>
                <w:kern w:val="0"/>
                <w:sz w:val="24"/>
                <w:szCs w:val="24"/>
                <w:lang w:eastAsia="zh-CN"/>
                <w14:textFill>
                  <w14:solidFill>
                    <w14:schemeClr w14:val="tx1"/>
                  </w14:solidFill>
                </w14:textFill>
              </w:rPr>
              <w:t>江苏华益壹品医疗科技有限公司</w:t>
            </w:r>
            <w:r>
              <w:rPr>
                <w:rFonts w:hint="eastAsia"/>
                <w:color w:val="000000" w:themeColor="text1"/>
                <w:kern w:val="0"/>
                <w:sz w:val="24"/>
                <w:szCs w:val="24"/>
                <w14:textFill>
                  <w14:solidFill>
                    <w14:schemeClr w14:val="tx1"/>
                  </w14:solidFill>
                </w14:textFill>
              </w:rPr>
              <w:t>计划投资</w:t>
            </w:r>
            <w:r>
              <w:rPr>
                <w:rFonts w:hint="eastAsia"/>
                <w:color w:val="000000" w:themeColor="text1"/>
                <w:kern w:val="0"/>
                <w:sz w:val="24"/>
                <w:szCs w:val="24"/>
                <w:lang w:val="en-US" w:eastAsia="zh-CN"/>
                <w14:textFill>
                  <w14:solidFill>
                    <w14:schemeClr w14:val="tx1"/>
                  </w14:solidFill>
                </w14:textFill>
              </w:rPr>
              <w:t>3000</w:t>
            </w:r>
            <w:r>
              <w:rPr>
                <w:rFonts w:hint="eastAsia"/>
                <w:color w:val="000000" w:themeColor="text1"/>
                <w:kern w:val="0"/>
                <w:sz w:val="24"/>
                <w:szCs w:val="24"/>
                <w14:textFill>
                  <w14:solidFill>
                    <w14:schemeClr w14:val="tx1"/>
                  </w14:solidFill>
                </w14:textFill>
              </w:rPr>
              <w:t>万，</w:t>
            </w:r>
            <w:r>
              <w:rPr>
                <w:rFonts w:hint="eastAsia"/>
                <w:color w:val="000000" w:themeColor="text1"/>
                <w:sz w:val="24"/>
                <w:szCs w:val="24"/>
                <w14:textFill>
                  <w14:solidFill>
                    <w14:schemeClr w14:val="tx1"/>
                  </w14:solidFill>
                </w14:textFill>
              </w:rPr>
              <w:t>购置</w:t>
            </w:r>
            <w:r>
              <w:rPr>
                <w:rFonts w:hint="eastAsia"/>
                <w:color w:val="000000" w:themeColor="text1"/>
                <w:sz w:val="24"/>
                <w:szCs w:val="24"/>
                <w:lang w:eastAsia="zh-CN"/>
                <w14:textFill>
                  <w14:solidFill>
                    <w14:schemeClr w14:val="tx1"/>
                  </w14:solidFill>
                </w14:textFill>
              </w:rPr>
              <w:t>不锈钢锉磨床、镍钛锉车床、注塑机</w:t>
            </w:r>
            <w:r>
              <w:rPr>
                <w:rFonts w:hint="eastAsia"/>
                <w:color w:val="000000" w:themeColor="text1"/>
                <w:sz w:val="24"/>
                <w:szCs w:val="24"/>
                <w14:textFill>
                  <w14:solidFill>
                    <w14:schemeClr w14:val="tx1"/>
                  </w14:solidFill>
                </w14:textFill>
              </w:rPr>
              <w:t>等生产设备，</w:t>
            </w:r>
            <w:r>
              <w:rPr>
                <w:rFonts w:hint="eastAsia"/>
                <w:color w:val="000000" w:themeColor="text1"/>
                <w:kern w:val="0"/>
                <w:sz w:val="24"/>
                <w:szCs w:val="24"/>
                <w14:textFill>
                  <w14:solidFill>
                    <w14:schemeClr w14:val="tx1"/>
                  </w14:solidFill>
                </w14:textFill>
              </w:rPr>
              <w:t>租</w:t>
            </w:r>
            <w:r>
              <w:rPr>
                <w:color w:val="000000" w:themeColor="text1"/>
                <w:sz w:val="24"/>
                <w:szCs w:val="24"/>
                <w14:textFill>
                  <w14:solidFill>
                    <w14:schemeClr w14:val="tx1"/>
                  </w14:solidFill>
                </w14:textFill>
              </w:rPr>
              <w:t>赁江苏</w:t>
            </w:r>
            <w:r>
              <w:rPr>
                <w:rFonts w:hint="eastAsia"/>
                <w:color w:val="000000" w:themeColor="text1"/>
                <w:sz w:val="24"/>
                <w:szCs w:val="24"/>
                <w:lang w:eastAsia="zh-CN"/>
                <w14:textFill>
                  <w14:solidFill>
                    <w14:schemeClr w14:val="tx1"/>
                  </w14:solidFill>
                </w14:textFill>
              </w:rPr>
              <w:t>智谷科技园</w:t>
            </w:r>
            <w:r>
              <w:rPr>
                <w:rFonts w:hint="eastAsia"/>
                <w:color w:val="000000" w:themeColor="text1"/>
                <w:sz w:val="24"/>
                <w:szCs w:val="24"/>
                <w14:textFill>
                  <w14:solidFill>
                    <w14:schemeClr w14:val="tx1"/>
                  </w14:solidFill>
                </w14:textFill>
              </w:rPr>
              <w:t>的闲置厂房（建筑面积：</w:t>
            </w:r>
            <w:r>
              <w:rPr>
                <w:rFonts w:hint="eastAsia"/>
                <w:color w:val="000000" w:themeColor="text1"/>
                <w:sz w:val="24"/>
                <w:szCs w:val="24"/>
                <w:lang w:val="en-US" w:eastAsia="zh-CN"/>
                <w14:textFill>
                  <w14:solidFill>
                    <w14:schemeClr w14:val="tx1"/>
                  </w14:solidFill>
                </w14:textFill>
              </w:rPr>
              <w:t>4428</w:t>
            </w:r>
            <w:r>
              <w:rPr>
                <w:rFonts w:hint="eastAsia"/>
                <w:color w:val="000000" w:themeColor="text1"/>
                <w:sz w:val="24"/>
                <w:szCs w:val="24"/>
                <w14:textFill>
                  <w14:solidFill>
                    <w14:schemeClr w14:val="tx1"/>
                  </w14:solidFill>
                </w14:textFill>
              </w:rPr>
              <w:t>m</w:t>
            </w:r>
            <w:r>
              <w:rPr>
                <w:rFonts w:hint="eastAsia"/>
                <w:color w:val="000000" w:themeColor="text1"/>
                <w:sz w:val="24"/>
                <w:szCs w:val="24"/>
                <w:vertAlign w:val="superscript"/>
                <w14:textFill>
                  <w14:solidFill>
                    <w14:schemeClr w14:val="tx1"/>
                  </w14:solidFill>
                </w14:textFill>
              </w:rPr>
              <w:t>2</w:t>
            </w:r>
            <w:r>
              <w:rPr>
                <w:rFonts w:hint="eastAsia"/>
                <w:color w:val="000000" w:themeColor="text1"/>
                <w:sz w:val="24"/>
                <w:szCs w:val="24"/>
                <w14:textFill>
                  <w14:solidFill>
                    <w14:schemeClr w14:val="tx1"/>
                  </w14:solidFill>
                </w14:textFill>
              </w:rPr>
              <w:t>）用于“新建根管医疗耗材项目”的生产活动。</w:t>
            </w:r>
            <w:r>
              <w:rPr>
                <w:color w:val="000000" w:themeColor="text1"/>
                <w:sz w:val="24"/>
                <w:szCs w:val="24"/>
                <w14:textFill>
                  <w14:solidFill>
                    <w14:schemeClr w14:val="tx1"/>
                  </w14:solidFill>
                </w14:textFill>
              </w:rPr>
              <w:t>项目</w:t>
            </w:r>
            <w:r>
              <w:rPr>
                <w:rFonts w:hint="eastAsia"/>
                <w:color w:val="000000" w:themeColor="text1"/>
                <w:sz w:val="24"/>
                <w:szCs w:val="24"/>
                <w14:textFill>
                  <w14:solidFill>
                    <w14:schemeClr w14:val="tx1"/>
                  </w14:solidFill>
                </w14:textFill>
              </w:rPr>
              <w:t>建成</w:t>
            </w:r>
            <w:r>
              <w:rPr>
                <w:color w:val="000000" w:themeColor="text1"/>
                <w:sz w:val="24"/>
                <w:szCs w:val="24"/>
                <w14:textFill>
                  <w14:solidFill>
                    <w14:schemeClr w14:val="tx1"/>
                  </w14:solidFill>
                </w14:textFill>
              </w:rPr>
              <w:t>投产后，</w:t>
            </w:r>
            <w:r>
              <w:rPr>
                <w:rFonts w:hint="eastAsia"/>
                <w:color w:val="000000" w:themeColor="text1"/>
                <w:sz w:val="24"/>
                <w:szCs w:val="24"/>
                <w:lang w:eastAsia="zh-CN"/>
                <w14:textFill>
                  <w14:solidFill>
                    <w14:schemeClr w14:val="tx1"/>
                  </w14:solidFill>
                </w14:textFill>
              </w:rPr>
              <w:t>可形成年产镍钛根管锉</w:t>
            </w:r>
            <w:r>
              <w:rPr>
                <w:rFonts w:hint="eastAsia"/>
                <w:color w:val="000000" w:themeColor="text1"/>
                <w:sz w:val="24"/>
                <w:szCs w:val="24"/>
                <w:lang w:val="en-US" w:eastAsia="zh-CN"/>
                <w14:textFill>
                  <w14:solidFill>
                    <w14:schemeClr w14:val="tx1"/>
                  </w14:solidFill>
                </w14:textFill>
              </w:rPr>
              <w:t>100万根、不锈钢根管锉100万根和根管锉塑料手柄200万个的生产能力</w:t>
            </w:r>
            <w:r>
              <w:rPr>
                <w:color w:val="000000" w:themeColor="text1"/>
                <w:sz w:val="24"/>
                <w:szCs w:val="24"/>
                <w14:textFill>
                  <w14:solidFill>
                    <w14:schemeClr w14:val="tx1"/>
                  </w14:solidFill>
                </w14:textFill>
              </w:rPr>
              <w:t>。</w:t>
            </w:r>
          </w:p>
          <w:p>
            <w:pPr>
              <w:spacing w:line="360" w:lineRule="auto"/>
              <w:ind w:firstLine="480" w:firstLineChars="200"/>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本项目已于20</w:t>
            </w:r>
            <w:r>
              <w:rPr>
                <w:rFonts w:hint="eastAsia"/>
                <w:color w:val="000000" w:themeColor="text1"/>
                <w:sz w:val="24"/>
                <w:szCs w:val="24"/>
                <w14:textFill>
                  <w14:solidFill>
                    <w14:schemeClr w14:val="tx1"/>
                  </w14:solidFill>
                </w14:textFill>
              </w:rPr>
              <w:t>20</w:t>
            </w:r>
            <w:r>
              <w:rPr>
                <w:color w:val="000000" w:themeColor="text1"/>
                <w:sz w:val="24"/>
                <w:szCs w:val="24"/>
                <w14:textFill>
                  <w14:solidFill>
                    <w14:schemeClr w14:val="tx1"/>
                  </w14:solidFill>
                </w14:textFill>
              </w:rPr>
              <w:t>年</w:t>
            </w:r>
            <w:r>
              <w:rPr>
                <w:rFonts w:hint="eastAsia"/>
                <w:color w:val="000000" w:themeColor="text1"/>
                <w:sz w:val="24"/>
                <w:szCs w:val="24"/>
                <w:lang w:val="en-US" w:eastAsia="zh-CN"/>
                <w14:textFill>
                  <w14:solidFill>
                    <w14:schemeClr w14:val="tx1"/>
                  </w14:solidFill>
                </w14:textFill>
              </w:rPr>
              <w:t>10</w:t>
            </w:r>
            <w:r>
              <w:rPr>
                <w:rFonts w:hint="eastAsia"/>
                <w:color w:val="000000" w:themeColor="text1"/>
                <w:sz w:val="24"/>
                <w:szCs w:val="24"/>
                <w14:textFill>
                  <w14:solidFill>
                    <w14:schemeClr w14:val="tx1"/>
                  </w14:solidFill>
                </w14:textFill>
              </w:rPr>
              <w:t>月</w:t>
            </w:r>
            <w:r>
              <w:rPr>
                <w:rFonts w:hint="eastAsia"/>
                <w:color w:val="000000" w:themeColor="text1"/>
                <w:sz w:val="24"/>
                <w:szCs w:val="24"/>
                <w:lang w:val="en-US" w:eastAsia="zh-CN"/>
                <w14:textFill>
                  <w14:solidFill>
                    <w14:schemeClr w14:val="tx1"/>
                  </w14:solidFill>
                </w14:textFill>
              </w:rPr>
              <w:t>28</w:t>
            </w:r>
            <w:r>
              <w:rPr>
                <w:color w:val="000000" w:themeColor="text1"/>
                <w:sz w:val="24"/>
                <w:szCs w:val="24"/>
                <w14:textFill>
                  <w14:solidFill>
                    <w14:schemeClr w14:val="tx1"/>
                  </w14:solidFill>
                </w14:textFill>
              </w:rPr>
              <w:t>日取得</w:t>
            </w:r>
            <w:r>
              <w:rPr>
                <w:rFonts w:hint="eastAsia"/>
                <w:color w:val="000000" w:themeColor="text1"/>
                <w:sz w:val="24"/>
                <w:lang w:eastAsia="zh-CN"/>
                <w14:textFill>
                  <w14:solidFill>
                    <w14:schemeClr w14:val="tx1"/>
                  </w14:solidFill>
                </w14:textFill>
              </w:rPr>
              <w:t>江苏省金坛经济开发区科技经贸局</w:t>
            </w:r>
            <w:r>
              <w:rPr>
                <w:color w:val="000000" w:themeColor="text1"/>
                <w:sz w:val="24"/>
                <w:szCs w:val="24"/>
                <w14:textFill>
                  <w14:solidFill>
                    <w14:schemeClr w14:val="tx1"/>
                  </w14:solidFill>
                </w14:textFill>
              </w:rPr>
              <w:t>《</w:t>
            </w:r>
            <w:r>
              <w:rPr>
                <w:rFonts w:hint="eastAsia"/>
                <w:color w:val="000000" w:themeColor="text1"/>
                <w:sz w:val="24"/>
                <w:szCs w:val="24"/>
                <w:lang w:eastAsia="zh-CN"/>
                <w14:textFill>
                  <w14:solidFill>
                    <w14:schemeClr w14:val="tx1"/>
                  </w14:solidFill>
                </w14:textFill>
              </w:rPr>
              <w:t>新建根管医疗耗材项目</w:t>
            </w:r>
            <w:r>
              <w:rPr>
                <w:color w:val="000000" w:themeColor="text1"/>
                <w:sz w:val="24"/>
                <w:szCs w:val="24"/>
                <w14:textFill>
                  <w14:solidFill>
                    <w14:schemeClr w14:val="tx1"/>
                  </w14:solidFill>
                </w14:textFill>
              </w:rPr>
              <w:t>》(</w:t>
            </w:r>
            <w:r>
              <w:rPr>
                <w:rFonts w:hint="eastAsia"/>
                <w:color w:val="000000" w:themeColor="text1"/>
                <w:sz w:val="24"/>
                <w14:textFill>
                  <w14:solidFill>
                    <w14:schemeClr w14:val="tx1"/>
                  </w14:solidFill>
                </w14:textFill>
              </w:rPr>
              <w:t>坛发改备</w:t>
            </w:r>
            <w:r>
              <w:rPr>
                <w:color w:val="000000" w:themeColor="text1"/>
                <w:sz w:val="24"/>
                <w14:textFill>
                  <w14:solidFill>
                    <w14:schemeClr w14:val="tx1"/>
                  </w14:solidFill>
                </w14:textFill>
              </w:rPr>
              <w:t>[20</w:t>
            </w:r>
            <w:r>
              <w:rPr>
                <w:rFonts w:hint="eastAsia"/>
                <w:color w:val="000000" w:themeColor="text1"/>
                <w:sz w:val="24"/>
                <w14:textFill>
                  <w14:solidFill>
                    <w14:schemeClr w14:val="tx1"/>
                  </w14:solidFill>
                </w14:textFill>
              </w:rPr>
              <w:t>20</w:t>
            </w:r>
            <w:r>
              <w:rPr>
                <w:color w:val="000000" w:themeColor="text1"/>
                <w:sz w:val="24"/>
                <w14:textFill>
                  <w14:solidFill>
                    <w14:schemeClr w14:val="tx1"/>
                  </w14:solidFill>
                </w14:textFill>
              </w:rPr>
              <w:t>]</w:t>
            </w:r>
            <w:r>
              <w:rPr>
                <w:rFonts w:hint="eastAsia"/>
                <w:color w:val="000000" w:themeColor="text1"/>
                <w:sz w:val="24"/>
                <w:lang w:val="en-US" w:eastAsia="zh-CN"/>
                <w14:textFill>
                  <w14:solidFill>
                    <w14:schemeClr w14:val="tx1"/>
                  </w14:solidFill>
                </w14:textFill>
              </w:rPr>
              <w:t>241</w:t>
            </w:r>
            <w:r>
              <w:rPr>
                <w:color w:val="000000" w:themeColor="text1"/>
                <w:sz w:val="24"/>
                <w14:textFill>
                  <w14:solidFill>
                    <w14:schemeClr w14:val="tx1"/>
                  </w14:solidFill>
                </w14:textFill>
              </w:rPr>
              <w:t>号</w:t>
            </w:r>
            <w:r>
              <w:rPr>
                <w:color w:val="000000" w:themeColor="text1"/>
                <w:sz w:val="24"/>
                <w:szCs w:val="24"/>
                <w14:textFill>
                  <w14:solidFill>
                    <w14:schemeClr w14:val="tx1"/>
                  </w14:solidFill>
                </w14:textFill>
              </w:rPr>
              <w:t>)，项目编号为</w:t>
            </w:r>
            <w:r>
              <w:rPr>
                <w:rFonts w:hint="eastAsia"/>
                <w:color w:val="000000" w:themeColor="text1"/>
                <w:sz w:val="24"/>
                <w:szCs w:val="24"/>
                <w14:textFill>
                  <w14:solidFill>
                    <w14:schemeClr w14:val="tx1"/>
                  </w14:solidFill>
                </w14:textFill>
              </w:rPr>
              <w:t>2020-3204</w:t>
            </w:r>
            <w:r>
              <w:rPr>
                <w:rFonts w:hint="eastAsia"/>
                <w:color w:val="000000" w:themeColor="text1"/>
                <w:sz w:val="24"/>
                <w:szCs w:val="24"/>
                <w:lang w:val="en-US" w:eastAsia="zh-CN"/>
                <w14:textFill>
                  <w14:solidFill>
                    <w14:schemeClr w14:val="tx1"/>
                  </w14:solidFill>
                </w14:textFill>
              </w:rPr>
              <w:t>58</w:t>
            </w:r>
            <w:r>
              <w:rPr>
                <w:rFonts w:hint="eastAsia"/>
                <w:color w:val="000000" w:themeColor="text1"/>
                <w:sz w:val="24"/>
                <w:szCs w:val="24"/>
                <w14:textFill>
                  <w14:solidFill>
                    <w14:schemeClr w14:val="tx1"/>
                  </w14:solidFill>
                </w14:textFill>
              </w:rPr>
              <w:t>-2</w:t>
            </w:r>
            <w:r>
              <w:rPr>
                <w:rFonts w:hint="eastAsia"/>
                <w:color w:val="000000" w:themeColor="text1"/>
                <w:sz w:val="24"/>
                <w:szCs w:val="24"/>
                <w:lang w:val="en-US" w:eastAsia="zh-CN"/>
                <w14:textFill>
                  <w14:solidFill>
                    <w14:schemeClr w14:val="tx1"/>
                  </w14:solidFill>
                </w14:textFill>
              </w:rPr>
              <w:t>7</w:t>
            </w:r>
            <w:r>
              <w:rPr>
                <w:rFonts w:hint="eastAsia"/>
                <w:color w:val="000000" w:themeColor="text1"/>
                <w:sz w:val="24"/>
                <w:szCs w:val="24"/>
                <w14:textFill>
                  <w14:solidFill>
                    <w14:schemeClr w14:val="tx1"/>
                  </w14:solidFill>
                </w14:textFill>
              </w:rPr>
              <w:t>-03-5</w:t>
            </w:r>
            <w:r>
              <w:rPr>
                <w:rFonts w:hint="eastAsia"/>
                <w:color w:val="000000" w:themeColor="text1"/>
                <w:sz w:val="24"/>
                <w:szCs w:val="24"/>
                <w:lang w:val="en-US" w:eastAsia="zh-CN"/>
                <w14:textFill>
                  <w14:solidFill>
                    <w14:schemeClr w14:val="tx1"/>
                  </w14:solidFill>
                </w14:textFill>
              </w:rPr>
              <w:t>68204</w:t>
            </w:r>
            <w:r>
              <w:rPr>
                <w:color w:val="000000" w:themeColor="text1"/>
                <w:sz w:val="24"/>
                <w:szCs w:val="24"/>
                <w14:textFill>
                  <w14:solidFill>
                    <w14:schemeClr w14:val="tx1"/>
                  </w14:solidFill>
                </w14:textFill>
              </w:rPr>
              <w:t>。</w:t>
            </w:r>
          </w:p>
          <w:p>
            <w:pPr>
              <w:spacing w:line="360" w:lineRule="auto"/>
              <w:ind w:firstLine="480" w:firstLineChars="200"/>
              <w:rPr>
                <w:b/>
                <w:bCs/>
                <w:sz w:val="24"/>
              </w:rPr>
            </w:pPr>
            <w:r>
              <w:rPr>
                <w:b/>
                <w:bCs/>
                <w:sz w:val="24"/>
              </w:rPr>
              <w:t>2、产业政策</w:t>
            </w:r>
            <w:r>
              <w:rPr>
                <w:rFonts w:hint="eastAsia"/>
                <w:b/>
                <w:bCs/>
                <w:sz w:val="24"/>
              </w:rPr>
              <w:t>和相关文件相符性分析</w:t>
            </w:r>
          </w:p>
          <w:p>
            <w:pPr>
              <w:spacing w:line="360" w:lineRule="auto"/>
              <w:ind w:firstLine="480" w:firstLineChars="200"/>
              <w:rPr>
                <w:sz w:val="24"/>
              </w:rPr>
            </w:pPr>
            <w:r>
              <w:rPr>
                <w:snapToGrid w:val="0"/>
                <w:sz w:val="24"/>
              </w:rPr>
              <w:t>根据《产业结构调整指导目录（201</w:t>
            </w:r>
            <w:r>
              <w:rPr>
                <w:rFonts w:hint="eastAsia"/>
                <w:snapToGrid w:val="0"/>
                <w:sz w:val="24"/>
              </w:rPr>
              <w:t>9</w:t>
            </w:r>
            <w:r>
              <w:rPr>
                <w:snapToGrid w:val="0"/>
                <w:sz w:val="24"/>
              </w:rPr>
              <w:t>年本）》，本项目不属于</w:t>
            </w:r>
            <w:r>
              <w:rPr>
                <w:sz w:val="24"/>
              </w:rPr>
              <w:t>其限制类或淘汰类项目，属于允许建设项目，因此，本项目的建设符合国家产业政策要求。</w:t>
            </w:r>
          </w:p>
          <w:p>
            <w:pPr>
              <w:spacing w:line="360" w:lineRule="auto"/>
              <w:ind w:firstLine="480" w:firstLineChars="200"/>
              <w:rPr>
                <w:b/>
                <w:sz w:val="24"/>
                <w:szCs w:val="24"/>
              </w:rPr>
            </w:pPr>
            <w:r>
              <w:rPr>
                <w:sz w:val="24"/>
                <w:szCs w:val="24"/>
              </w:rPr>
              <w:t>本项目位于金坛开发区内，选址符合土地利用规划，满足</w:t>
            </w:r>
            <w:r>
              <w:rPr>
                <w:bCs/>
                <w:sz w:val="24"/>
                <w:szCs w:val="24"/>
              </w:rPr>
              <w:t>《江苏省生态红线区域保护规划》</w:t>
            </w:r>
            <w:r>
              <w:rPr>
                <w:rFonts w:hint="eastAsia"/>
                <w:bCs/>
                <w:sz w:val="24"/>
                <w:szCs w:val="24"/>
              </w:rPr>
              <w:t>、</w:t>
            </w:r>
            <w:r>
              <w:rPr>
                <w:rFonts w:hint="eastAsia"/>
                <w:sz w:val="24"/>
                <w:szCs w:val="24"/>
              </w:rPr>
              <w:t>《江苏省“三线一单”生态环境分区管控方案》（苏政发〔2020〕49号）</w:t>
            </w:r>
            <w:r>
              <w:rPr>
                <w:bCs/>
                <w:sz w:val="24"/>
                <w:szCs w:val="24"/>
              </w:rPr>
              <w:t>要求，</w:t>
            </w:r>
            <w:r>
              <w:rPr>
                <w:sz w:val="24"/>
                <w:szCs w:val="24"/>
              </w:rPr>
              <w:t>符合开发区产业定位，且项目的建设符合《江苏省“两减六治三提升”环保专项行动方案》，《“十三五”挥发性有机物污染防治工作方案》，《江苏省重点行业挥发性有机物污染控制指南》，《国务院关于印发打赢蓝天保卫战三年行动计划的通知》（国发〔2018〕22号），太湖流域管理条例等文件要求。</w:t>
            </w:r>
          </w:p>
          <w:p>
            <w:pPr>
              <w:spacing w:line="360" w:lineRule="auto"/>
              <w:ind w:firstLine="480" w:firstLineChars="200"/>
              <w:rPr>
                <w:b/>
                <w:bCs/>
                <w:sz w:val="24"/>
              </w:rPr>
            </w:pPr>
            <w:r>
              <w:rPr>
                <w:b/>
                <w:bCs/>
                <w:sz w:val="24"/>
              </w:rPr>
              <w:t>3、环境质量现状</w:t>
            </w:r>
          </w:p>
          <w:p>
            <w:pPr>
              <w:spacing w:line="360" w:lineRule="auto"/>
              <w:ind w:firstLine="480" w:firstLineChars="200"/>
              <w:rPr>
                <w:bCs/>
                <w:sz w:val="24"/>
              </w:rPr>
            </w:pPr>
            <w:r>
              <w:rPr>
                <w:bCs/>
                <w:sz w:val="24"/>
              </w:rPr>
              <w:t>（1）地表水环境质量现状</w:t>
            </w:r>
          </w:p>
          <w:p>
            <w:pPr>
              <w:spacing w:line="360" w:lineRule="auto"/>
              <w:ind w:firstLine="480" w:firstLineChars="200"/>
              <w:rPr>
                <w:sz w:val="24"/>
                <w:szCs w:val="24"/>
              </w:rPr>
            </w:pPr>
            <w:r>
              <w:rPr>
                <w:sz w:val="24"/>
                <w:szCs w:val="24"/>
              </w:rPr>
              <w:t>尧塘河水质满足《地表水环境质量标准》（GB3838-2002）中</w:t>
            </w:r>
            <w:r>
              <w:rPr>
                <w:rFonts w:hint="eastAsia" w:ascii="宋体" w:hAnsi="宋体" w:cs="宋体"/>
                <w:sz w:val="24"/>
                <w:szCs w:val="24"/>
              </w:rPr>
              <w:t>Ⅳ</w:t>
            </w:r>
            <w:r>
              <w:rPr>
                <w:sz w:val="24"/>
                <w:szCs w:val="24"/>
              </w:rPr>
              <w:t>类标准，水质良好。</w:t>
            </w:r>
          </w:p>
          <w:p>
            <w:pPr>
              <w:spacing w:line="360" w:lineRule="auto"/>
              <w:ind w:firstLine="480" w:firstLineChars="200"/>
              <w:rPr>
                <w:bCs/>
                <w:sz w:val="24"/>
              </w:rPr>
            </w:pPr>
            <w:r>
              <w:rPr>
                <w:bCs/>
                <w:sz w:val="24"/>
              </w:rPr>
              <w:t>（2）环境空气质量现状</w:t>
            </w:r>
          </w:p>
          <w:p>
            <w:pPr>
              <w:spacing w:line="360" w:lineRule="auto"/>
              <w:ind w:firstLine="480" w:firstLineChars="200"/>
              <w:jc w:val="left"/>
              <w:rPr>
                <w:sz w:val="24"/>
                <w:szCs w:val="24"/>
              </w:rPr>
            </w:pPr>
            <w:r>
              <w:rPr>
                <w:rFonts w:hint="eastAsia"/>
                <w:sz w:val="24"/>
                <w:szCs w:val="24"/>
              </w:rPr>
              <w:t>2</w:t>
            </w:r>
            <w:r>
              <w:rPr>
                <w:sz w:val="24"/>
                <w:szCs w:val="24"/>
              </w:rPr>
              <w:t>019年常州市环境空气中SO</w:t>
            </w:r>
            <w:r>
              <w:rPr>
                <w:sz w:val="24"/>
                <w:szCs w:val="24"/>
                <w:vertAlign w:val="subscript"/>
              </w:rPr>
              <w:t>2</w:t>
            </w:r>
            <w:r>
              <w:rPr>
                <w:sz w:val="24"/>
                <w:szCs w:val="24"/>
              </w:rPr>
              <w:t>年平均值、NO</w:t>
            </w:r>
            <w:r>
              <w:rPr>
                <w:sz w:val="24"/>
                <w:szCs w:val="24"/>
                <w:vertAlign w:val="subscript"/>
              </w:rPr>
              <w:t>2</w:t>
            </w:r>
            <w:r>
              <w:rPr>
                <w:sz w:val="24"/>
                <w:szCs w:val="24"/>
              </w:rPr>
              <w:t>年平均值、PM</w:t>
            </w:r>
            <w:r>
              <w:rPr>
                <w:sz w:val="24"/>
                <w:szCs w:val="24"/>
                <w:vertAlign w:val="subscript"/>
              </w:rPr>
              <w:t>10</w:t>
            </w:r>
            <w:r>
              <w:rPr>
                <w:sz w:val="24"/>
                <w:szCs w:val="24"/>
              </w:rPr>
              <w:t>年平均值和 CO</w:t>
            </w:r>
            <w:r>
              <w:rPr>
                <w:rFonts w:hint="eastAsia"/>
                <w:sz w:val="24"/>
                <w:szCs w:val="24"/>
              </w:rPr>
              <w:t>的</w:t>
            </w:r>
            <w:r>
              <w:rPr>
                <w:sz w:val="24"/>
                <w:szCs w:val="24"/>
              </w:rPr>
              <w:t>24小时滑动平均值的第</w:t>
            </w:r>
            <w:r>
              <w:rPr>
                <w:rFonts w:hint="eastAsia"/>
                <w:sz w:val="24"/>
                <w:szCs w:val="24"/>
              </w:rPr>
              <w:t>95</w:t>
            </w:r>
            <w:r>
              <w:rPr>
                <w:sz w:val="24"/>
                <w:szCs w:val="24"/>
              </w:rPr>
              <w:t>百分位数《环境空气质量标准》（GB3095-2012）中二级标准， PM</w:t>
            </w:r>
            <w:r>
              <w:rPr>
                <w:sz w:val="24"/>
                <w:szCs w:val="24"/>
                <w:vertAlign w:val="subscript"/>
              </w:rPr>
              <w:t>2.5</w:t>
            </w:r>
            <w:r>
              <w:rPr>
                <w:sz w:val="24"/>
                <w:szCs w:val="24"/>
              </w:rPr>
              <w:t>年平均值和O</w:t>
            </w:r>
            <w:r>
              <w:rPr>
                <w:sz w:val="24"/>
                <w:szCs w:val="24"/>
                <w:vertAlign w:val="subscript"/>
              </w:rPr>
              <w:t>3</w:t>
            </w:r>
            <w:r>
              <w:rPr>
                <w:sz w:val="24"/>
                <w:szCs w:val="24"/>
              </w:rPr>
              <w:t>日最大8小时滑动平均值的第90百分位数超过《环境空气质量标准》（GB3095-2012）中二级标准，因此判定为非达标区域。</w:t>
            </w:r>
          </w:p>
          <w:p>
            <w:pPr>
              <w:spacing w:line="360" w:lineRule="auto"/>
              <w:ind w:firstLine="480" w:firstLineChars="200"/>
              <w:rPr>
                <w:bCs/>
                <w:sz w:val="24"/>
              </w:rPr>
            </w:pPr>
            <w:r>
              <w:rPr>
                <w:sz w:val="24"/>
              </w:rPr>
              <w:t>根据</w:t>
            </w:r>
            <w:r>
              <w:rPr>
                <w:rFonts w:hint="eastAsia"/>
                <w:sz w:val="24"/>
              </w:rPr>
              <w:t>《2020年金坛经济开发区打好污染防治攻坚战工作方案》</w:t>
            </w:r>
            <w:r>
              <w:rPr>
                <w:sz w:val="24"/>
              </w:rPr>
              <w:t>，通过</w:t>
            </w:r>
            <w:r>
              <w:rPr>
                <w:sz w:val="24"/>
                <w:szCs w:val="24"/>
              </w:rPr>
              <w:t>加强重点行业治理改造</w:t>
            </w:r>
            <w:r>
              <w:rPr>
                <w:rFonts w:hint="eastAsia"/>
                <w:sz w:val="24"/>
                <w:szCs w:val="24"/>
              </w:rPr>
              <w:t>，</w:t>
            </w:r>
            <w:r>
              <w:rPr>
                <w:sz w:val="24"/>
                <w:szCs w:val="24"/>
              </w:rPr>
              <w:t>严格管控各类扬尘</w:t>
            </w:r>
            <w:r>
              <w:rPr>
                <w:rFonts w:hint="eastAsia"/>
                <w:sz w:val="24"/>
              </w:rPr>
              <w:t>、</w:t>
            </w:r>
            <w:r>
              <w:rPr>
                <w:sz w:val="24"/>
                <w:szCs w:val="24"/>
              </w:rPr>
              <w:t>深化VOCs专项治理</w:t>
            </w:r>
            <w:r>
              <w:rPr>
                <w:rFonts w:hint="eastAsia"/>
                <w:sz w:val="24"/>
                <w:szCs w:val="24"/>
              </w:rPr>
              <w:t>、</w:t>
            </w:r>
            <w:r>
              <w:rPr>
                <w:sz w:val="24"/>
                <w:szCs w:val="24"/>
              </w:rPr>
              <w:t>加强秸秆禁烧和综合利用</w:t>
            </w:r>
            <w:r>
              <w:rPr>
                <w:rFonts w:hint="eastAsia"/>
                <w:sz w:val="24"/>
                <w:szCs w:val="24"/>
              </w:rPr>
              <w:t>、</w:t>
            </w:r>
            <w:r>
              <w:rPr>
                <w:sz w:val="24"/>
                <w:szCs w:val="24"/>
              </w:rPr>
              <w:t>加强面源污染控制</w:t>
            </w:r>
            <w:r>
              <w:rPr>
                <w:rFonts w:hint="eastAsia"/>
                <w:sz w:val="24"/>
                <w:szCs w:val="24"/>
              </w:rPr>
              <w:t>和</w:t>
            </w:r>
            <w:r>
              <w:rPr>
                <w:sz w:val="24"/>
                <w:szCs w:val="24"/>
              </w:rPr>
              <w:t>加强重污染天气防范应对</w:t>
            </w:r>
            <w:r>
              <w:rPr>
                <w:rFonts w:hint="eastAsia"/>
                <w:sz w:val="24"/>
                <w:szCs w:val="24"/>
              </w:rPr>
              <w:t>等</w:t>
            </w:r>
            <w:r>
              <w:rPr>
                <w:sz w:val="24"/>
              </w:rPr>
              <w:t>污染防治</w:t>
            </w:r>
            <w:r>
              <w:rPr>
                <w:rFonts w:hint="eastAsia"/>
                <w:sz w:val="24"/>
              </w:rPr>
              <w:t>措施</w:t>
            </w:r>
            <w:r>
              <w:rPr>
                <w:sz w:val="24"/>
              </w:rPr>
              <w:t>，大气环境质量状况可以得到进一步改善</w:t>
            </w:r>
            <w:r>
              <w:rPr>
                <w:bCs/>
                <w:sz w:val="24"/>
              </w:rPr>
              <w:t>。</w:t>
            </w:r>
          </w:p>
          <w:p>
            <w:pPr>
              <w:spacing w:line="360" w:lineRule="auto"/>
              <w:ind w:firstLine="480" w:firstLineChars="200"/>
              <w:rPr>
                <w:bCs/>
                <w:sz w:val="24"/>
              </w:rPr>
            </w:pPr>
            <w:r>
              <w:rPr>
                <w:bCs/>
                <w:sz w:val="24"/>
              </w:rPr>
              <w:t>（3）</w:t>
            </w:r>
            <w:r>
              <w:rPr>
                <w:rFonts w:hint="eastAsia"/>
                <w:bCs/>
                <w:sz w:val="24"/>
              </w:rPr>
              <w:t>声环境</w:t>
            </w:r>
            <w:r>
              <w:rPr>
                <w:bCs/>
                <w:sz w:val="24"/>
              </w:rPr>
              <w:t>现状</w:t>
            </w:r>
          </w:p>
          <w:p>
            <w:pPr>
              <w:spacing w:line="360" w:lineRule="auto"/>
              <w:ind w:firstLine="480" w:firstLineChars="200"/>
              <w:rPr>
                <w:bCs/>
                <w:sz w:val="24"/>
              </w:rPr>
            </w:pPr>
            <w:r>
              <w:rPr>
                <w:bCs/>
                <w:sz w:val="24"/>
              </w:rPr>
              <w:t>项目所在地各厂界</w:t>
            </w:r>
            <w:r>
              <w:rPr>
                <w:rFonts w:hint="eastAsia"/>
                <w:bCs/>
                <w:sz w:val="24"/>
              </w:rPr>
              <w:t>声环境质量</w:t>
            </w:r>
            <w:r>
              <w:rPr>
                <w:bCs/>
                <w:sz w:val="24"/>
              </w:rPr>
              <w:t>监测</w:t>
            </w:r>
            <w:r>
              <w:rPr>
                <w:rFonts w:hint="eastAsia"/>
                <w:bCs/>
                <w:sz w:val="24"/>
              </w:rPr>
              <w:t>值</w:t>
            </w:r>
            <w:r>
              <w:rPr>
                <w:bCs/>
                <w:sz w:val="24"/>
              </w:rPr>
              <w:t>均满足《声环境质量标准》（GB3096-2008）中</w:t>
            </w:r>
            <w:r>
              <w:rPr>
                <w:rFonts w:hint="eastAsia"/>
                <w:bCs/>
                <w:sz w:val="24"/>
              </w:rPr>
              <w:t>3</w:t>
            </w:r>
            <w:r>
              <w:rPr>
                <w:bCs/>
                <w:sz w:val="24"/>
              </w:rPr>
              <w:t>类声环境功能区环境噪声限值要求</w:t>
            </w:r>
            <w:r>
              <w:rPr>
                <w:rFonts w:hint="eastAsia"/>
                <w:bCs/>
                <w:sz w:val="24"/>
              </w:rPr>
              <w:t>，敏感点声环境质量</w:t>
            </w:r>
            <w:r>
              <w:rPr>
                <w:bCs/>
                <w:sz w:val="24"/>
              </w:rPr>
              <w:t>监测</w:t>
            </w:r>
            <w:r>
              <w:rPr>
                <w:rFonts w:hint="eastAsia"/>
                <w:bCs/>
                <w:sz w:val="24"/>
              </w:rPr>
              <w:t>值</w:t>
            </w:r>
            <w:r>
              <w:rPr>
                <w:bCs/>
                <w:sz w:val="24"/>
              </w:rPr>
              <w:t>满足《声环境质量标准》（GB3096-2008）中</w:t>
            </w:r>
            <w:r>
              <w:rPr>
                <w:rFonts w:hint="eastAsia"/>
                <w:bCs/>
                <w:sz w:val="24"/>
              </w:rPr>
              <w:t>2</w:t>
            </w:r>
            <w:r>
              <w:rPr>
                <w:bCs/>
                <w:sz w:val="24"/>
              </w:rPr>
              <w:t>类声环境功能区环境噪声限值要求</w:t>
            </w:r>
            <w:r>
              <w:rPr>
                <w:rFonts w:hint="eastAsia"/>
                <w:bCs/>
                <w:sz w:val="24"/>
              </w:rPr>
              <w:t>，项目周边声环境质量良好</w:t>
            </w:r>
            <w:r>
              <w:rPr>
                <w:bCs/>
                <w:sz w:val="24"/>
              </w:rPr>
              <w:t>。</w:t>
            </w:r>
          </w:p>
          <w:p>
            <w:pPr>
              <w:spacing w:line="360" w:lineRule="auto"/>
              <w:ind w:firstLine="480" w:firstLineChars="200"/>
              <w:rPr>
                <w:b/>
                <w:bCs/>
                <w:sz w:val="24"/>
              </w:rPr>
            </w:pPr>
            <w:r>
              <w:rPr>
                <w:b/>
                <w:bCs/>
                <w:sz w:val="24"/>
              </w:rPr>
              <w:t>4、</w:t>
            </w:r>
            <w:r>
              <w:rPr>
                <w:b/>
                <w:sz w:val="24"/>
              </w:rPr>
              <w:t>污染物产生及达标排放情况</w:t>
            </w:r>
          </w:p>
          <w:p>
            <w:pPr>
              <w:spacing w:line="360" w:lineRule="auto"/>
              <w:ind w:firstLine="470" w:firstLineChars="196"/>
              <w:rPr>
                <w:sz w:val="24"/>
              </w:rPr>
            </w:pPr>
            <w:r>
              <w:rPr>
                <w:sz w:val="24"/>
              </w:rPr>
              <w:t>（1）废气</w:t>
            </w:r>
          </w:p>
          <w:p>
            <w:pPr>
              <w:spacing w:line="360" w:lineRule="auto"/>
              <w:ind w:firstLine="480" w:firstLineChars="200"/>
              <w:rPr>
                <w:sz w:val="24"/>
                <w:szCs w:val="24"/>
              </w:rPr>
            </w:pPr>
            <w:r>
              <w:rPr>
                <w:rFonts w:hint="eastAsia"/>
                <w:sz w:val="24"/>
              </w:rPr>
              <w:t>本项目废气为投料工序产生的粉尘、注塑工序产生的非甲烷总烃和极少量氯化氢（定性分析）。粉尘经经半密闭的集气罩收集至1套布袋除尘器处理后经15m排气筒DA001高空排放，排放速率为0.014kg/h，排放浓度为2.8mg/m</w:t>
            </w:r>
            <w:r>
              <w:rPr>
                <w:rFonts w:hint="eastAsia"/>
                <w:sz w:val="24"/>
                <w:vertAlign w:val="superscript"/>
              </w:rPr>
              <w:t>3</w:t>
            </w:r>
            <w:r>
              <w:rPr>
                <w:rFonts w:hint="eastAsia"/>
                <w:sz w:val="24"/>
              </w:rPr>
              <w:t>＜20mg/m</w:t>
            </w:r>
            <w:r>
              <w:rPr>
                <w:rFonts w:hint="eastAsia"/>
                <w:sz w:val="24"/>
                <w:vertAlign w:val="superscript"/>
              </w:rPr>
              <w:t>3</w:t>
            </w:r>
            <w:r>
              <w:rPr>
                <w:rFonts w:hint="eastAsia"/>
                <w:sz w:val="24"/>
              </w:rPr>
              <w:t>，满足《合成树脂工业污染物排放标准》（GB31572- 2015）中表5中相应标准限值；非甲烷总烃经“二级活性炭吸附设备”处理后，排放速率为0.001kg/h，排放浓度为</w:t>
            </w:r>
            <w:r>
              <w:rPr>
                <w:rFonts w:hint="eastAsia"/>
                <w:sz w:val="24"/>
                <w:lang w:val="en-US" w:eastAsia="zh-CN"/>
              </w:rPr>
              <w:t>0.2</w:t>
            </w:r>
            <w:r>
              <w:rPr>
                <w:rFonts w:hint="eastAsia"/>
                <w:sz w:val="24"/>
              </w:rPr>
              <w:t>mg/m</w:t>
            </w:r>
            <w:r>
              <w:rPr>
                <w:rFonts w:hint="eastAsia"/>
                <w:sz w:val="24"/>
                <w:vertAlign w:val="superscript"/>
              </w:rPr>
              <w:t>3</w:t>
            </w:r>
            <w:r>
              <w:rPr>
                <w:rFonts w:hint="eastAsia"/>
                <w:sz w:val="24"/>
              </w:rPr>
              <w:t>＜60mg/m</w:t>
            </w:r>
            <w:r>
              <w:rPr>
                <w:rFonts w:hint="eastAsia"/>
                <w:sz w:val="24"/>
                <w:vertAlign w:val="superscript"/>
              </w:rPr>
              <w:t>3</w:t>
            </w:r>
            <w:r>
              <w:rPr>
                <w:rFonts w:hint="eastAsia"/>
                <w:sz w:val="24"/>
              </w:rPr>
              <w:t>，满足《合成树脂工业污染物排放标准》（GB31572- 2015）中表5中相应标准限值，氯化氢产生量极少，无法定量计算，通过注塑机上方及注射口上方设置集气罩，收集后与非甲烷总烃经同一根排气筒排放，对环境空气影响很小。</w:t>
            </w:r>
          </w:p>
          <w:p>
            <w:pPr>
              <w:spacing w:line="360" w:lineRule="auto"/>
              <w:ind w:firstLine="480" w:firstLineChars="200"/>
              <w:rPr>
                <w:bCs/>
                <w:sz w:val="24"/>
                <w:szCs w:val="22"/>
              </w:rPr>
            </w:pPr>
            <w:r>
              <w:rPr>
                <w:bCs/>
                <w:sz w:val="24"/>
                <w:szCs w:val="22"/>
              </w:rPr>
              <w:t>（2）废水</w:t>
            </w:r>
          </w:p>
          <w:p>
            <w:pPr>
              <w:spacing w:line="360" w:lineRule="auto"/>
              <w:ind w:firstLine="480" w:firstLineChars="200"/>
              <w:rPr>
                <w:bCs/>
                <w:sz w:val="24"/>
                <w:szCs w:val="22"/>
              </w:rPr>
            </w:pPr>
            <w:r>
              <w:rPr>
                <w:bCs/>
                <w:sz w:val="24"/>
                <w:szCs w:val="22"/>
              </w:rPr>
              <w:t>厂区排水“雨污分流”，雨水依托</w:t>
            </w:r>
            <w:r>
              <w:rPr>
                <w:rFonts w:hint="eastAsia"/>
                <w:kern w:val="0"/>
                <w:sz w:val="24"/>
                <w:szCs w:val="22"/>
              </w:rPr>
              <w:t>厂区</w:t>
            </w:r>
            <w:r>
              <w:rPr>
                <w:bCs/>
                <w:sz w:val="24"/>
                <w:szCs w:val="22"/>
              </w:rPr>
              <w:t>现有雨水管网收集后，排入当地市政雨水管网，最终汇入附近河流。</w:t>
            </w:r>
          </w:p>
          <w:p>
            <w:pPr>
              <w:spacing w:line="360" w:lineRule="auto"/>
              <w:ind w:firstLine="480" w:firstLineChars="200"/>
              <w:rPr>
                <w:sz w:val="24"/>
              </w:rPr>
            </w:pPr>
            <w:r>
              <w:rPr>
                <w:bCs/>
                <w:sz w:val="24"/>
                <w:szCs w:val="22"/>
              </w:rPr>
              <w:t>本项目职工生活污水（</w:t>
            </w:r>
            <w:r>
              <w:rPr>
                <w:rFonts w:hint="eastAsia"/>
                <w:bCs/>
                <w:sz w:val="24"/>
                <w:szCs w:val="22"/>
              </w:rPr>
              <w:t>3</w:t>
            </w:r>
            <w:r>
              <w:rPr>
                <w:rFonts w:hint="eastAsia"/>
                <w:bCs/>
                <w:sz w:val="24"/>
                <w:szCs w:val="22"/>
                <w:lang w:val="en-US" w:eastAsia="zh-CN"/>
              </w:rPr>
              <w:t>6</w:t>
            </w:r>
            <w:r>
              <w:rPr>
                <w:rFonts w:hint="eastAsia"/>
                <w:bCs/>
                <w:sz w:val="24"/>
                <w:szCs w:val="22"/>
              </w:rPr>
              <w:t>0t</w:t>
            </w:r>
            <w:r>
              <w:rPr>
                <w:bCs/>
                <w:sz w:val="24"/>
                <w:szCs w:val="22"/>
              </w:rPr>
              <w:t>/a）</w:t>
            </w:r>
            <w:r>
              <w:rPr>
                <w:rFonts w:hint="eastAsia"/>
                <w:bCs/>
                <w:sz w:val="24"/>
                <w:szCs w:val="22"/>
              </w:rPr>
              <w:t>经化粪池预处理后</w:t>
            </w:r>
            <w:r>
              <w:rPr>
                <w:bCs/>
                <w:sz w:val="24"/>
                <w:szCs w:val="22"/>
              </w:rPr>
              <w:t>，</w:t>
            </w:r>
            <w:r>
              <w:rPr>
                <w:rFonts w:hint="eastAsia"/>
                <w:bCs/>
                <w:sz w:val="24"/>
                <w:szCs w:val="22"/>
              </w:rPr>
              <w:t>接管当地市政污水</w:t>
            </w:r>
            <w:r>
              <w:rPr>
                <w:rFonts w:hint="eastAsia"/>
                <w:sz w:val="24"/>
              </w:rPr>
              <w:t>管网</w:t>
            </w:r>
            <w:r>
              <w:rPr>
                <w:sz w:val="24"/>
              </w:rPr>
              <w:t>排入常州金坛区第二污水处理厂集中处理</w:t>
            </w:r>
            <w:r>
              <w:rPr>
                <w:rFonts w:hint="eastAsia"/>
                <w:sz w:val="24"/>
              </w:rPr>
              <w:t>，尾水排入尧塘河</w:t>
            </w:r>
            <w:r>
              <w:rPr>
                <w:sz w:val="24"/>
              </w:rPr>
              <w:t>。</w:t>
            </w:r>
          </w:p>
          <w:p>
            <w:pPr>
              <w:spacing w:line="360" w:lineRule="auto"/>
              <w:ind w:firstLine="480" w:firstLineChars="200"/>
              <w:rPr>
                <w:sz w:val="24"/>
              </w:rPr>
            </w:pPr>
            <w:r>
              <w:rPr>
                <w:sz w:val="24"/>
              </w:rPr>
              <w:t>（3）噪声</w:t>
            </w:r>
          </w:p>
          <w:p>
            <w:pPr>
              <w:tabs>
                <w:tab w:val="left" w:pos="6962"/>
              </w:tabs>
              <w:spacing w:line="360" w:lineRule="auto"/>
              <w:ind w:firstLine="480" w:firstLineChars="200"/>
              <w:rPr>
                <w:sz w:val="24"/>
              </w:rPr>
            </w:pPr>
            <w:r>
              <w:rPr>
                <w:bCs/>
                <w:sz w:val="24"/>
              </w:rPr>
              <w:t>本项目主要噪声设备为</w:t>
            </w:r>
            <w:r>
              <w:rPr>
                <w:rFonts w:hint="eastAsia"/>
                <w:bCs/>
                <w:sz w:val="24"/>
              </w:rPr>
              <w:t>小型不锈钢锉磨床、镍钛锉车床、注塑机、空压机组、风机</w:t>
            </w:r>
            <w:r>
              <w:rPr>
                <w:sz w:val="24"/>
                <w:szCs w:val="24"/>
              </w:rPr>
              <w:t>等</w:t>
            </w:r>
            <w:r>
              <w:rPr>
                <w:bCs/>
                <w:sz w:val="24"/>
              </w:rPr>
              <w:t>，</w:t>
            </w:r>
            <w:r>
              <w:rPr>
                <w:sz w:val="24"/>
              </w:rPr>
              <w:t>项目采取了隔声、减振措施，噪声可以得到较大的削减，</w:t>
            </w:r>
            <w:r>
              <w:rPr>
                <w:sz w:val="24"/>
                <w:szCs w:val="24"/>
              </w:rPr>
              <w:t>项目厂界</w:t>
            </w:r>
            <w:r>
              <w:rPr>
                <w:rFonts w:hint="eastAsia"/>
                <w:sz w:val="24"/>
                <w:szCs w:val="24"/>
              </w:rPr>
              <w:t>噪声排放</w:t>
            </w:r>
            <w:r>
              <w:rPr>
                <w:sz w:val="24"/>
                <w:szCs w:val="24"/>
              </w:rPr>
              <w:t>达到</w:t>
            </w:r>
            <w:r>
              <w:rPr>
                <w:rFonts w:hint="eastAsia"/>
                <w:sz w:val="24"/>
                <w:szCs w:val="24"/>
              </w:rPr>
              <w:t>《工业企业厂界环境噪声排放标准》（GB12348-2008）表1中3类区限值</w:t>
            </w:r>
            <w:r>
              <w:rPr>
                <w:sz w:val="24"/>
                <w:szCs w:val="24"/>
              </w:rPr>
              <w:t>，</w:t>
            </w:r>
            <w:r>
              <w:rPr>
                <w:kern w:val="0"/>
                <w:sz w:val="24"/>
                <w:szCs w:val="24"/>
              </w:rPr>
              <w:t>即：昼间≤</w:t>
            </w:r>
            <w:r>
              <w:rPr>
                <w:rFonts w:hint="eastAsia"/>
                <w:kern w:val="0"/>
                <w:sz w:val="24"/>
                <w:szCs w:val="24"/>
              </w:rPr>
              <w:t>65</w:t>
            </w:r>
            <w:r>
              <w:rPr>
                <w:kern w:val="0"/>
                <w:sz w:val="24"/>
                <w:szCs w:val="24"/>
              </w:rPr>
              <w:t>dB(A)</w:t>
            </w:r>
            <w:r>
              <w:rPr>
                <w:rFonts w:hint="eastAsia"/>
                <w:kern w:val="0"/>
                <w:sz w:val="24"/>
                <w:szCs w:val="24"/>
              </w:rPr>
              <w:t>，</w:t>
            </w:r>
            <w:r>
              <w:rPr>
                <w:rFonts w:hint="eastAsia"/>
                <w:sz w:val="24"/>
                <w:szCs w:val="24"/>
              </w:rPr>
              <w:t>敏感点</w:t>
            </w:r>
            <w:r>
              <w:rPr>
                <w:rFonts w:hint="eastAsia"/>
                <w:sz w:val="24"/>
                <w:szCs w:val="24"/>
                <w:lang w:eastAsia="zh-CN"/>
              </w:rPr>
              <w:t>珑庭花园</w:t>
            </w:r>
            <w:r>
              <w:rPr>
                <w:rFonts w:hint="eastAsia"/>
                <w:sz w:val="24"/>
                <w:szCs w:val="24"/>
              </w:rPr>
              <w:t>声环境预测叠加值可</w:t>
            </w:r>
            <w:r>
              <w:rPr>
                <w:sz w:val="24"/>
                <w:szCs w:val="24"/>
              </w:rPr>
              <w:t>满足</w:t>
            </w:r>
            <w:r>
              <w:rPr>
                <w:rFonts w:hint="eastAsia"/>
                <w:spacing w:val="-6"/>
                <w:sz w:val="24"/>
              </w:rPr>
              <w:t>《声环境质量标准》（GB3096-2008）中的2类区限值，</w:t>
            </w:r>
            <w:r>
              <w:rPr>
                <w:kern w:val="0"/>
                <w:sz w:val="24"/>
                <w:szCs w:val="24"/>
              </w:rPr>
              <w:t>即：昼间≤</w:t>
            </w:r>
            <w:r>
              <w:rPr>
                <w:rFonts w:hint="eastAsia"/>
                <w:kern w:val="0"/>
                <w:sz w:val="24"/>
                <w:szCs w:val="24"/>
              </w:rPr>
              <w:t>60</w:t>
            </w:r>
            <w:r>
              <w:rPr>
                <w:kern w:val="0"/>
                <w:sz w:val="24"/>
                <w:szCs w:val="24"/>
              </w:rPr>
              <w:t>dB(A)。因此项目噪声</w:t>
            </w:r>
            <w:r>
              <w:rPr>
                <w:rFonts w:hint="eastAsia"/>
                <w:kern w:val="0"/>
                <w:sz w:val="24"/>
                <w:szCs w:val="24"/>
              </w:rPr>
              <w:t>排放</w:t>
            </w:r>
            <w:r>
              <w:rPr>
                <w:sz w:val="24"/>
              </w:rPr>
              <w:t>不会对周围噪声明显的影响。</w:t>
            </w:r>
          </w:p>
          <w:p>
            <w:pPr>
              <w:spacing w:line="360" w:lineRule="auto"/>
              <w:ind w:firstLine="480" w:firstLineChars="200"/>
              <w:rPr>
                <w:sz w:val="24"/>
              </w:rPr>
            </w:pPr>
            <w:r>
              <w:rPr>
                <w:sz w:val="24"/>
              </w:rPr>
              <w:t>（4）固废</w:t>
            </w:r>
          </w:p>
          <w:p>
            <w:pPr>
              <w:spacing w:line="360" w:lineRule="auto"/>
              <w:ind w:firstLine="480" w:firstLineChars="200"/>
              <w:rPr>
                <w:kern w:val="0"/>
                <w:sz w:val="24"/>
              </w:rPr>
            </w:pPr>
            <w:r>
              <w:rPr>
                <w:sz w:val="24"/>
              </w:rPr>
              <w:t>本项目产生的固废主要分为一般固废</w:t>
            </w:r>
            <w:r>
              <w:rPr>
                <w:rFonts w:hint="eastAsia"/>
                <w:sz w:val="24"/>
              </w:rPr>
              <w:t>、危险废物</w:t>
            </w:r>
            <w:r>
              <w:rPr>
                <w:sz w:val="24"/>
              </w:rPr>
              <w:t>和生活垃圾。一般固废包括生产过程中产生的</w:t>
            </w:r>
            <w:r>
              <w:rPr>
                <w:rFonts w:hint="eastAsia"/>
                <w:sz w:val="24"/>
              </w:rPr>
              <w:t>废包装材料</w:t>
            </w:r>
            <w:r>
              <w:rPr>
                <w:rFonts w:hint="eastAsia"/>
                <w:sz w:val="24"/>
                <w:szCs w:val="24"/>
              </w:rPr>
              <w:t>、</w:t>
            </w:r>
            <w:r>
              <w:rPr>
                <w:rFonts w:hint="eastAsia"/>
                <w:sz w:val="24"/>
                <w:szCs w:val="24"/>
                <w:lang w:eastAsia="zh-CN"/>
              </w:rPr>
              <w:t>不合格产品、</w:t>
            </w:r>
            <w:r>
              <w:rPr>
                <w:rFonts w:hint="eastAsia"/>
                <w:sz w:val="24"/>
                <w:szCs w:val="24"/>
              </w:rPr>
              <w:t>废</w:t>
            </w:r>
            <w:r>
              <w:rPr>
                <w:rFonts w:hint="eastAsia"/>
                <w:sz w:val="24"/>
                <w:szCs w:val="24"/>
                <w:lang w:eastAsia="zh-CN"/>
              </w:rPr>
              <w:t>金属碎屑</w:t>
            </w:r>
            <w:r>
              <w:rPr>
                <w:rFonts w:hint="eastAsia"/>
                <w:sz w:val="24"/>
                <w:szCs w:val="24"/>
              </w:rPr>
              <w:t>；危险废物为废</w:t>
            </w:r>
            <w:r>
              <w:rPr>
                <w:rFonts w:hint="eastAsia"/>
                <w:sz w:val="24"/>
                <w:szCs w:val="24"/>
                <w:lang w:eastAsia="zh-CN"/>
              </w:rPr>
              <w:t>切削液</w:t>
            </w:r>
            <w:r>
              <w:rPr>
                <w:rFonts w:hint="eastAsia"/>
                <w:sz w:val="24"/>
                <w:szCs w:val="24"/>
              </w:rPr>
              <w:t>、废润滑油、废活性炭、废包装桶、</w:t>
            </w:r>
            <w:r>
              <w:rPr>
                <w:rFonts w:hint="eastAsia"/>
                <w:sz w:val="24"/>
                <w:szCs w:val="24"/>
                <w:lang w:eastAsia="zh-CN"/>
              </w:rPr>
              <w:t>及废含油抹布（全程豁免管理）</w:t>
            </w:r>
            <w:r>
              <w:rPr>
                <w:rFonts w:hint="eastAsia"/>
                <w:sz w:val="24"/>
                <w:szCs w:val="24"/>
              </w:rPr>
              <w:t>。一般固废经分类收集后售卖</w:t>
            </w:r>
            <w:r>
              <w:rPr>
                <w:sz w:val="24"/>
              </w:rPr>
              <w:t>；</w:t>
            </w:r>
            <w:r>
              <w:rPr>
                <w:rFonts w:hint="eastAsia"/>
                <w:sz w:val="24"/>
              </w:rPr>
              <w:t>危险废物</w:t>
            </w:r>
            <w:r>
              <w:rPr>
                <w:rFonts w:hint="eastAsia"/>
                <w:sz w:val="24"/>
                <w:szCs w:val="24"/>
              </w:rPr>
              <w:t>经废</w:t>
            </w:r>
            <w:r>
              <w:rPr>
                <w:rFonts w:hint="eastAsia"/>
                <w:sz w:val="24"/>
                <w:szCs w:val="24"/>
                <w:lang w:eastAsia="zh-CN"/>
              </w:rPr>
              <w:t>切削液</w:t>
            </w:r>
            <w:r>
              <w:rPr>
                <w:rFonts w:hint="eastAsia"/>
                <w:sz w:val="24"/>
                <w:szCs w:val="24"/>
              </w:rPr>
              <w:t>、废润滑油、废活性炭、废包装桶收集后委托有资质单位处置；</w:t>
            </w:r>
            <w:r>
              <w:rPr>
                <w:rFonts w:hint="eastAsia"/>
                <w:sz w:val="24"/>
                <w:szCs w:val="24"/>
                <w:lang w:eastAsia="zh-CN"/>
              </w:rPr>
              <w:t>混入生活垃圾的废含油抹布和</w:t>
            </w:r>
            <w:r>
              <w:rPr>
                <w:rFonts w:hint="eastAsia"/>
                <w:sz w:val="24"/>
                <w:szCs w:val="24"/>
              </w:rPr>
              <w:t>生活垃圾委托环卫部门清运</w:t>
            </w:r>
            <w:r>
              <w:rPr>
                <w:sz w:val="24"/>
              </w:rPr>
              <w:t>。</w:t>
            </w:r>
            <w:r>
              <w:rPr>
                <w:sz w:val="24"/>
                <w:szCs w:val="24"/>
              </w:rPr>
              <w:t>本项目产生的固体废物能够得到有效的处理和利用，对周围环境影响较小，固体废物防治措施可行。</w:t>
            </w:r>
          </w:p>
          <w:p>
            <w:pPr>
              <w:spacing w:line="360" w:lineRule="auto"/>
              <w:ind w:firstLine="480" w:firstLineChars="200"/>
              <w:rPr>
                <w:b/>
                <w:bCs/>
                <w:sz w:val="24"/>
                <w:szCs w:val="24"/>
              </w:rPr>
            </w:pPr>
            <w:r>
              <w:rPr>
                <w:b/>
                <w:sz w:val="24"/>
              </w:rPr>
              <w:t>5</w:t>
            </w:r>
            <w:r>
              <w:rPr>
                <w:b/>
                <w:spacing w:val="-2"/>
                <w:sz w:val="24"/>
              </w:rPr>
              <w:t>、</w:t>
            </w:r>
            <w:r>
              <w:rPr>
                <w:b/>
                <w:bCs/>
                <w:sz w:val="24"/>
                <w:szCs w:val="24"/>
              </w:rPr>
              <w:t>总量控制结论</w:t>
            </w:r>
          </w:p>
          <w:p>
            <w:pPr>
              <w:spacing w:line="360" w:lineRule="auto"/>
              <w:ind w:firstLine="480" w:firstLineChars="200"/>
              <w:rPr>
                <w:sz w:val="24"/>
              </w:rPr>
            </w:pPr>
            <w:r>
              <w:rPr>
                <w:sz w:val="24"/>
              </w:rPr>
              <w:t>废水：</w:t>
            </w:r>
            <w:r>
              <w:rPr>
                <w:rFonts w:hint="eastAsia"/>
                <w:sz w:val="24"/>
              </w:rPr>
              <w:t>生活污水排放量3</w:t>
            </w:r>
            <w:r>
              <w:rPr>
                <w:rFonts w:hint="eastAsia"/>
                <w:sz w:val="24"/>
                <w:lang w:val="en-US" w:eastAsia="zh-CN"/>
              </w:rPr>
              <w:t>6</w:t>
            </w:r>
            <w:r>
              <w:rPr>
                <w:rFonts w:hint="eastAsia"/>
                <w:sz w:val="24"/>
              </w:rPr>
              <w:t>0</w:t>
            </w:r>
            <w:r>
              <w:rPr>
                <w:sz w:val="24"/>
              </w:rPr>
              <w:t>t/a，水污染物排放总量COD</w:t>
            </w:r>
            <w:r>
              <w:rPr>
                <w:rFonts w:hint="eastAsia"/>
                <w:sz w:val="24"/>
              </w:rPr>
              <w:t>0.1</w:t>
            </w:r>
            <w:r>
              <w:rPr>
                <w:rFonts w:hint="eastAsia"/>
                <w:sz w:val="24"/>
                <w:lang w:val="en-US" w:eastAsia="zh-CN"/>
              </w:rPr>
              <w:t>2</w:t>
            </w:r>
            <w:r>
              <w:rPr>
                <w:rFonts w:hint="eastAsia"/>
                <w:sz w:val="24"/>
              </w:rPr>
              <w:t>2</w:t>
            </w:r>
            <w:r>
              <w:rPr>
                <w:sz w:val="24"/>
              </w:rPr>
              <w:t>t/a、SS</w:t>
            </w:r>
            <w:r>
              <w:rPr>
                <w:rFonts w:hint="eastAsia"/>
                <w:sz w:val="24"/>
              </w:rPr>
              <w:t>0.0</w:t>
            </w:r>
            <w:r>
              <w:rPr>
                <w:rFonts w:hint="eastAsia"/>
                <w:sz w:val="24"/>
                <w:lang w:val="en-US" w:eastAsia="zh-CN"/>
              </w:rPr>
              <w:t>58</w:t>
            </w:r>
            <w:r>
              <w:rPr>
                <w:sz w:val="24"/>
              </w:rPr>
              <w:t>t/a、氨氮</w:t>
            </w:r>
            <w:r>
              <w:rPr>
                <w:rFonts w:hint="eastAsia"/>
                <w:sz w:val="24"/>
              </w:rPr>
              <w:t>0.</w:t>
            </w:r>
            <w:r>
              <w:rPr>
                <w:rFonts w:hint="eastAsia"/>
                <w:sz w:val="24"/>
                <w:lang w:val="en-US" w:eastAsia="zh-CN"/>
              </w:rPr>
              <w:t>0126</w:t>
            </w:r>
            <w:r>
              <w:rPr>
                <w:sz w:val="24"/>
              </w:rPr>
              <w:t>t/a、总磷</w:t>
            </w:r>
            <w:r>
              <w:rPr>
                <w:rFonts w:hint="eastAsia"/>
                <w:sz w:val="24"/>
              </w:rPr>
              <w:t>0.00</w:t>
            </w:r>
            <w:r>
              <w:rPr>
                <w:rFonts w:hint="eastAsia"/>
                <w:sz w:val="24"/>
                <w:lang w:val="en-US" w:eastAsia="zh-CN"/>
              </w:rPr>
              <w:t>11</w:t>
            </w:r>
            <w:r>
              <w:rPr>
                <w:sz w:val="24"/>
              </w:rPr>
              <w:t>t/a</w:t>
            </w:r>
            <w:r>
              <w:rPr>
                <w:rFonts w:hint="eastAsia"/>
                <w:sz w:val="24"/>
              </w:rPr>
              <w:t>、总氮0.0</w:t>
            </w:r>
            <w:r>
              <w:rPr>
                <w:rFonts w:hint="eastAsia"/>
                <w:sz w:val="24"/>
                <w:lang w:val="en-US" w:eastAsia="zh-CN"/>
              </w:rPr>
              <w:t>18</w:t>
            </w:r>
            <w:r>
              <w:rPr>
                <w:rFonts w:hint="eastAsia"/>
                <w:sz w:val="24"/>
              </w:rPr>
              <w:t>t/a，</w:t>
            </w:r>
            <w:r>
              <w:rPr>
                <w:sz w:val="24"/>
              </w:rPr>
              <w:t>向</w:t>
            </w:r>
            <w:r>
              <w:rPr>
                <w:rFonts w:hint="eastAsia"/>
                <w:sz w:val="24"/>
              </w:rPr>
              <w:t>常州市金坛生态环境局</w:t>
            </w:r>
            <w:r>
              <w:rPr>
                <w:sz w:val="24"/>
              </w:rPr>
              <w:t>申请核定，总量在金坛区内平衡。</w:t>
            </w:r>
          </w:p>
          <w:p>
            <w:pPr>
              <w:spacing w:line="360" w:lineRule="auto"/>
              <w:ind w:firstLine="480" w:firstLineChars="200"/>
              <w:rPr>
                <w:sz w:val="24"/>
              </w:rPr>
            </w:pPr>
            <w:r>
              <w:rPr>
                <w:sz w:val="24"/>
                <w:szCs w:val="24"/>
              </w:rPr>
              <w:t>经污水处理厂处理后的终排量为：</w:t>
            </w:r>
            <w:r>
              <w:rPr>
                <w:rFonts w:hint="eastAsia"/>
                <w:sz w:val="24"/>
                <w:szCs w:val="24"/>
              </w:rPr>
              <w:t>生活污水</w:t>
            </w:r>
            <w:r>
              <w:rPr>
                <w:sz w:val="24"/>
                <w:szCs w:val="24"/>
              </w:rPr>
              <w:t>量</w:t>
            </w:r>
            <w:r>
              <w:rPr>
                <w:rFonts w:hint="eastAsia"/>
                <w:sz w:val="24"/>
                <w:szCs w:val="24"/>
              </w:rPr>
              <w:t>3</w:t>
            </w:r>
            <w:r>
              <w:rPr>
                <w:rFonts w:hint="eastAsia"/>
                <w:sz w:val="24"/>
                <w:szCs w:val="24"/>
                <w:lang w:val="en-US" w:eastAsia="zh-CN"/>
              </w:rPr>
              <w:t>6</w:t>
            </w:r>
            <w:r>
              <w:rPr>
                <w:rFonts w:hint="eastAsia"/>
                <w:sz w:val="24"/>
                <w:szCs w:val="24"/>
              </w:rPr>
              <w:t>0t</w:t>
            </w:r>
            <w:r>
              <w:rPr>
                <w:sz w:val="24"/>
                <w:szCs w:val="24"/>
              </w:rPr>
              <w:t>/a；COD：</w:t>
            </w:r>
            <w:r>
              <w:rPr>
                <w:rFonts w:hint="eastAsia"/>
                <w:sz w:val="24"/>
                <w:szCs w:val="24"/>
              </w:rPr>
              <w:t>0.01</w:t>
            </w:r>
            <w:r>
              <w:rPr>
                <w:rFonts w:hint="eastAsia"/>
                <w:sz w:val="24"/>
                <w:szCs w:val="24"/>
                <w:lang w:val="en-US" w:eastAsia="zh-CN"/>
              </w:rPr>
              <w:t>8</w:t>
            </w:r>
            <w:r>
              <w:rPr>
                <w:sz w:val="24"/>
                <w:szCs w:val="24"/>
              </w:rPr>
              <w:t>t/a；</w:t>
            </w:r>
            <w:r>
              <w:rPr>
                <w:rFonts w:hint="eastAsia"/>
                <w:sz w:val="24"/>
                <w:szCs w:val="24"/>
              </w:rPr>
              <w:t>SS</w:t>
            </w:r>
            <w:r>
              <w:rPr>
                <w:sz w:val="24"/>
                <w:szCs w:val="24"/>
              </w:rPr>
              <w:t>：</w:t>
            </w:r>
            <w:r>
              <w:rPr>
                <w:rFonts w:hint="eastAsia"/>
                <w:kern w:val="0"/>
                <w:sz w:val="24"/>
                <w:szCs w:val="24"/>
                <w:lang w:bidi="ar"/>
              </w:rPr>
              <w:t>0.003</w:t>
            </w:r>
            <w:r>
              <w:rPr>
                <w:rFonts w:hint="eastAsia"/>
                <w:kern w:val="0"/>
                <w:sz w:val="24"/>
                <w:szCs w:val="24"/>
                <w:lang w:val="en-US" w:eastAsia="zh-CN" w:bidi="ar"/>
              </w:rPr>
              <w:t>6</w:t>
            </w:r>
            <w:r>
              <w:rPr>
                <w:sz w:val="24"/>
                <w:szCs w:val="24"/>
              </w:rPr>
              <w:t>t/a；氨氮</w:t>
            </w:r>
            <w:r>
              <w:rPr>
                <w:rFonts w:hint="eastAsia"/>
                <w:kern w:val="0"/>
                <w:sz w:val="24"/>
                <w:szCs w:val="24"/>
                <w:lang w:bidi="ar"/>
              </w:rPr>
              <w:t>0.001</w:t>
            </w:r>
            <w:r>
              <w:rPr>
                <w:rFonts w:hint="eastAsia"/>
                <w:kern w:val="0"/>
                <w:sz w:val="24"/>
                <w:szCs w:val="24"/>
                <w:lang w:val="en-US" w:eastAsia="zh-CN" w:bidi="ar"/>
              </w:rPr>
              <w:t>8</w:t>
            </w:r>
            <w:r>
              <w:rPr>
                <w:sz w:val="24"/>
                <w:szCs w:val="24"/>
              </w:rPr>
              <w:t>t/a；总磷：</w:t>
            </w:r>
            <w:r>
              <w:rPr>
                <w:rFonts w:hint="eastAsia"/>
                <w:kern w:val="0"/>
                <w:sz w:val="24"/>
                <w:szCs w:val="24"/>
                <w:lang w:bidi="ar"/>
              </w:rPr>
              <w:t>0.0002</w:t>
            </w:r>
            <w:r>
              <w:rPr>
                <w:sz w:val="24"/>
                <w:szCs w:val="24"/>
              </w:rPr>
              <w:t>t/a、总氮：</w:t>
            </w:r>
            <w:r>
              <w:rPr>
                <w:rFonts w:hint="eastAsia"/>
                <w:kern w:val="0"/>
                <w:sz w:val="24"/>
                <w:szCs w:val="24"/>
                <w:lang w:bidi="ar"/>
              </w:rPr>
              <w:t>0.00</w:t>
            </w:r>
            <w:r>
              <w:rPr>
                <w:rFonts w:hint="eastAsia"/>
                <w:kern w:val="0"/>
                <w:sz w:val="24"/>
                <w:szCs w:val="24"/>
                <w:lang w:val="en-US" w:eastAsia="zh-CN" w:bidi="ar"/>
              </w:rPr>
              <w:t>54</w:t>
            </w:r>
            <w:r>
              <w:rPr>
                <w:sz w:val="24"/>
                <w:szCs w:val="24"/>
              </w:rPr>
              <w:t>t/a。</w:t>
            </w:r>
            <w:r>
              <w:rPr>
                <w:rFonts w:hint="eastAsia"/>
                <w:sz w:val="24"/>
                <w:szCs w:val="24"/>
              </w:rPr>
              <w:t xml:space="preserve">  </w:t>
            </w:r>
          </w:p>
          <w:p>
            <w:pPr>
              <w:spacing w:line="360" w:lineRule="auto"/>
              <w:ind w:firstLine="480" w:firstLineChars="200"/>
              <w:rPr>
                <w:color w:val="auto"/>
                <w:sz w:val="24"/>
              </w:rPr>
            </w:pPr>
            <w:r>
              <w:rPr>
                <w:color w:val="auto"/>
                <w:sz w:val="24"/>
              </w:rPr>
              <w:t>废气：</w:t>
            </w:r>
            <w:r>
              <w:rPr>
                <w:color w:val="auto"/>
                <w:sz w:val="24"/>
                <w:szCs w:val="24"/>
              </w:rPr>
              <w:t>本企业废气</w:t>
            </w:r>
            <w:r>
              <w:rPr>
                <w:rFonts w:hint="eastAsia"/>
                <w:color w:val="auto"/>
                <w:sz w:val="24"/>
                <w:szCs w:val="24"/>
                <w:lang w:eastAsia="zh-CN"/>
              </w:rPr>
              <w:t>颗粒物（粉尘）</w:t>
            </w:r>
            <w:r>
              <w:rPr>
                <w:color w:val="auto"/>
                <w:sz w:val="24"/>
                <w:szCs w:val="24"/>
              </w:rPr>
              <w:t>有组织排放量为</w:t>
            </w:r>
            <w:r>
              <w:rPr>
                <w:rFonts w:hint="eastAsia"/>
                <w:color w:val="auto"/>
                <w:sz w:val="24"/>
                <w:szCs w:val="24"/>
              </w:rPr>
              <w:t>0</w:t>
            </w:r>
            <w:r>
              <w:rPr>
                <w:rFonts w:hint="eastAsia"/>
                <w:color w:val="auto"/>
                <w:sz w:val="24"/>
                <w:szCs w:val="24"/>
                <w:lang w:val="en-US" w:eastAsia="zh-CN"/>
              </w:rPr>
              <w:t>.0005t/a</w:t>
            </w:r>
            <w:r>
              <w:rPr>
                <w:color w:val="auto"/>
                <w:sz w:val="24"/>
                <w:szCs w:val="24"/>
              </w:rPr>
              <w:t>，需申请总量控制</w:t>
            </w:r>
            <w:r>
              <w:rPr>
                <w:rFonts w:hint="eastAsia"/>
                <w:color w:val="auto"/>
                <w:sz w:val="24"/>
                <w:szCs w:val="24"/>
              </w:rPr>
              <w:t>0</w:t>
            </w:r>
            <w:r>
              <w:rPr>
                <w:rFonts w:hint="eastAsia"/>
                <w:color w:val="auto"/>
                <w:sz w:val="24"/>
                <w:szCs w:val="24"/>
                <w:lang w:val="en-US" w:eastAsia="zh-CN"/>
              </w:rPr>
              <w:t>.0005t/a</w:t>
            </w:r>
            <w:r>
              <w:rPr>
                <w:rFonts w:hint="eastAsia"/>
                <w:color w:val="auto"/>
                <w:sz w:val="24"/>
                <w:szCs w:val="24"/>
              </w:rPr>
              <w:t>；</w:t>
            </w:r>
            <w:r>
              <w:rPr>
                <w:rFonts w:hint="eastAsia"/>
                <w:color w:val="auto"/>
                <w:sz w:val="24"/>
                <w:szCs w:val="24"/>
                <w:lang w:eastAsia="zh-CN"/>
              </w:rPr>
              <w:t>非甲烷总烃</w:t>
            </w:r>
            <w:r>
              <w:rPr>
                <w:color w:val="auto"/>
                <w:sz w:val="24"/>
                <w:szCs w:val="24"/>
              </w:rPr>
              <w:t>有组织排放量为</w:t>
            </w:r>
            <w:r>
              <w:rPr>
                <w:rFonts w:hint="eastAsia"/>
                <w:color w:val="auto"/>
                <w:sz w:val="24"/>
                <w:szCs w:val="24"/>
              </w:rPr>
              <w:t>0</w:t>
            </w:r>
            <w:r>
              <w:rPr>
                <w:rFonts w:hint="eastAsia"/>
                <w:color w:val="auto"/>
                <w:sz w:val="24"/>
                <w:szCs w:val="24"/>
                <w:lang w:val="en-US" w:eastAsia="zh-CN"/>
              </w:rPr>
              <w:t>.05kg/a</w:t>
            </w:r>
            <w:r>
              <w:rPr>
                <w:color w:val="auto"/>
                <w:sz w:val="24"/>
                <w:szCs w:val="24"/>
              </w:rPr>
              <w:t>，需申请总量控制</w:t>
            </w:r>
            <w:r>
              <w:rPr>
                <w:rFonts w:hint="eastAsia"/>
                <w:color w:val="auto"/>
                <w:sz w:val="24"/>
                <w:szCs w:val="24"/>
              </w:rPr>
              <w:t>0</w:t>
            </w:r>
            <w:r>
              <w:rPr>
                <w:rFonts w:hint="eastAsia"/>
                <w:color w:val="auto"/>
                <w:sz w:val="24"/>
                <w:szCs w:val="24"/>
                <w:lang w:val="en-US" w:eastAsia="zh-CN"/>
              </w:rPr>
              <w:t>.05kg/a</w:t>
            </w:r>
            <w:r>
              <w:rPr>
                <w:rFonts w:hint="eastAsia"/>
                <w:color w:val="auto"/>
                <w:sz w:val="24"/>
                <w:szCs w:val="24"/>
              </w:rPr>
              <w:t>；</w:t>
            </w:r>
            <w:r>
              <w:rPr>
                <w:color w:val="auto"/>
                <w:sz w:val="24"/>
                <w:szCs w:val="24"/>
              </w:rPr>
              <w:t>其总量在金坛区境内平衡。</w:t>
            </w:r>
          </w:p>
          <w:p>
            <w:pPr>
              <w:spacing w:line="360" w:lineRule="auto"/>
              <w:ind w:firstLine="480" w:firstLineChars="200"/>
              <w:rPr>
                <w:sz w:val="24"/>
                <w:szCs w:val="24"/>
              </w:rPr>
            </w:pPr>
            <w:r>
              <w:rPr>
                <w:sz w:val="24"/>
              </w:rPr>
              <w:t>固废：固废排放总量为零</w:t>
            </w:r>
            <w:r>
              <w:rPr>
                <w:sz w:val="24"/>
                <w:szCs w:val="24"/>
              </w:rPr>
              <w:t>。</w:t>
            </w:r>
          </w:p>
          <w:p>
            <w:pPr>
              <w:spacing w:line="360" w:lineRule="auto"/>
              <w:ind w:firstLine="480" w:firstLineChars="200"/>
              <w:rPr>
                <w:b/>
                <w:sz w:val="24"/>
              </w:rPr>
            </w:pPr>
            <w:r>
              <w:rPr>
                <w:b/>
                <w:sz w:val="24"/>
              </w:rPr>
              <w:t>综上所述，建设项目符合国家及地方产业政策，工艺成熟简单，采取的各项环保措施合理可行，总体上对评价区域环境影响较小。因此，建设单位在落实本报告提出的各项对策措施、建议和要求的前提下，从环境保护的角度来讲，该项目是可行的。</w:t>
            </w:r>
          </w:p>
          <w:p>
            <w:pPr>
              <w:pStyle w:val="79"/>
              <w:spacing w:after="0" w:line="360" w:lineRule="auto"/>
              <w:ind w:firstLine="480" w:firstLineChars="200"/>
              <w:jc w:val="both"/>
              <w:rPr>
                <w:rFonts w:ascii="Times New Roman" w:hAnsi="Times New Roman" w:cs="Times New Roman"/>
                <w:b/>
                <w:color w:val="auto"/>
              </w:rPr>
            </w:pPr>
            <w:r>
              <w:rPr>
                <w:rFonts w:ascii="Times New Roman" w:hAnsi="Times New Roman" w:cs="Times New Roman"/>
                <w:b/>
                <w:color w:val="auto"/>
              </w:rPr>
              <w:t>二、建议与要求</w:t>
            </w:r>
          </w:p>
          <w:p>
            <w:pPr>
              <w:spacing w:line="360" w:lineRule="auto"/>
              <w:ind w:firstLine="480" w:firstLineChars="200"/>
              <w:rPr>
                <w:sz w:val="24"/>
              </w:rPr>
            </w:pPr>
            <w:r>
              <w:rPr>
                <w:sz w:val="24"/>
              </w:rPr>
              <w:t>1、合理布局噪声设备，加强设备噪声设治理，尽量减轻噪声对周围环境的影响；</w:t>
            </w:r>
          </w:p>
          <w:p>
            <w:pPr>
              <w:spacing w:line="360" w:lineRule="auto"/>
              <w:ind w:firstLine="480" w:firstLineChars="200"/>
              <w:rPr>
                <w:sz w:val="24"/>
                <w:szCs w:val="24"/>
              </w:rPr>
            </w:pPr>
            <w:r>
              <w:rPr>
                <w:sz w:val="24"/>
              </w:rPr>
              <w:t>2、加强生产设施和污染防治设施运行保养检修，确保污染物达标排放，加强生产管理以及对员工进行环保知识培训，提高环保意识。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12" w:space="0"/>
          </w:tblBorders>
          <w:tblCellMar>
            <w:top w:w="0" w:type="dxa"/>
            <w:left w:w="108" w:type="dxa"/>
            <w:bottom w:w="0" w:type="dxa"/>
            <w:right w:w="108" w:type="dxa"/>
          </w:tblCellMar>
        </w:tblPrEx>
        <w:trPr>
          <w:trHeight w:val="6978" w:hRule="atLeast"/>
          <w:jc w:val="center"/>
        </w:trPr>
        <w:tc>
          <w:tcPr>
            <w:tcW w:w="8533" w:type="dxa"/>
            <w:gridSpan w:val="2"/>
            <w:tcBorders>
              <w:bottom w:val="single" w:color="auto" w:sz="4" w:space="0"/>
            </w:tcBorders>
          </w:tcPr>
          <w:p>
            <w:pPr>
              <w:ind w:firstLine="240" w:firstLineChars="100"/>
              <w:rPr>
                <w:sz w:val="24"/>
              </w:rPr>
            </w:pPr>
            <w:r>
              <w:rPr>
                <w:sz w:val="24"/>
              </w:rPr>
              <w:t>预审意见：</w:t>
            </w:r>
          </w:p>
          <w:p>
            <w:pPr>
              <w:rPr>
                <w:sz w:val="24"/>
              </w:rPr>
            </w:pPr>
          </w:p>
          <w:p>
            <w:pPr>
              <w:rPr>
                <w:sz w:val="24"/>
              </w:rPr>
            </w:pPr>
          </w:p>
          <w:p>
            <w:pPr>
              <w:rPr>
                <w:sz w:val="24"/>
              </w:rPr>
            </w:pPr>
          </w:p>
          <w:p>
            <w:pPr>
              <w:rPr>
                <w:sz w:val="24"/>
              </w:rPr>
            </w:pPr>
          </w:p>
          <w:p>
            <w:pPr>
              <w:rPr>
                <w:sz w:val="24"/>
              </w:rPr>
            </w:pPr>
          </w:p>
          <w:p>
            <w:pPr>
              <w:rPr>
                <w:sz w:val="24"/>
              </w:rPr>
            </w:pPr>
          </w:p>
          <w:p>
            <w:pPr>
              <w:rPr>
                <w:sz w:val="24"/>
              </w:rPr>
            </w:pPr>
          </w:p>
          <w:p>
            <w:pPr>
              <w:rPr>
                <w:sz w:val="24"/>
              </w:rPr>
            </w:pPr>
          </w:p>
          <w:p>
            <w:pPr>
              <w:rPr>
                <w:sz w:val="24"/>
              </w:rPr>
            </w:pPr>
          </w:p>
          <w:p>
            <w:pPr>
              <w:rPr>
                <w:sz w:val="24"/>
              </w:rPr>
            </w:pPr>
          </w:p>
          <w:p>
            <w:pPr>
              <w:rPr>
                <w:sz w:val="24"/>
              </w:rPr>
            </w:pPr>
          </w:p>
          <w:p>
            <w:pPr>
              <w:rPr>
                <w:sz w:val="24"/>
              </w:rPr>
            </w:pPr>
          </w:p>
          <w:p>
            <w:pPr>
              <w:rPr>
                <w:sz w:val="24"/>
              </w:rPr>
            </w:pPr>
          </w:p>
          <w:p>
            <w:pPr>
              <w:rPr>
                <w:sz w:val="24"/>
              </w:rPr>
            </w:pPr>
          </w:p>
          <w:p>
            <w:pPr>
              <w:rPr>
                <w:sz w:val="24"/>
              </w:rPr>
            </w:pPr>
          </w:p>
          <w:p>
            <w:pPr>
              <w:rPr>
                <w:sz w:val="24"/>
              </w:rPr>
            </w:pPr>
          </w:p>
          <w:p>
            <w:pPr>
              <w:rPr>
                <w:sz w:val="24"/>
              </w:rPr>
            </w:pPr>
            <w:r>
              <w:rPr>
                <w:sz w:val="24"/>
              </w:rPr>
              <w:t>公  章</w:t>
            </w:r>
          </w:p>
          <w:p>
            <w:pPr>
              <w:rPr>
                <w:sz w:val="24"/>
              </w:rPr>
            </w:pPr>
          </w:p>
          <w:p>
            <w:pPr>
              <w:rPr>
                <w:sz w:val="24"/>
              </w:rPr>
            </w:pPr>
            <w:r>
              <w:rPr>
                <w:sz w:val="24"/>
              </w:rPr>
              <w:t>经办：          签发：                             年   月   日</w:t>
            </w:r>
          </w:p>
          <w:p>
            <w:pPr>
              <w:rPr>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12" w:space="0"/>
          </w:tblBorders>
          <w:tblCellMar>
            <w:top w:w="0" w:type="dxa"/>
            <w:left w:w="108" w:type="dxa"/>
            <w:bottom w:w="0" w:type="dxa"/>
            <w:right w:w="108" w:type="dxa"/>
          </w:tblCellMar>
        </w:tblPrEx>
        <w:trPr>
          <w:trHeight w:val="6180" w:hRule="atLeast"/>
          <w:jc w:val="center"/>
        </w:trPr>
        <w:tc>
          <w:tcPr>
            <w:tcW w:w="8533" w:type="dxa"/>
            <w:gridSpan w:val="2"/>
            <w:tcBorders>
              <w:bottom w:val="single" w:color="auto" w:sz="12" w:space="0"/>
            </w:tcBorders>
          </w:tcPr>
          <w:p>
            <w:pPr>
              <w:ind w:firstLine="240" w:firstLineChars="100"/>
              <w:rPr>
                <w:sz w:val="24"/>
              </w:rPr>
            </w:pPr>
            <w:r>
              <w:rPr>
                <w:sz w:val="24"/>
              </w:rPr>
              <w:t>下一级环境保护行政主管部门审查意见：</w:t>
            </w:r>
          </w:p>
          <w:p>
            <w:pPr>
              <w:rPr>
                <w:sz w:val="24"/>
              </w:rPr>
            </w:pPr>
          </w:p>
          <w:p>
            <w:pPr>
              <w:rPr>
                <w:sz w:val="24"/>
              </w:rPr>
            </w:pPr>
          </w:p>
          <w:p>
            <w:pPr>
              <w:rPr>
                <w:sz w:val="24"/>
              </w:rPr>
            </w:pPr>
          </w:p>
          <w:p>
            <w:pPr>
              <w:rPr>
                <w:sz w:val="24"/>
              </w:rPr>
            </w:pPr>
          </w:p>
          <w:p>
            <w:pPr>
              <w:rPr>
                <w:sz w:val="24"/>
              </w:rPr>
            </w:pPr>
          </w:p>
          <w:p>
            <w:pPr>
              <w:rPr>
                <w:sz w:val="24"/>
              </w:rPr>
            </w:pPr>
          </w:p>
          <w:p>
            <w:pPr>
              <w:rPr>
                <w:sz w:val="24"/>
              </w:rPr>
            </w:pPr>
          </w:p>
          <w:p>
            <w:pPr>
              <w:rPr>
                <w:sz w:val="24"/>
              </w:rPr>
            </w:pPr>
          </w:p>
          <w:p>
            <w:pPr>
              <w:rPr>
                <w:sz w:val="24"/>
              </w:rPr>
            </w:pPr>
          </w:p>
          <w:p>
            <w:pPr>
              <w:rPr>
                <w:sz w:val="24"/>
              </w:rPr>
            </w:pPr>
          </w:p>
          <w:p>
            <w:pPr>
              <w:rPr>
                <w:sz w:val="24"/>
              </w:rPr>
            </w:pPr>
          </w:p>
          <w:p>
            <w:pPr>
              <w:rPr>
                <w:sz w:val="24"/>
              </w:rPr>
            </w:pPr>
          </w:p>
          <w:p>
            <w:pPr>
              <w:rPr>
                <w:sz w:val="24"/>
              </w:rPr>
            </w:pPr>
          </w:p>
          <w:p>
            <w:pPr>
              <w:rPr>
                <w:sz w:val="24"/>
              </w:rPr>
            </w:pPr>
          </w:p>
          <w:p>
            <w:pPr>
              <w:rPr>
                <w:sz w:val="24"/>
              </w:rPr>
            </w:pPr>
            <w:r>
              <w:rPr>
                <w:sz w:val="24"/>
              </w:rPr>
              <w:t xml:space="preserve">                                                     公  章</w:t>
            </w:r>
          </w:p>
          <w:p>
            <w:pPr>
              <w:rPr>
                <w:sz w:val="24"/>
              </w:rPr>
            </w:pPr>
          </w:p>
          <w:p>
            <w:pPr>
              <w:rPr>
                <w:sz w:val="24"/>
              </w:rPr>
            </w:pPr>
            <w:r>
              <w:rPr>
                <w:sz w:val="24"/>
              </w:rPr>
              <w:t xml:space="preserve"> 经办：          签发：                             年   月   日</w:t>
            </w:r>
          </w:p>
          <w:p>
            <w:pPr>
              <w:rPr>
                <w:sz w:val="24"/>
              </w:rPr>
            </w:pPr>
          </w:p>
          <w:p>
            <w:pPr>
              <w:rPr>
                <w:sz w:val="24"/>
              </w:rPr>
            </w:pPr>
          </w:p>
          <w:p>
            <w:pPr>
              <w:rPr>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12" w:space="0"/>
          </w:tblBorders>
          <w:tblCellMar>
            <w:top w:w="0" w:type="dxa"/>
            <w:left w:w="108" w:type="dxa"/>
            <w:bottom w:w="0" w:type="dxa"/>
            <w:right w:w="108" w:type="dxa"/>
          </w:tblCellMar>
        </w:tblPrEx>
        <w:trPr>
          <w:trHeight w:val="13830" w:hRule="atLeast"/>
          <w:jc w:val="center"/>
        </w:trPr>
        <w:tc>
          <w:tcPr>
            <w:tcW w:w="8533" w:type="dxa"/>
            <w:gridSpan w:val="2"/>
            <w:tcBorders>
              <w:top w:val="single" w:color="auto" w:sz="12" w:space="0"/>
              <w:bottom w:val="single" w:color="auto" w:sz="12" w:space="0"/>
            </w:tcBorders>
          </w:tcPr>
          <w:p>
            <w:pPr>
              <w:rPr>
                <w:sz w:val="24"/>
              </w:rPr>
            </w:pPr>
            <w:r>
              <w:rPr>
                <w:sz w:val="24"/>
              </w:rPr>
              <w:t xml:space="preserve"> 审批意见：</w:t>
            </w:r>
          </w:p>
          <w:p>
            <w:pPr>
              <w:rPr>
                <w:sz w:val="24"/>
              </w:rPr>
            </w:pPr>
          </w:p>
          <w:p>
            <w:pPr>
              <w:rPr>
                <w:sz w:val="24"/>
              </w:rPr>
            </w:pPr>
          </w:p>
          <w:p>
            <w:pPr>
              <w:rPr>
                <w:sz w:val="24"/>
              </w:rPr>
            </w:pPr>
          </w:p>
          <w:p>
            <w:pPr>
              <w:rPr>
                <w:sz w:val="24"/>
              </w:rPr>
            </w:pPr>
          </w:p>
          <w:p>
            <w:pPr>
              <w:rPr>
                <w:sz w:val="24"/>
              </w:rPr>
            </w:pPr>
          </w:p>
          <w:p>
            <w:pPr>
              <w:rPr>
                <w:sz w:val="24"/>
              </w:rPr>
            </w:pPr>
          </w:p>
          <w:p>
            <w:pPr>
              <w:rPr>
                <w:sz w:val="24"/>
              </w:rPr>
            </w:pPr>
          </w:p>
          <w:p>
            <w:pPr>
              <w:rPr>
                <w:sz w:val="24"/>
              </w:rPr>
            </w:pPr>
          </w:p>
          <w:p>
            <w:pPr>
              <w:rPr>
                <w:sz w:val="24"/>
              </w:rPr>
            </w:pPr>
          </w:p>
          <w:p>
            <w:pPr>
              <w:rPr>
                <w:sz w:val="24"/>
              </w:rPr>
            </w:pPr>
          </w:p>
          <w:p>
            <w:pPr>
              <w:rPr>
                <w:sz w:val="24"/>
              </w:rPr>
            </w:pPr>
          </w:p>
          <w:p>
            <w:pPr>
              <w:rPr>
                <w:sz w:val="24"/>
              </w:rPr>
            </w:pPr>
          </w:p>
          <w:p>
            <w:pPr>
              <w:rPr>
                <w:sz w:val="24"/>
              </w:rPr>
            </w:pPr>
          </w:p>
          <w:p>
            <w:pPr>
              <w:rPr>
                <w:sz w:val="24"/>
              </w:rPr>
            </w:pPr>
          </w:p>
          <w:p>
            <w:pPr>
              <w:rPr>
                <w:sz w:val="24"/>
              </w:rPr>
            </w:pPr>
          </w:p>
          <w:p>
            <w:pPr>
              <w:rPr>
                <w:sz w:val="24"/>
              </w:rPr>
            </w:pPr>
          </w:p>
          <w:p>
            <w:pPr>
              <w:rPr>
                <w:sz w:val="24"/>
              </w:rPr>
            </w:pPr>
          </w:p>
          <w:p>
            <w:pPr>
              <w:rPr>
                <w:sz w:val="24"/>
              </w:rPr>
            </w:pPr>
          </w:p>
          <w:p>
            <w:pPr>
              <w:rPr>
                <w:sz w:val="24"/>
              </w:rPr>
            </w:pPr>
          </w:p>
          <w:p>
            <w:pPr>
              <w:rPr>
                <w:sz w:val="24"/>
              </w:rPr>
            </w:pPr>
          </w:p>
          <w:p>
            <w:pPr>
              <w:rPr>
                <w:sz w:val="24"/>
              </w:rPr>
            </w:pPr>
          </w:p>
          <w:p>
            <w:pPr>
              <w:rPr>
                <w:sz w:val="24"/>
              </w:rPr>
            </w:pPr>
          </w:p>
          <w:p>
            <w:pPr>
              <w:rPr>
                <w:sz w:val="24"/>
              </w:rPr>
            </w:pPr>
          </w:p>
          <w:p>
            <w:pPr>
              <w:rPr>
                <w:sz w:val="24"/>
              </w:rPr>
            </w:pPr>
          </w:p>
          <w:p>
            <w:pPr>
              <w:rPr>
                <w:sz w:val="24"/>
              </w:rPr>
            </w:pPr>
          </w:p>
          <w:p>
            <w:pPr>
              <w:rPr>
                <w:sz w:val="24"/>
              </w:rPr>
            </w:pPr>
          </w:p>
          <w:p>
            <w:pPr>
              <w:rPr>
                <w:sz w:val="24"/>
              </w:rPr>
            </w:pPr>
          </w:p>
          <w:p>
            <w:pPr>
              <w:rPr>
                <w:sz w:val="24"/>
              </w:rPr>
            </w:pPr>
          </w:p>
          <w:p>
            <w:pPr>
              <w:rPr>
                <w:sz w:val="24"/>
              </w:rPr>
            </w:pPr>
          </w:p>
          <w:p>
            <w:pPr>
              <w:rPr>
                <w:sz w:val="24"/>
              </w:rPr>
            </w:pPr>
          </w:p>
          <w:p>
            <w:pPr>
              <w:rPr>
                <w:sz w:val="24"/>
              </w:rPr>
            </w:pPr>
          </w:p>
          <w:p>
            <w:pPr>
              <w:rPr>
                <w:sz w:val="24"/>
              </w:rPr>
            </w:pPr>
          </w:p>
          <w:p>
            <w:pPr>
              <w:rPr>
                <w:sz w:val="24"/>
              </w:rPr>
            </w:pPr>
          </w:p>
          <w:p>
            <w:pPr>
              <w:rPr>
                <w:sz w:val="24"/>
              </w:rPr>
            </w:pPr>
          </w:p>
          <w:p>
            <w:pPr>
              <w:rPr>
                <w:sz w:val="24"/>
              </w:rPr>
            </w:pPr>
          </w:p>
          <w:p>
            <w:pPr>
              <w:rPr>
                <w:sz w:val="24"/>
              </w:rPr>
            </w:pPr>
          </w:p>
          <w:p>
            <w:pPr>
              <w:rPr>
                <w:sz w:val="24"/>
              </w:rPr>
            </w:pPr>
          </w:p>
          <w:p>
            <w:pPr>
              <w:rPr>
                <w:sz w:val="24"/>
              </w:rPr>
            </w:pPr>
            <w:r>
              <w:rPr>
                <w:sz w:val="24"/>
              </w:rPr>
              <w:t xml:space="preserve">                                                   公  章</w:t>
            </w:r>
          </w:p>
          <w:p>
            <w:pPr>
              <w:rPr>
                <w:sz w:val="24"/>
              </w:rPr>
            </w:pPr>
          </w:p>
          <w:p>
            <w:pPr>
              <w:rPr>
                <w:sz w:val="24"/>
              </w:rPr>
            </w:pPr>
          </w:p>
          <w:p>
            <w:pPr>
              <w:rPr>
                <w:sz w:val="24"/>
              </w:rPr>
            </w:pPr>
            <w:r>
              <w:rPr>
                <w:sz w:val="24"/>
              </w:rPr>
              <w:t>经办：             签发：                        年   月   日</w:t>
            </w:r>
          </w:p>
          <w:p>
            <w:pPr>
              <w:rPr>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12" w:space="0"/>
          </w:tblBorders>
          <w:tblCellMar>
            <w:top w:w="0" w:type="dxa"/>
            <w:left w:w="108" w:type="dxa"/>
            <w:bottom w:w="0" w:type="dxa"/>
            <w:right w:w="108" w:type="dxa"/>
          </w:tblCellMar>
        </w:tblPrEx>
        <w:trPr>
          <w:trHeight w:val="13519" w:hRule="atLeast"/>
          <w:jc w:val="center"/>
        </w:trPr>
        <w:tc>
          <w:tcPr>
            <w:tcW w:w="8533" w:type="dxa"/>
            <w:gridSpan w:val="2"/>
            <w:tcBorders>
              <w:top w:val="single" w:color="auto" w:sz="12" w:space="0"/>
            </w:tcBorders>
          </w:tcPr>
          <w:p>
            <w:pPr>
              <w:jc w:val="center"/>
              <w:rPr>
                <w:b/>
                <w:sz w:val="24"/>
              </w:rPr>
            </w:pPr>
            <w:r>
              <w:rPr>
                <w:b/>
                <w:bCs/>
                <w:sz w:val="28"/>
                <w:szCs w:val="28"/>
              </w:rPr>
              <w:t>注       释</w:t>
            </w:r>
          </w:p>
          <w:p>
            <w:pPr>
              <w:adjustRightInd w:val="0"/>
              <w:snapToGrid w:val="0"/>
              <w:spacing w:line="360" w:lineRule="auto"/>
              <w:ind w:firstLine="720" w:firstLineChars="300"/>
              <w:rPr>
                <w:sz w:val="24"/>
                <w:szCs w:val="24"/>
              </w:rPr>
            </w:pPr>
            <w:r>
              <w:rPr>
                <w:sz w:val="24"/>
                <w:szCs w:val="24"/>
              </w:rPr>
              <w:t>本报告表应附以下附件、附图：</w:t>
            </w:r>
          </w:p>
          <w:p>
            <w:pPr>
              <w:adjustRightInd w:val="0"/>
              <w:snapToGrid w:val="0"/>
              <w:spacing w:line="360" w:lineRule="auto"/>
              <w:ind w:firstLine="720" w:firstLineChars="300"/>
              <w:rPr>
                <w:sz w:val="24"/>
                <w:szCs w:val="24"/>
              </w:rPr>
            </w:pPr>
            <w:r>
              <w:rPr>
                <w:sz w:val="24"/>
                <w:szCs w:val="24"/>
              </w:rPr>
              <w:t xml:space="preserve">附图1   </w:t>
            </w:r>
            <w:r>
              <w:rPr>
                <w:rFonts w:hint="eastAsia"/>
                <w:sz w:val="24"/>
                <w:szCs w:val="24"/>
              </w:rPr>
              <w:t>建设</w:t>
            </w:r>
            <w:r>
              <w:rPr>
                <w:sz w:val="24"/>
                <w:szCs w:val="24"/>
              </w:rPr>
              <w:t>项目地理位置图</w:t>
            </w:r>
          </w:p>
          <w:p>
            <w:pPr>
              <w:adjustRightInd w:val="0"/>
              <w:snapToGrid w:val="0"/>
              <w:spacing w:line="360" w:lineRule="auto"/>
              <w:ind w:firstLine="720" w:firstLineChars="300"/>
              <w:rPr>
                <w:sz w:val="24"/>
                <w:szCs w:val="24"/>
              </w:rPr>
            </w:pPr>
            <w:r>
              <w:rPr>
                <w:sz w:val="24"/>
                <w:szCs w:val="24"/>
              </w:rPr>
              <w:t>附图</w:t>
            </w:r>
            <w:r>
              <w:rPr>
                <w:rFonts w:hint="eastAsia"/>
                <w:sz w:val="24"/>
                <w:szCs w:val="24"/>
              </w:rPr>
              <w:t>2</w:t>
            </w:r>
            <w:r>
              <w:rPr>
                <w:sz w:val="24"/>
                <w:szCs w:val="24"/>
              </w:rPr>
              <w:t xml:space="preserve">   </w:t>
            </w:r>
            <w:r>
              <w:rPr>
                <w:rFonts w:hint="eastAsia"/>
                <w:sz w:val="24"/>
                <w:szCs w:val="24"/>
              </w:rPr>
              <w:t>建设</w:t>
            </w:r>
            <w:r>
              <w:rPr>
                <w:sz w:val="24"/>
                <w:szCs w:val="24"/>
              </w:rPr>
              <w:t>项目周边</w:t>
            </w:r>
            <w:r>
              <w:rPr>
                <w:rFonts w:hint="eastAsia"/>
                <w:sz w:val="24"/>
                <w:szCs w:val="24"/>
              </w:rPr>
              <w:t>环境</w:t>
            </w:r>
            <w:r>
              <w:rPr>
                <w:sz w:val="24"/>
                <w:szCs w:val="24"/>
              </w:rPr>
              <w:t>概况图</w:t>
            </w:r>
          </w:p>
          <w:p>
            <w:pPr>
              <w:adjustRightInd w:val="0"/>
              <w:snapToGrid w:val="0"/>
              <w:spacing w:line="360" w:lineRule="auto"/>
              <w:ind w:firstLine="720" w:firstLineChars="300"/>
              <w:rPr>
                <w:sz w:val="24"/>
                <w:szCs w:val="24"/>
              </w:rPr>
            </w:pPr>
            <w:r>
              <w:rPr>
                <w:sz w:val="24"/>
                <w:szCs w:val="24"/>
              </w:rPr>
              <w:t>附图</w:t>
            </w:r>
            <w:r>
              <w:rPr>
                <w:rFonts w:hint="eastAsia"/>
                <w:sz w:val="24"/>
                <w:szCs w:val="24"/>
              </w:rPr>
              <w:t>3</w:t>
            </w:r>
            <w:r>
              <w:rPr>
                <w:sz w:val="24"/>
                <w:szCs w:val="24"/>
              </w:rPr>
              <w:t xml:space="preserve">   </w:t>
            </w:r>
            <w:r>
              <w:rPr>
                <w:rFonts w:hint="eastAsia"/>
                <w:sz w:val="24"/>
                <w:szCs w:val="24"/>
              </w:rPr>
              <w:t>建设</w:t>
            </w:r>
            <w:r>
              <w:rPr>
                <w:sz w:val="24"/>
                <w:szCs w:val="24"/>
              </w:rPr>
              <w:t>项目</w:t>
            </w:r>
            <w:r>
              <w:rPr>
                <w:rFonts w:hint="eastAsia"/>
                <w:sz w:val="24"/>
                <w:szCs w:val="24"/>
              </w:rPr>
              <w:t>厂区布置图</w:t>
            </w:r>
          </w:p>
          <w:p>
            <w:pPr>
              <w:adjustRightInd w:val="0"/>
              <w:snapToGrid w:val="0"/>
              <w:spacing w:line="360" w:lineRule="auto"/>
              <w:ind w:firstLine="720" w:firstLineChars="300"/>
              <w:rPr>
                <w:sz w:val="24"/>
                <w:szCs w:val="24"/>
              </w:rPr>
            </w:pPr>
            <w:r>
              <w:rPr>
                <w:sz w:val="24"/>
                <w:szCs w:val="24"/>
              </w:rPr>
              <w:t xml:space="preserve">附图4   </w:t>
            </w:r>
            <w:r>
              <w:rPr>
                <w:rFonts w:hint="eastAsia"/>
                <w:sz w:val="24"/>
                <w:szCs w:val="24"/>
              </w:rPr>
              <w:t>项目生产车间平面布置图</w:t>
            </w:r>
          </w:p>
          <w:p>
            <w:pPr>
              <w:adjustRightInd w:val="0"/>
              <w:snapToGrid w:val="0"/>
              <w:spacing w:line="360" w:lineRule="auto"/>
              <w:ind w:firstLine="720" w:firstLineChars="300"/>
              <w:rPr>
                <w:sz w:val="24"/>
                <w:szCs w:val="24"/>
              </w:rPr>
            </w:pPr>
            <w:r>
              <w:rPr>
                <w:sz w:val="24"/>
                <w:szCs w:val="24"/>
              </w:rPr>
              <w:t xml:space="preserve">附图5   </w:t>
            </w:r>
            <w:r>
              <w:rPr>
                <w:rFonts w:hint="eastAsia"/>
                <w:sz w:val="24"/>
                <w:szCs w:val="24"/>
              </w:rPr>
              <w:t>项目于生态红线位置关系图</w:t>
            </w:r>
          </w:p>
          <w:p>
            <w:pPr>
              <w:adjustRightInd w:val="0"/>
              <w:snapToGrid w:val="0"/>
              <w:spacing w:line="360" w:lineRule="auto"/>
              <w:ind w:firstLine="720" w:firstLineChars="300"/>
              <w:rPr>
                <w:sz w:val="24"/>
                <w:szCs w:val="24"/>
              </w:rPr>
            </w:pPr>
            <w:r>
              <w:rPr>
                <w:sz w:val="24"/>
                <w:szCs w:val="24"/>
              </w:rPr>
              <w:t>附图6   金坛</w:t>
            </w:r>
            <w:r>
              <w:rPr>
                <w:rFonts w:hint="eastAsia"/>
                <w:sz w:val="24"/>
                <w:szCs w:val="24"/>
              </w:rPr>
              <w:t>经济开发区土地利用规划图</w:t>
            </w:r>
          </w:p>
          <w:p>
            <w:pPr>
              <w:adjustRightInd w:val="0"/>
              <w:snapToGrid w:val="0"/>
              <w:spacing w:line="360" w:lineRule="auto"/>
              <w:ind w:firstLine="720" w:firstLineChars="300"/>
              <w:rPr>
                <w:sz w:val="24"/>
                <w:szCs w:val="24"/>
              </w:rPr>
            </w:pPr>
            <w:r>
              <w:rPr>
                <w:rFonts w:hint="eastAsia"/>
                <w:sz w:val="24"/>
                <w:szCs w:val="24"/>
              </w:rPr>
              <w:t>附图7   金坛区声功能区划图</w:t>
            </w:r>
          </w:p>
          <w:p>
            <w:pPr>
              <w:adjustRightInd w:val="0"/>
              <w:snapToGrid w:val="0"/>
              <w:spacing w:line="360" w:lineRule="auto"/>
              <w:ind w:firstLine="720" w:firstLineChars="300"/>
              <w:rPr>
                <w:sz w:val="24"/>
                <w:szCs w:val="24"/>
              </w:rPr>
            </w:pPr>
            <w:r>
              <w:rPr>
                <w:rFonts w:hint="eastAsia"/>
                <w:sz w:val="24"/>
                <w:szCs w:val="24"/>
              </w:rPr>
              <w:t>附图8   项目所在区域污水管网布置图</w:t>
            </w:r>
          </w:p>
          <w:p>
            <w:pPr>
              <w:adjustRightInd w:val="0"/>
              <w:snapToGrid w:val="0"/>
              <w:spacing w:line="360" w:lineRule="auto"/>
              <w:ind w:firstLine="720" w:firstLineChars="300"/>
              <w:rPr>
                <w:sz w:val="24"/>
                <w:szCs w:val="24"/>
              </w:rPr>
            </w:pPr>
            <w:r>
              <w:rPr>
                <w:rFonts w:hint="eastAsia"/>
                <w:sz w:val="24"/>
                <w:szCs w:val="24"/>
              </w:rPr>
              <w:t>附图9   项目所在区域水系图</w:t>
            </w:r>
          </w:p>
          <w:p>
            <w:pPr>
              <w:adjustRightInd w:val="0"/>
              <w:snapToGrid w:val="0"/>
              <w:spacing w:line="360" w:lineRule="auto"/>
              <w:ind w:firstLine="720" w:firstLineChars="300"/>
              <w:rPr>
                <w:sz w:val="24"/>
                <w:szCs w:val="24"/>
              </w:rPr>
            </w:pPr>
          </w:p>
          <w:p>
            <w:pPr>
              <w:adjustRightInd w:val="0"/>
              <w:snapToGrid w:val="0"/>
              <w:spacing w:line="360" w:lineRule="auto"/>
              <w:ind w:firstLine="720" w:firstLineChars="300"/>
              <w:rPr>
                <w:sz w:val="24"/>
                <w:szCs w:val="24"/>
              </w:rPr>
            </w:pPr>
            <w:r>
              <w:rPr>
                <w:sz w:val="24"/>
                <w:szCs w:val="24"/>
              </w:rPr>
              <w:t xml:space="preserve">附件一  </w:t>
            </w:r>
            <w:r>
              <w:rPr>
                <w:rFonts w:hint="eastAsia"/>
                <w:sz w:val="24"/>
                <w:szCs w:val="24"/>
                <w:lang w:eastAsia="zh-CN"/>
              </w:rPr>
              <w:t>金坛经济开发区</w:t>
            </w:r>
            <w:r>
              <w:rPr>
                <w:sz w:val="24"/>
                <w:szCs w:val="24"/>
              </w:rPr>
              <w:t>环评审查意见</w:t>
            </w:r>
          </w:p>
          <w:p>
            <w:pPr>
              <w:adjustRightInd w:val="0"/>
              <w:snapToGrid w:val="0"/>
              <w:spacing w:line="360" w:lineRule="auto"/>
              <w:ind w:firstLine="720" w:firstLineChars="300"/>
              <w:rPr>
                <w:sz w:val="24"/>
                <w:szCs w:val="24"/>
              </w:rPr>
            </w:pPr>
            <w:r>
              <w:rPr>
                <w:sz w:val="24"/>
                <w:szCs w:val="24"/>
              </w:rPr>
              <w:t>附件二  备案通知书</w:t>
            </w:r>
          </w:p>
          <w:p>
            <w:pPr>
              <w:adjustRightInd w:val="0"/>
              <w:snapToGrid w:val="0"/>
              <w:spacing w:line="360" w:lineRule="auto"/>
              <w:ind w:firstLine="720" w:firstLineChars="300"/>
              <w:rPr>
                <w:sz w:val="24"/>
                <w:szCs w:val="24"/>
              </w:rPr>
            </w:pPr>
            <w:r>
              <w:rPr>
                <w:sz w:val="24"/>
                <w:szCs w:val="24"/>
              </w:rPr>
              <w:t>附件三  营业执照</w:t>
            </w:r>
          </w:p>
          <w:p>
            <w:pPr>
              <w:adjustRightInd w:val="0"/>
              <w:snapToGrid w:val="0"/>
              <w:spacing w:line="360" w:lineRule="auto"/>
              <w:ind w:firstLine="720" w:firstLineChars="300"/>
              <w:rPr>
                <w:sz w:val="24"/>
                <w:szCs w:val="24"/>
              </w:rPr>
            </w:pPr>
            <w:r>
              <w:rPr>
                <w:sz w:val="24"/>
                <w:szCs w:val="24"/>
              </w:rPr>
              <w:t xml:space="preserve">附件四  </w:t>
            </w:r>
            <w:r>
              <w:rPr>
                <w:rFonts w:hint="eastAsia"/>
                <w:sz w:val="24"/>
                <w:szCs w:val="24"/>
              </w:rPr>
              <w:t>法人身份证</w:t>
            </w:r>
          </w:p>
          <w:p>
            <w:pPr>
              <w:adjustRightInd w:val="0"/>
              <w:snapToGrid w:val="0"/>
              <w:spacing w:line="360" w:lineRule="auto"/>
              <w:ind w:firstLine="720" w:firstLineChars="300"/>
              <w:rPr>
                <w:rFonts w:hint="eastAsia" w:eastAsia="宋体"/>
                <w:sz w:val="24"/>
                <w:szCs w:val="24"/>
                <w:lang w:eastAsia="zh-CN"/>
              </w:rPr>
            </w:pPr>
            <w:r>
              <w:rPr>
                <w:sz w:val="24"/>
                <w:szCs w:val="24"/>
              </w:rPr>
              <w:t>附件</w:t>
            </w:r>
            <w:r>
              <w:rPr>
                <w:rFonts w:hint="eastAsia"/>
                <w:sz w:val="24"/>
                <w:szCs w:val="24"/>
              </w:rPr>
              <w:t>五</w:t>
            </w:r>
            <w:r>
              <w:rPr>
                <w:sz w:val="24"/>
                <w:szCs w:val="24"/>
              </w:rPr>
              <w:t xml:space="preserve"> </w:t>
            </w:r>
            <w:r>
              <w:rPr>
                <w:rFonts w:hint="eastAsia"/>
                <w:sz w:val="24"/>
                <w:szCs w:val="24"/>
              </w:rPr>
              <w:t xml:space="preserve"> </w:t>
            </w:r>
            <w:r>
              <w:rPr>
                <w:rFonts w:hint="eastAsia"/>
                <w:sz w:val="24"/>
                <w:szCs w:val="24"/>
                <w:lang w:eastAsia="zh-CN"/>
              </w:rPr>
              <w:t>租房合同</w:t>
            </w:r>
          </w:p>
          <w:p>
            <w:pPr>
              <w:adjustRightInd w:val="0"/>
              <w:snapToGrid w:val="0"/>
              <w:spacing w:line="360" w:lineRule="auto"/>
              <w:ind w:firstLine="720" w:firstLineChars="300"/>
              <w:rPr>
                <w:rFonts w:hint="eastAsia" w:eastAsia="宋体"/>
                <w:sz w:val="24"/>
                <w:szCs w:val="24"/>
                <w:lang w:eastAsia="zh-CN"/>
              </w:rPr>
            </w:pPr>
            <w:r>
              <w:rPr>
                <w:sz w:val="24"/>
                <w:szCs w:val="24"/>
              </w:rPr>
              <w:t>附件</w:t>
            </w:r>
            <w:r>
              <w:rPr>
                <w:rFonts w:hint="eastAsia"/>
                <w:sz w:val="24"/>
                <w:szCs w:val="24"/>
              </w:rPr>
              <w:t>六</w:t>
            </w:r>
            <w:r>
              <w:rPr>
                <w:sz w:val="24"/>
                <w:szCs w:val="24"/>
              </w:rPr>
              <w:t xml:space="preserve"> </w:t>
            </w:r>
            <w:r>
              <w:rPr>
                <w:rFonts w:hint="eastAsia"/>
                <w:sz w:val="24"/>
                <w:szCs w:val="24"/>
              </w:rPr>
              <w:t xml:space="preserve"> </w:t>
            </w:r>
            <w:r>
              <w:rPr>
                <w:rFonts w:hint="eastAsia"/>
                <w:sz w:val="24"/>
                <w:szCs w:val="24"/>
                <w:lang w:eastAsia="zh-CN"/>
              </w:rPr>
              <w:t>房东环评手续</w:t>
            </w:r>
          </w:p>
          <w:p>
            <w:pPr>
              <w:adjustRightInd w:val="0"/>
              <w:snapToGrid w:val="0"/>
              <w:spacing w:line="360" w:lineRule="auto"/>
              <w:ind w:firstLine="720" w:firstLineChars="300"/>
              <w:rPr>
                <w:sz w:val="24"/>
                <w:szCs w:val="24"/>
              </w:rPr>
            </w:pPr>
            <w:r>
              <w:rPr>
                <w:sz w:val="24"/>
                <w:szCs w:val="24"/>
              </w:rPr>
              <w:t>附件</w:t>
            </w:r>
            <w:r>
              <w:rPr>
                <w:rFonts w:hint="eastAsia"/>
                <w:sz w:val="24"/>
                <w:szCs w:val="24"/>
              </w:rPr>
              <w:t>七</w:t>
            </w:r>
            <w:r>
              <w:rPr>
                <w:sz w:val="24"/>
                <w:szCs w:val="24"/>
              </w:rPr>
              <w:t xml:space="preserve"> </w:t>
            </w:r>
            <w:r>
              <w:rPr>
                <w:rFonts w:hint="eastAsia"/>
                <w:sz w:val="24"/>
                <w:szCs w:val="24"/>
              </w:rPr>
              <w:t xml:space="preserve"> </w:t>
            </w:r>
            <w:r>
              <w:rPr>
                <w:sz w:val="24"/>
                <w:szCs w:val="24"/>
              </w:rPr>
              <w:t>环评</w:t>
            </w:r>
            <w:r>
              <w:rPr>
                <w:rFonts w:hint="eastAsia"/>
                <w:sz w:val="24"/>
                <w:szCs w:val="24"/>
              </w:rPr>
              <w:t>技术合同</w:t>
            </w:r>
          </w:p>
          <w:p>
            <w:pPr>
              <w:adjustRightInd w:val="0"/>
              <w:snapToGrid w:val="0"/>
              <w:spacing w:line="360" w:lineRule="auto"/>
              <w:ind w:firstLine="720" w:firstLineChars="300"/>
              <w:rPr>
                <w:sz w:val="24"/>
                <w:szCs w:val="24"/>
              </w:rPr>
            </w:pPr>
            <w:r>
              <w:rPr>
                <w:sz w:val="24"/>
                <w:szCs w:val="24"/>
              </w:rPr>
              <w:t>附件</w:t>
            </w:r>
            <w:r>
              <w:rPr>
                <w:rFonts w:hint="eastAsia"/>
                <w:sz w:val="24"/>
                <w:szCs w:val="24"/>
              </w:rPr>
              <w:t>八</w:t>
            </w:r>
            <w:r>
              <w:rPr>
                <w:sz w:val="24"/>
                <w:szCs w:val="24"/>
              </w:rPr>
              <w:t xml:space="preserve">  </w:t>
            </w:r>
            <w:r>
              <w:rPr>
                <w:rFonts w:hint="eastAsia"/>
                <w:sz w:val="24"/>
                <w:szCs w:val="24"/>
              </w:rPr>
              <w:t>工程师看现场图</w:t>
            </w:r>
          </w:p>
          <w:p>
            <w:pPr>
              <w:adjustRightInd w:val="0"/>
              <w:snapToGrid w:val="0"/>
              <w:spacing w:line="360" w:lineRule="auto"/>
              <w:ind w:firstLine="720" w:firstLineChars="300"/>
              <w:rPr>
                <w:sz w:val="24"/>
                <w:szCs w:val="24"/>
              </w:rPr>
            </w:pPr>
            <w:r>
              <w:rPr>
                <w:sz w:val="24"/>
                <w:szCs w:val="24"/>
              </w:rPr>
              <w:t>附件</w:t>
            </w:r>
            <w:r>
              <w:rPr>
                <w:rFonts w:hint="eastAsia"/>
                <w:sz w:val="24"/>
                <w:szCs w:val="24"/>
              </w:rPr>
              <w:t>九</w:t>
            </w:r>
            <w:r>
              <w:rPr>
                <w:sz w:val="24"/>
                <w:szCs w:val="24"/>
              </w:rPr>
              <w:t xml:space="preserve"> </w:t>
            </w:r>
            <w:r>
              <w:rPr>
                <w:rFonts w:hint="eastAsia"/>
                <w:sz w:val="24"/>
                <w:szCs w:val="24"/>
              </w:rPr>
              <w:t xml:space="preserve"> 监测报告</w:t>
            </w:r>
          </w:p>
          <w:p>
            <w:pPr>
              <w:adjustRightInd w:val="0"/>
              <w:snapToGrid w:val="0"/>
              <w:spacing w:line="360" w:lineRule="auto"/>
              <w:ind w:firstLine="720" w:firstLineChars="300"/>
              <w:rPr>
                <w:sz w:val="24"/>
                <w:szCs w:val="24"/>
              </w:rPr>
            </w:pPr>
            <w:r>
              <w:rPr>
                <w:sz w:val="24"/>
                <w:szCs w:val="24"/>
              </w:rPr>
              <w:t xml:space="preserve">附件十 </w:t>
            </w:r>
            <w:r>
              <w:rPr>
                <w:rFonts w:hint="eastAsia"/>
                <w:sz w:val="24"/>
                <w:szCs w:val="24"/>
              </w:rPr>
              <w:t xml:space="preserve"> 监测数据引用说明</w:t>
            </w:r>
          </w:p>
          <w:p>
            <w:pPr>
              <w:adjustRightInd w:val="0"/>
              <w:snapToGrid w:val="0"/>
              <w:spacing w:line="360" w:lineRule="auto"/>
              <w:ind w:firstLine="720" w:firstLineChars="300"/>
              <w:rPr>
                <w:sz w:val="24"/>
                <w:szCs w:val="24"/>
              </w:rPr>
            </w:pPr>
            <w:r>
              <w:rPr>
                <w:sz w:val="24"/>
                <w:szCs w:val="24"/>
              </w:rPr>
              <w:t>附件十</w:t>
            </w:r>
            <w:r>
              <w:rPr>
                <w:rFonts w:hint="eastAsia"/>
                <w:sz w:val="24"/>
                <w:szCs w:val="24"/>
              </w:rPr>
              <w:t>一</w:t>
            </w:r>
            <w:r>
              <w:rPr>
                <w:sz w:val="24"/>
                <w:szCs w:val="24"/>
              </w:rPr>
              <w:t xml:space="preserve"> </w:t>
            </w:r>
            <w:r>
              <w:rPr>
                <w:rFonts w:hint="eastAsia"/>
                <w:sz w:val="24"/>
                <w:szCs w:val="24"/>
              </w:rPr>
              <w:t>监测报告公示</w:t>
            </w:r>
          </w:p>
          <w:p>
            <w:pPr>
              <w:adjustRightInd w:val="0"/>
              <w:snapToGrid w:val="0"/>
              <w:spacing w:line="360" w:lineRule="auto"/>
              <w:ind w:firstLine="720" w:firstLineChars="300"/>
              <w:rPr>
                <w:sz w:val="24"/>
                <w:szCs w:val="24"/>
              </w:rPr>
            </w:pPr>
            <w:r>
              <w:rPr>
                <w:sz w:val="24"/>
                <w:szCs w:val="24"/>
              </w:rPr>
              <w:t>附件十</w:t>
            </w:r>
            <w:r>
              <w:rPr>
                <w:rFonts w:hint="eastAsia"/>
                <w:sz w:val="24"/>
                <w:szCs w:val="24"/>
              </w:rPr>
              <w:t xml:space="preserve">二 </w:t>
            </w:r>
            <w:r>
              <w:rPr>
                <w:sz w:val="24"/>
                <w:szCs w:val="24"/>
              </w:rPr>
              <w:t>环评公示</w:t>
            </w:r>
          </w:p>
          <w:p>
            <w:pPr>
              <w:adjustRightInd w:val="0"/>
              <w:snapToGrid w:val="0"/>
              <w:spacing w:line="360" w:lineRule="auto"/>
              <w:ind w:firstLine="720" w:firstLineChars="300"/>
              <w:rPr>
                <w:sz w:val="24"/>
                <w:szCs w:val="24"/>
              </w:rPr>
            </w:pPr>
            <w:r>
              <w:rPr>
                <w:sz w:val="24"/>
                <w:szCs w:val="24"/>
              </w:rPr>
              <w:t>附件十</w:t>
            </w:r>
            <w:r>
              <w:rPr>
                <w:rFonts w:hint="eastAsia"/>
                <w:sz w:val="24"/>
                <w:szCs w:val="24"/>
              </w:rPr>
              <w:t>三</w:t>
            </w:r>
            <w:r>
              <w:rPr>
                <w:sz w:val="24"/>
                <w:szCs w:val="24"/>
              </w:rPr>
              <w:t xml:space="preserve"> 环评委托书</w:t>
            </w:r>
          </w:p>
          <w:p>
            <w:pPr>
              <w:adjustRightInd w:val="0"/>
              <w:snapToGrid w:val="0"/>
              <w:spacing w:line="360" w:lineRule="auto"/>
              <w:ind w:firstLine="720" w:firstLineChars="300"/>
              <w:rPr>
                <w:sz w:val="24"/>
                <w:szCs w:val="24"/>
              </w:rPr>
            </w:pPr>
            <w:r>
              <w:rPr>
                <w:rFonts w:hint="eastAsia"/>
                <w:bCs/>
                <w:sz w:val="24"/>
                <w:szCs w:val="24"/>
              </w:rPr>
              <w:t xml:space="preserve">附件十四 </w:t>
            </w:r>
            <w:r>
              <w:rPr>
                <w:sz w:val="24"/>
                <w:szCs w:val="24"/>
              </w:rPr>
              <w:t>建设单位承诺函</w:t>
            </w:r>
          </w:p>
          <w:p>
            <w:pPr>
              <w:adjustRightInd w:val="0"/>
              <w:snapToGrid w:val="0"/>
              <w:spacing w:line="360" w:lineRule="auto"/>
              <w:ind w:firstLine="720" w:firstLineChars="300"/>
              <w:rPr>
                <w:sz w:val="24"/>
                <w:szCs w:val="24"/>
              </w:rPr>
            </w:pPr>
            <w:r>
              <w:rPr>
                <w:rFonts w:hint="eastAsia"/>
                <w:sz w:val="24"/>
                <w:szCs w:val="24"/>
              </w:rPr>
              <w:t xml:space="preserve">附件十五 </w:t>
            </w:r>
            <w:r>
              <w:rPr>
                <w:sz w:val="24"/>
                <w:szCs w:val="24"/>
              </w:rPr>
              <w:t>建设单位环评单位承诺函</w:t>
            </w:r>
          </w:p>
          <w:p>
            <w:pPr>
              <w:adjustRightInd w:val="0"/>
              <w:snapToGrid w:val="0"/>
              <w:spacing w:line="360" w:lineRule="auto"/>
              <w:ind w:firstLine="720" w:firstLineChars="300"/>
              <w:rPr>
                <w:sz w:val="24"/>
                <w:szCs w:val="24"/>
              </w:rPr>
            </w:pPr>
            <w:r>
              <w:rPr>
                <w:rFonts w:hint="eastAsia"/>
                <w:sz w:val="24"/>
                <w:szCs w:val="24"/>
              </w:rPr>
              <w:t xml:space="preserve">附件十六 </w:t>
            </w:r>
            <w:r>
              <w:rPr>
                <w:sz w:val="24"/>
                <w:szCs w:val="24"/>
              </w:rPr>
              <w:t>声明确认单</w:t>
            </w:r>
          </w:p>
          <w:p>
            <w:pPr>
              <w:adjustRightInd w:val="0"/>
              <w:snapToGrid w:val="0"/>
              <w:spacing w:line="360" w:lineRule="auto"/>
              <w:ind w:firstLine="720" w:firstLineChars="300"/>
              <w:rPr>
                <w:sz w:val="24"/>
                <w:szCs w:val="24"/>
              </w:rPr>
            </w:pPr>
            <w:r>
              <w:rPr>
                <w:rFonts w:hint="eastAsia"/>
                <w:sz w:val="24"/>
                <w:szCs w:val="24"/>
              </w:rPr>
              <w:t>附件十七 危险废物承诺书</w:t>
            </w:r>
          </w:p>
          <w:p>
            <w:pPr>
              <w:adjustRightInd w:val="0"/>
              <w:snapToGrid w:val="0"/>
              <w:spacing w:line="360" w:lineRule="auto"/>
              <w:ind w:firstLine="720" w:firstLineChars="300"/>
              <w:rPr>
                <w:sz w:val="24"/>
                <w:szCs w:val="24"/>
              </w:rPr>
            </w:pPr>
            <w:r>
              <w:rPr>
                <w:sz w:val="24"/>
                <w:szCs w:val="24"/>
              </w:rPr>
              <w:t>如果本报告表不能说明项目产生的污染及对环境造成的影响，应进行专项评价。根据建设项目的特点和当地环境特征，应选下列1~2项进行专项评价。</w:t>
            </w:r>
          </w:p>
          <w:p>
            <w:pPr>
              <w:adjustRightInd w:val="0"/>
              <w:snapToGrid w:val="0"/>
              <w:spacing w:line="360" w:lineRule="auto"/>
              <w:ind w:firstLine="720" w:firstLineChars="300"/>
              <w:rPr>
                <w:sz w:val="24"/>
                <w:szCs w:val="24"/>
              </w:rPr>
            </w:pPr>
            <w:r>
              <w:rPr>
                <w:rFonts w:hint="eastAsia"/>
                <w:sz w:val="24"/>
                <w:szCs w:val="24"/>
              </w:rPr>
              <w:t>1、</w:t>
            </w:r>
            <w:r>
              <w:rPr>
                <w:sz w:val="24"/>
                <w:szCs w:val="24"/>
              </w:rPr>
              <w:t>水环境影响专项评价</w:t>
            </w:r>
          </w:p>
          <w:p>
            <w:pPr>
              <w:adjustRightInd w:val="0"/>
              <w:snapToGrid w:val="0"/>
              <w:spacing w:line="360" w:lineRule="auto"/>
              <w:ind w:firstLine="720" w:firstLineChars="300"/>
              <w:rPr>
                <w:sz w:val="24"/>
                <w:szCs w:val="24"/>
              </w:rPr>
            </w:pPr>
            <w:r>
              <w:rPr>
                <w:rFonts w:hint="eastAsia"/>
                <w:sz w:val="24"/>
                <w:szCs w:val="24"/>
              </w:rPr>
              <w:t>2、</w:t>
            </w:r>
            <w:r>
              <w:rPr>
                <w:sz w:val="24"/>
                <w:szCs w:val="24"/>
              </w:rPr>
              <w:t>生态环境影响专项评价</w:t>
            </w:r>
          </w:p>
          <w:p>
            <w:pPr>
              <w:adjustRightInd w:val="0"/>
              <w:snapToGrid w:val="0"/>
              <w:spacing w:line="360" w:lineRule="auto"/>
              <w:ind w:firstLine="720" w:firstLineChars="300"/>
              <w:rPr>
                <w:sz w:val="24"/>
                <w:szCs w:val="24"/>
              </w:rPr>
            </w:pPr>
            <w:r>
              <w:rPr>
                <w:rFonts w:hint="eastAsia"/>
                <w:sz w:val="24"/>
                <w:szCs w:val="24"/>
              </w:rPr>
              <w:t>3、</w:t>
            </w:r>
            <w:r>
              <w:rPr>
                <w:sz w:val="24"/>
                <w:szCs w:val="24"/>
              </w:rPr>
              <w:t>声影响专项评价</w:t>
            </w:r>
          </w:p>
          <w:p>
            <w:pPr>
              <w:adjustRightInd w:val="0"/>
              <w:snapToGrid w:val="0"/>
              <w:spacing w:line="360" w:lineRule="auto"/>
              <w:ind w:firstLine="720" w:firstLineChars="300"/>
              <w:rPr>
                <w:sz w:val="24"/>
                <w:szCs w:val="24"/>
              </w:rPr>
            </w:pPr>
            <w:r>
              <w:rPr>
                <w:rFonts w:hint="eastAsia"/>
                <w:sz w:val="24"/>
                <w:szCs w:val="24"/>
              </w:rPr>
              <w:t>4、</w:t>
            </w:r>
            <w:r>
              <w:rPr>
                <w:sz w:val="24"/>
                <w:szCs w:val="24"/>
              </w:rPr>
              <w:t>固体废弃物影响专项评价</w:t>
            </w:r>
          </w:p>
          <w:p>
            <w:pPr>
              <w:adjustRightInd w:val="0"/>
              <w:snapToGrid w:val="0"/>
              <w:spacing w:line="360" w:lineRule="auto"/>
              <w:ind w:firstLine="480" w:firstLineChars="200"/>
            </w:pPr>
            <w:r>
              <w:rPr>
                <w:sz w:val="24"/>
                <w:szCs w:val="24"/>
              </w:rPr>
              <w:t>以上专项评价未包括的可另列专项，专项评价按照《环境影响评价技术导则》中的要求进行。</w:t>
            </w:r>
          </w:p>
        </w:tc>
      </w:tr>
    </w:tbl>
    <w:p/>
    <w:sectPr>
      <w:pgSz w:w="11906" w:h="16838"/>
      <w:pgMar w:top="1440" w:right="1797" w:bottom="1440" w:left="1797" w:header="851" w:footer="992" w:gutter="0"/>
      <w:pgBorders>
        <w:top w:val="none" w:sz="0" w:space="0"/>
        <w:left w:val="none" w:sz="0" w:space="0"/>
        <w:bottom w:val="none" w:sz="0" w:space="0"/>
        <w:right w:val="none" w:sz="0" w:space="0"/>
      </w:pgBorders>
      <w:cols w:space="720"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auto"/>
    <w:pitch w:val="default"/>
    <w:sig w:usb0="E0002AFF" w:usb1="C0007841" w:usb2="00000009" w:usb3="00000000" w:csb0="400001FF" w:csb1="FFFF0000"/>
  </w:font>
  <w:font w:name="宋体">
    <w:panose1 w:val="02010600030101010101"/>
    <w:charset w:val="88"/>
    <w:family w:val="script"/>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华文宋体">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幼圆">
    <w:panose1 w:val="02010509060101010101"/>
    <w:charset w:val="86"/>
    <w:family w:val="modern"/>
    <w:pitch w:val="default"/>
    <w:sig w:usb0="00000001" w:usb1="080E0000" w:usb2="00000000" w:usb3="00000000" w:csb0="00040000" w:csb1="00000000"/>
  </w:font>
  <w:font w:name="_x000B__x000C_">
    <w:altName w:val="Times New Roman"/>
    <w:panose1 w:val="00000000000000000000"/>
    <w:charset w:val="00"/>
    <w:family w:val="roman"/>
    <w:pitch w:val="default"/>
    <w:sig w:usb0="00000000" w:usb1="00000000" w:usb2="00000000" w:usb3="00000000" w:csb0="00040001" w:csb1="00000000"/>
  </w:font>
  <w:font w:name="serif">
    <w:altName w:val="AMGDT"/>
    <w:panose1 w:val="00000000000000000000"/>
    <w:charset w:val="00"/>
    <w:family w:val="auto"/>
    <w:pitch w:val="default"/>
    <w:sig w:usb0="00000000" w:usb1="00000000" w:usb2="00000000" w:usb3="00000000" w:csb0="00000000" w:csb1="00000000"/>
  </w:font>
  <w:font w:name="Cambria">
    <w:panose1 w:val="02040503050406030204"/>
    <w:charset w:val="00"/>
    <w:family w:val="roman"/>
    <w:pitch w:val="default"/>
    <w:sig w:usb0="E00002FF" w:usb1="400004FF" w:usb2="00000000" w:usb3="00000000" w:csb0="2000019F" w:csb1="00000000"/>
  </w:font>
  <w:font w:name="楷体_GB2312">
    <w:altName w:val="楷体"/>
    <w:panose1 w:val="00000000000000000000"/>
    <w:charset w:val="86"/>
    <w:family w:val="modern"/>
    <w:pitch w:val="default"/>
    <w:sig w:usb0="00000000" w:usb1="00000000" w:usb2="00000010" w:usb3="00000000" w:csb0="00040000" w:csb1="00000000"/>
  </w:font>
  <w:font w:name="Arial Unicode MS">
    <w:panose1 w:val="020B0604020202020204"/>
    <w:charset w:val="86"/>
    <w:family w:val="swiss"/>
    <w:pitch w:val="default"/>
    <w:sig w:usb0="FFFFFFFF" w:usb1="E9FFFFFF" w:usb2="0000003F" w:usb3="00000000" w:csb0="603F01FF" w:csb1="FFFF0000"/>
  </w:font>
  <w:font w:name="Arial Black">
    <w:panose1 w:val="020B0A04020102020204"/>
    <w:charset w:val="00"/>
    <w:family w:val="swiss"/>
    <w:pitch w:val="default"/>
    <w:sig w:usb0="00000287" w:usb1="00000000" w:usb2="00000000" w:usb3="00000000" w:csb0="2000009F" w:csb1="DFD70000"/>
  </w:font>
  <w:font w:name="华文细黑">
    <w:panose1 w:val="02010600040101010101"/>
    <w:charset w:val="86"/>
    <w:family w:val="auto"/>
    <w:pitch w:val="default"/>
    <w:sig w:usb0="00000287" w:usb1="080F0000" w:usb2="00000000" w:usb3="00000000" w:csb0="0004009F" w:csb1="DFD70000"/>
  </w:font>
  <w:font w:name="Sim Sun+ 2">
    <w:altName w:val="宋体"/>
    <w:panose1 w:val="00000000000000000000"/>
    <w:charset w:val="86"/>
    <w:family w:val="auto"/>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方正宋三简体">
    <w:altName w:val="宋体"/>
    <w:panose1 w:val="00000000000000000000"/>
    <w:charset w:val="86"/>
    <w:family w:val="auto"/>
    <w:pitch w:val="default"/>
    <w:sig w:usb0="00000000" w:usb1="00000000" w:usb2="00000000" w:usb3="00000000" w:csb0="00040000" w:csb1="00000000"/>
  </w:font>
  <w:font w:name="TimesNewRoman">
    <w:altName w:val="宋体"/>
    <w:panose1 w:val="00000000000000000000"/>
    <w:charset w:val="00"/>
    <w:family w:val="swiss"/>
    <w:pitch w:val="default"/>
    <w:sig w:usb0="00000000" w:usb1="00000000" w:usb2="00000010" w:usb3="00000000" w:csb0="00040001" w:csb1="00000000"/>
  </w:font>
  <w:font w:name="等线">
    <w:panose1 w:val="02010600030101010101"/>
    <w:charset w:val="86"/>
    <w:family w:val="auto"/>
    <w:pitch w:val="default"/>
    <w:sig w:usb0="A00002BF" w:usb1="38CF7CFA" w:usb2="00000016" w:usb3="00000000" w:csb0="0004000F" w:csb1="00000000"/>
  </w:font>
  <w:font w:name="ISOCTEUR">
    <w:panose1 w:val="020B0609020202020204"/>
    <w:charset w:val="00"/>
    <w:family w:val="modern"/>
    <w:pitch w:val="default"/>
    <w:sig w:usb0="00000287" w:usb1="00000000" w:usb2="00000000" w:usb3="00000000" w:csb0="4000009F" w:csb1="DFD70000"/>
  </w:font>
  <w:font w:name="Century">
    <w:panose1 w:val="02040604050505020304"/>
    <w:charset w:val="00"/>
    <w:family w:val="roman"/>
    <w:pitch w:val="default"/>
    <w:sig w:usb0="00000287" w:usb1="00000000" w:usb2="00000000" w:usb3="00000000" w:csb0="2000009F" w:csb1="DFD70000"/>
  </w:font>
  <w:font w:name="新宋体">
    <w:panose1 w:val="02010609030101010101"/>
    <w:charset w:val="86"/>
    <w:family w:val="modern"/>
    <w:pitch w:val="default"/>
    <w:sig w:usb0="00000003" w:usb1="288F0000" w:usb2="00000006" w:usb3="00000000" w:csb0="00040001" w:csb1="00000000"/>
  </w:font>
  <w:font w:name="Wingdings 2">
    <w:panose1 w:val="05020102010507070707"/>
    <w:charset w:val="02"/>
    <w:family w:val="roman"/>
    <w:pitch w:val="default"/>
    <w:sig w:usb0="00000000" w:usb1="00000000" w:usb2="00000000" w:usb3="00000000" w:csb0="80000000" w:csb1="00000000"/>
  </w:font>
  <w:font w:name="TimesNewRomanPSMT">
    <w:altName w:val="Times New Roman"/>
    <w:panose1 w:val="00000000000000000000"/>
    <w:charset w:val="00"/>
    <w:family w:val="roman"/>
    <w:pitch w:val="default"/>
    <w:sig w:usb0="00000000" w:usb1="00000000" w:usb2="00000010" w:usb3="00000000" w:csb0="00060001" w:csb1="00000000"/>
  </w:font>
  <w:font w:name="Cambria Math">
    <w:panose1 w:val="02040503050406030204"/>
    <w:charset w:val="00"/>
    <w:family w:val="roman"/>
    <w:pitch w:val="default"/>
    <w:sig w:usb0="E00002FF" w:usb1="420024FF" w:usb2="00000000" w:usb3="00000000" w:csb0="2000019F" w:csb1="00000000"/>
  </w:font>
  <w:font w:name="AMGDT">
    <w:panose1 w:val="02000400000000000000"/>
    <w:charset w:val="00"/>
    <w:family w:val="auto"/>
    <w:pitch w:val="default"/>
    <w:sig w:usb0="80000003" w:usb1="10000000" w:usb2="00000000" w:usb3="00000000" w:csb0="0000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framePr w:wrap="around" w:vAnchor="text" w:hAnchor="margin" w:xAlign="center" w:y="1"/>
      <w:rPr>
        <w:rStyle w:val="66"/>
      </w:rPr>
    </w:pPr>
    <w:r>
      <w:fldChar w:fldCharType="begin"/>
    </w:r>
    <w:r>
      <w:rPr>
        <w:rStyle w:val="66"/>
      </w:rPr>
      <w:instrText xml:space="preserve">PAGE  </w:instrText>
    </w:r>
    <w:r>
      <w:fldChar w:fldCharType="separate"/>
    </w:r>
    <w:r>
      <w:t xml:space="preserve"> </w:t>
    </w:r>
    <w:r>
      <w:fldChar w:fldCharType="end"/>
    </w:r>
  </w:p>
  <w:p>
    <w:pPr>
      <w:pStyle w:val="37"/>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jc w:val="cen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framePr w:wrap="around" w:vAnchor="text" w:hAnchor="margin" w:xAlign="center" w:y="1"/>
      <w:rPr>
        <w:rStyle w:val="66"/>
      </w:rPr>
    </w:pPr>
    <w:r>
      <w:fldChar w:fldCharType="begin"/>
    </w:r>
    <w:r>
      <w:rPr>
        <w:rStyle w:val="66"/>
      </w:rPr>
      <w:instrText xml:space="preserve">PAGE  </w:instrText>
    </w:r>
    <w:r>
      <w:fldChar w:fldCharType="separate"/>
    </w:r>
    <w:r>
      <w:rPr>
        <w:rStyle w:val="66"/>
      </w:rPr>
      <w:t>84</w:t>
    </w:r>
    <w:r>
      <w:fldChar w:fldCharType="end"/>
    </w:r>
  </w:p>
  <w:p>
    <w:pPr>
      <w:pStyle w:val="37"/>
      <w:ind w:right="36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jc w:val="center"/>
    </w:pPr>
    <w:r>
      <w:fldChar w:fldCharType="begin"/>
    </w:r>
    <w:r>
      <w:rPr>
        <w:rStyle w:val="66"/>
      </w:rPr>
      <w:instrText xml:space="preserve"> PAGE </w:instrText>
    </w:r>
    <w:r>
      <w:fldChar w:fldCharType="separate"/>
    </w:r>
    <w:r>
      <w:rPr>
        <w:rStyle w:val="66"/>
      </w:rPr>
      <w:t>1</w:t>
    </w:r>
    <w: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pBdr>
        <w:bottom w:val="none" w:color="auto" w:sz="0" w:space="0"/>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84CB3AE"/>
    <w:multiLevelType w:val="singleLevel"/>
    <w:tmpl w:val="984CB3AE"/>
    <w:lvl w:ilvl="0" w:tentative="0">
      <w:start w:val="3"/>
      <w:numFmt w:val="decimal"/>
      <w:suff w:val="nothing"/>
      <w:lvlText w:val="（%1）"/>
      <w:lvlJc w:val="left"/>
    </w:lvl>
  </w:abstractNum>
  <w:abstractNum w:abstractNumId="1">
    <w:nsid w:val="CC24B939"/>
    <w:multiLevelType w:val="singleLevel"/>
    <w:tmpl w:val="CC24B939"/>
    <w:lvl w:ilvl="0" w:tentative="0">
      <w:start w:val="1"/>
      <w:numFmt w:val="upperLetter"/>
      <w:lvlText w:val="%1."/>
      <w:lvlJc w:val="left"/>
      <w:pPr>
        <w:tabs>
          <w:tab w:val="left" w:pos="312"/>
        </w:tabs>
      </w:pPr>
    </w:lvl>
  </w:abstractNum>
  <w:abstractNum w:abstractNumId="2">
    <w:nsid w:val="00000004"/>
    <w:multiLevelType w:val="multilevel"/>
    <w:tmpl w:val="00000004"/>
    <w:lvl w:ilvl="0" w:tentative="0">
      <w:start w:val="1"/>
      <w:numFmt w:val="upperRoman"/>
      <w:lvlText w:val="%1."/>
      <w:lvlJc w:val="left"/>
      <w:pPr>
        <w:tabs>
          <w:tab w:val="left" w:pos="425"/>
        </w:tabs>
        <w:ind w:left="0" w:firstLine="0"/>
      </w:pPr>
    </w:lvl>
    <w:lvl w:ilvl="1" w:tentative="0">
      <w:start w:val="1"/>
      <w:numFmt w:val="upperLetter"/>
      <w:pStyle w:val="4"/>
      <w:lvlText w:val="%2."/>
      <w:lvlJc w:val="left"/>
      <w:pPr>
        <w:tabs>
          <w:tab w:val="left" w:pos="1276"/>
        </w:tabs>
        <w:ind w:left="851" w:firstLine="0"/>
      </w:pPr>
    </w:lvl>
    <w:lvl w:ilvl="2" w:tentative="0">
      <w:start w:val="1"/>
      <w:numFmt w:val="decimal"/>
      <w:pStyle w:val="6"/>
      <w:lvlText w:val="%3."/>
      <w:lvlJc w:val="left"/>
      <w:pPr>
        <w:tabs>
          <w:tab w:val="left" w:pos="2126"/>
        </w:tabs>
        <w:ind w:left="1701" w:firstLine="0"/>
      </w:pPr>
    </w:lvl>
    <w:lvl w:ilvl="3" w:tentative="0">
      <w:start w:val="1"/>
      <w:numFmt w:val="lowerLetter"/>
      <w:pStyle w:val="2"/>
      <w:lvlText w:val="%4)"/>
      <w:lvlJc w:val="left"/>
      <w:pPr>
        <w:tabs>
          <w:tab w:val="left" w:pos="2976"/>
        </w:tabs>
        <w:ind w:left="2551" w:firstLine="0"/>
      </w:pPr>
    </w:lvl>
    <w:lvl w:ilvl="4" w:tentative="0">
      <w:start w:val="1"/>
      <w:numFmt w:val="decimal"/>
      <w:pStyle w:val="7"/>
      <w:lvlText w:val="(%5)"/>
      <w:lvlJc w:val="left"/>
      <w:pPr>
        <w:tabs>
          <w:tab w:val="left" w:pos="3827"/>
        </w:tabs>
        <w:ind w:left="3402" w:firstLine="0"/>
      </w:pPr>
    </w:lvl>
    <w:lvl w:ilvl="5" w:tentative="0">
      <w:start w:val="1"/>
      <w:numFmt w:val="lowerLetter"/>
      <w:pStyle w:val="8"/>
      <w:lvlText w:val="(%6)"/>
      <w:lvlJc w:val="left"/>
      <w:pPr>
        <w:tabs>
          <w:tab w:val="left" w:pos="4677"/>
        </w:tabs>
        <w:ind w:left="4252" w:firstLine="0"/>
      </w:pPr>
    </w:lvl>
    <w:lvl w:ilvl="6" w:tentative="0">
      <w:start w:val="1"/>
      <w:numFmt w:val="lowerRoman"/>
      <w:pStyle w:val="9"/>
      <w:lvlText w:val="(%7)"/>
      <w:lvlJc w:val="left"/>
      <w:pPr>
        <w:tabs>
          <w:tab w:val="left" w:pos="5528"/>
        </w:tabs>
        <w:ind w:left="5102" w:firstLine="0"/>
      </w:pPr>
    </w:lvl>
    <w:lvl w:ilvl="7" w:tentative="0">
      <w:start w:val="1"/>
      <w:numFmt w:val="lowerLetter"/>
      <w:pStyle w:val="10"/>
      <w:lvlText w:val="(%8)"/>
      <w:lvlJc w:val="left"/>
      <w:pPr>
        <w:tabs>
          <w:tab w:val="left" w:pos="6378"/>
        </w:tabs>
        <w:ind w:left="5953" w:firstLine="0"/>
      </w:pPr>
    </w:lvl>
    <w:lvl w:ilvl="8" w:tentative="0">
      <w:start w:val="1"/>
      <w:numFmt w:val="lowerRoman"/>
      <w:pStyle w:val="11"/>
      <w:lvlText w:val="(%9)"/>
      <w:lvlJc w:val="left"/>
      <w:pPr>
        <w:tabs>
          <w:tab w:val="left" w:pos="7228"/>
        </w:tabs>
        <w:ind w:left="6803" w:firstLine="0"/>
      </w:pPr>
    </w:lvl>
  </w:abstractNum>
  <w:abstractNum w:abstractNumId="3">
    <w:nsid w:val="0000000C"/>
    <w:multiLevelType w:val="singleLevel"/>
    <w:tmpl w:val="0000000C"/>
    <w:lvl w:ilvl="0" w:tentative="0">
      <w:start w:val="1"/>
      <w:numFmt w:val="decimal"/>
      <w:pStyle w:val="286"/>
      <w:lvlText w:val="[%1]"/>
      <w:lvlJc w:val="left"/>
      <w:pPr>
        <w:tabs>
          <w:tab w:val="left" w:pos="454"/>
        </w:tabs>
        <w:ind w:left="454" w:hanging="397"/>
      </w:pPr>
    </w:lvl>
  </w:abstractNum>
  <w:abstractNum w:abstractNumId="4">
    <w:nsid w:val="0E3F2EDC"/>
    <w:multiLevelType w:val="multilevel"/>
    <w:tmpl w:val="0E3F2EDC"/>
    <w:lvl w:ilvl="0" w:tentative="0">
      <w:start w:val="1"/>
      <w:numFmt w:val="decimal"/>
      <w:pStyle w:val="414"/>
      <w:lvlText w:val="%1."/>
      <w:lvlJc w:val="left"/>
      <w:pPr>
        <w:ind w:left="425" w:hanging="425"/>
      </w:pPr>
    </w:lvl>
    <w:lvl w:ilvl="1" w:tentative="0">
      <w:start w:val="1"/>
      <w:numFmt w:val="decimal"/>
      <w:lvlText w:val="%1.%2."/>
      <w:lvlJc w:val="left"/>
      <w:pPr>
        <w:ind w:left="567" w:hanging="567"/>
      </w:pPr>
      <w:rPr>
        <w:rFonts w:hint="default" w:ascii="Times New Roman" w:hAnsi="Times New Roman" w:cs="Times New Roman"/>
        <w:color w:val="auto"/>
      </w:r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5">
    <w:nsid w:val="1C434DFF"/>
    <w:multiLevelType w:val="singleLevel"/>
    <w:tmpl w:val="1C434DFF"/>
    <w:lvl w:ilvl="0" w:tentative="0">
      <w:start w:val="2"/>
      <w:numFmt w:val="decimal"/>
      <w:suff w:val="nothing"/>
      <w:lvlText w:val="%1、"/>
      <w:lvlJc w:val="left"/>
    </w:lvl>
  </w:abstractNum>
  <w:abstractNum w:abstractNumId="6">
    <w:nsid w:val="2658ABBD"/>
    <w:multiLevelType w:val="singleLevel"/>
    <w:tmpl w:val="2658ABBD"/>
    <w:lvl w:ilvl="0" w:tentative="0">
      <w:start w:val="2"/>
      <w:numFmt w:val="decimal"/>
      <w:suff w:val="nothing"/>
      <w:lvlText w:val="%1）"/>
      <w:lvlJc w:val="left"/>
    </w:lvl>
  </w:abstractNum>
  <w:abstractNum w:abstractNumId="7">
    <w:nsid w:val="5447BE5C"/>
    <w:multiLevelType w:val="singleLevel"/>
    <w:tmpl w:val="5447BE5C"/>
    <w:lvl w:ilvl="0" w:tentative="0">
      <w:start w:val="1"/>
      <w:numFmt w:val="bullet"/>
      <w:pStyle w:val="30"/>
      <w:lvlText w:val=""/>
      <w:lvlJc w:val="left"/>
      <w:pPr>
        <w:tabs>
          <w:tab w:val="left" w:pos="2040"/>
        </w:tabs>
        <w:ind w:left="2040" w:hanging="360"/>
      </w:pPr>
      <w:rPr>
        <w:rFonts w:hint="default" w:ascii="Wingdings" w:hAnsi="Wingdings"/>
      </w:rPr>
    </w:lvl>
  </w:abstractNum>
  <w:abstractNum w:abstractNumId="8">
    <w:nsid w:val="638A5FDA"/>
    <w:multiLevelType w:val="multilevel"/>
    <w:tmpl w:val="638A5FDA"/>
    <w:lvl w:ilvl="0" w:tentative="0">
      <w:start w:val="1"/>
      <w:numFmt w:val="decimalEnclosedCircle"/>
      <w:pStyle w:val="169"/>
      <w:lvlText w:val="%1"/>
      <w:lvlJc w:val="left"/>
      <w:pPr>
        <w:tabs>
          <w:tab w:val="left" w:pos="840"/>
        </w:tabs>
        <w:ind w:left="840" w:hanging="360"/>
      </w:pPr>
      <w:rPr>
        <w:rFonts w:hint="default" w:cs="宋体"/>
      </w:rPr>
    </w:lvl>
    <w:lvl w:ilvl="1" w:tentative="0">
      <w:start w:val="1"/>
      <w:numFmt w:val="lowerLetter"/>
      <w:lvlText w:val="%2)"/>
      <w:lvlJc w:val="left"/>
      <w:pPr>
        <w:tabs>
          <w:tab w:val="left" w:pos="1320"/>
        </w:tabs>
        <w:ind w:left="1320" w:hanging="420"/>
      </w:pPr>
    </w:lvl>
    <w:lvl w:ilvl="2" w:tentative="0">
      <w:start w:val="1"/>
      <w:numFmt w:val="lowerRoman"/>
      <w:lvlText w:val="%3."/>
      <w:lvlJc w:val="right"/>
      <w:pPr>
        <w:tabs>
          <w:tab w:val="left" w:pos="1740"/>
        </w:tabs>
        <w:ind w:left="1740" w:hanging="420"/>
      </w:pPr>
    </w:lvl>
    <w:lvl w:ilvl="3" w:tentative="0">
      <w:start w:val="1"/>
      <w:numFmt w:val="decimal"/>
      <w:lvlText w:val="%4."/>
      <w:lvlJc w:val="left"/>
      <w:pPr>
        <w:tabs>
          <w:tab w:val="left" w:pos="2160"/>
        </w:tabs>
        <w:ind w:left="2160" w:hanging="420"/>
      </w:pPr>
    </w:lvl>
    <w:lvl w:ilvl="4" w:tentative="0">
      <w:start w:val="1"/>
      <w:numFmt w:val="lowerLetter"/>
      <w:lvlText w:val="%5)"/>
      <w:lvlJc w:val="left"/>
      <w:pPr>
        <w:tabs>
          <w:tab w:val="left" w:pos="2580"/>
        </w:tabs>
        <w:ind w:left="2580" w:hanging="420"/>
      </w:pPr>
    </w:lvl>
    <w:lvl w:ilvl="5" w:tentative="0">
      <w:start w:val="1"/>
      <w:numFmt w:val="lowerRoman"/>
      <w:lvlText w:val="%6."/>
      <w:lvlJc w:val="right"/>
      <w:pPr>
        <w:tabs>
          <w:tab w:val="left" w:pos="3000"/>
        </w:tabs>
        <w:ind w:left="3000" w:hanging="420"/>
      </w:pPr>
    </w:lvl>
    <w:lvl w:ilvl="6" w:tentative="0">
      <w:start w:val="1"/>
      <w:numFmt w:val="decimal"/>
      <w:lvlText w:val="%7."/>
      <w:lvlJc w:val="left"/>
      <w:pPr>
        <w:tabs>
          <w:tab w:val="left" w:pos="3420"/>
        </w:tabs>
        <w:ind w:left="3420" w:hanging="420"/>
      </w:pPr>
    </w:lvl>
    <w:lvl w:ilvl="7" w:tentative="0">
      <w:start w:val="1"/>
      <w:numFmt w:val="lowerLetter"/>
      <w:lvlText w:val="%8)"/>
      <w:lvlJc w:val="left"/>
      <w:pPr>
        <w:tabs>
          <w:tab w:val="left" w:pos="3840"/>
        </w:tabs>
        <w:ind w:left="3840" w:hanging="420"/>
      </w:pPr>
    </w:lvl>
    <w:lvl w:ilvl="8" w:tentative="0">
      <w:start w:val="1"/>
      <w:numFmt w:val="lowerRoman"/>
      <w:lvlText w:val="%9."/>
      <w:lvlJc w:val="right"/>
      <w:pPr>
        <w:tabs>
          <w:tab w:val="left" w:pos="4260"/>
        </w:tabs>
        <w:ind w:left="4260" w:hanging="420"/>
      </w:pPr>
    </w:lvl>
  </w:abstractNum>
  <w:num w:numId="1">
    <w:abstractNumId w:val="2"/>
  </w:num>
  <w:num w:numId="2">
    <w:abstractNumId w:val="7"/>
  </w:num>
  <w:num w:numId="3">
    <w:abstractNumId w:val="8"/>
  </w:num>
  <w:num w:numId="4">
    <w:abstractNumId w:val="3"/>
  </w:num>
  <w:num w:numId="5">
    <w:abstractNumId w:val="4"/>
  </w:num>
  <w:num w:numId="6">
    <w:abstractNumId w:val="5"/>
  </w:num>
  <w:num w:numId="7">
    <w:abstractNumId w:val="1"/>
  </w:num>
  <w:num w:numId="8">
    <w:abstractNumId w:val="0"/>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formatting="1" w:enforcement="1" w:cryptProviderType="rsaFull" w:cryptAlgorithmClass="hash" w:cryptAlgorithmType="typeAny" w:cryptAlgorithmSid="4" w:cryptSpinCount="0" w:hash="FIDlHtazE7JwtnJEFTzerz+Qu9Y=" w:salt="Gc+l8E3cb9J2o6n91Baoag=="/>
  <w:defaultTabStop w:val="420"/>
  <w:drawingGridHorizontalSpacing w:val="2"/>
  <w:drawingGridVerticalSpacing w:val="3"/>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494"/>
    <w:rsid w:val="00001AC5"/>
    <w:rsid w:val="00001F99"/>
    <w:rsid w:val="000023AA"/>
    <w:rsid w:val="00002AFE"/>
    <w:rsid w:val="00002D7C"/>
    <w:rsid w:val="000045D1"/>
    <w:rsid w:val="0000571A"/>
    <w:rsid w:val="00005843"/>
    <w:rsid w:val="00005E16"/>
    <w:rsid w:val="00006362"/>
    <w:rsid w:val="00006971"/>
    <w:rsid w:val="00010561"/>
    <w:rsid w:val="0001081D"/>
    <w:rsid w:val="00010C2B"/>
    <w:rsid w:val="00011227"/>
    <w:rsid w:val="000115EE"/>
    <w:rsid w:val="00011871"/>
    <w:rsid w:val="0001224E"/>
    <w:rsid w:val="00012D90"/>
    <w:rsid w:val="00012EB0"/>
    <w:rsid w:val="00013691"/>
    <w:rsid w:val="000136FB"/>
    <w:rsid w:val="00014923"/>
    <w:rsid w:val="000157D6"/>
    <w:rsid w:val="00015900"/>
    <w:rsid w:val="0001593F"/>
    <w:rsid w:val="00016C57"/>
    <w:rsid w:val="00017F6E"/>
    <w:rsid w:val="000206E1"/>
    <w:rsid w:val="0002072D"/>
    <w:rsid w:val="000208BD"/>
    <w:rsid w:val="00020B7D"/>
    <w:rsid w:val="00022BBE"/>
    <w:rsid w:val="00024756"/>
    <w:rsid w:val="00024F9E"/>
    <w:rsid w:val="0002575B"/>
    <w:rsid w:val="000257AD"/>
    <w:rsid w:val="000261F0"/>
    <w:rsid w:val="0003050A"/>
    <w:rsid w:val="000306C6"/>
    <w:rsid w:val="00030A67"/>
    <w:rsid w:val="00031B70"/>
    <w:rsid w:val="00032ECC"/>
    <w:rsid w:val="00033103"/>
    <w:rsid w:val="000334A6"/>
    <w:rsid w:val="000342D3"/>
    <w:rsid w:val="00034544"/>
    <w:rsid w:val="00034A71"/>
    <w:rsid w:val="0003509E"/>
    <w:rsid w:val="0003657A"/>
    <w:rsid w:val="00036B0C"/>
    <w:rsid w:val="00037FA5"/>
    <w:rsid w:val="000409D7"/>
    <w:rsid w:val="000412AF"/>
    <w:rsid w:val="00042724"/>
    <w:rsid w:val="000437EF"/>
    <w:rsid w:val="00043B24"/>
    <w:rsid w:val="00044F09"/>
    <w:rsid w:val="0004682C"/>
    <w:rsid w:val="000477DC"/>
    <w:rsid w:val="00047985"/>
    <w:rsid w:val="00047E33"/>
    <w:rsid w:val="000505AE"/>
    <w:rsid w:val="00051426"/>
    <w:rsid w:val="000518A8"/>
    <w:rsid w:val="00051A1D"/>
    <w:rsid w:val="00051F40"/>
    <w:rsid w:val="00053AFF"/>
    <w:rsid w:val="000547DC"/>
    <w:rsid w:val="00055AF3"/>
    <w:rsid w:val="00055E5A"/>
    <w:rsid w:val="0005609C"/>
    <w:rsid w:val="00056EAC"/>
    <w:rsid w:val="00056F33"/>
    <w:rsid w:val="000575FB"/>
    <w:rsid w:val="00057F2F"/>
    <w:rsid w:val="0006121C"/>
    <w:rsid w:val="0006139C"/>
    <w:rsid w:val="000615EA"/>
    <w:rsid w:val="00062286"/>
    <w:rsid w:val="0006354C"/>
    <w:rsid w:val="00064EBE"/>
    <w:rsid w:val="000674CF"/>
    <w:rsid w:val="00070A57"/>
    <w:rsid w:val="00072565"/>
    <w:rsid w:val="00072B99"/>
    <w:rsid w:val="0007469E"/>
    <w:rsid w:val="00074A7C"/>
    <w:rsid w:val="00075853"/>
    <w:rsid w:val="00075F8B"/>
    <w:rsid w:val="000762EB"/>
    <w:rsid w:val="00076C8A"/>
    <w:rsid w:val="00077202"/>
    <w:rsid w:val="00077F49"/>
    <w:rsid w:val="0008040A"/>
    <w:rsid w:val="00080667"/>
    <w:rsid w:val="000814D3"/>
    <w:rsid w:val="00081E24"/>
    <w:rsid w:val="000835C1"/>
    <w:rsid w:val="00083A81"/>
    <w:rsid w:val="00083DCF"/>
    <w:rsid w:val="00083FD8"/>
    <w:rsid w:val="00084351"/>
    <w:rsid w:val="000843E8"/>
    <w:rsid w:val="00084E57"/>
    <w:rsid w:val="0008577C"/>
    <w:rsid w:val="00085CAE"/>
    <w:rsid w:val="00087246"/>
    <w:rsid w:val="000874B8"/>
    <w:rsid w:val="00087D15"/>
    <w:rsid w:val="000904DA"/>
    <w:rsid w:val="00090536"/>
    <w:rsid w:val="000908D5"/>
    <w:rsid w:val="000908F7"/>
    <w:rsid w:val="000928A5"/>
    <w:rsid w:val="000928C4"/>
    <w:rsid w:val="00093287"/>
    <w:rsid w:val="00093794"/>
    <w:rsid w:val="00093BFD"/>
    <w:rsid w:val="00094071"/>
    <w:rsid w:val="00094EC4"/>
    <w:rsid w:val="00094FDB"/>
    <w:rsid w:val="0009529C"/>
    <w:rsid w:val="00096D48"/>
    <w:rsid w:val="000973F8"/>
    <w:rsid w:val="00097B0C"/>
    <w:rsid w:val="00097EC3"/>
    <w:rsid w:val="000A0377"/>
    <w:rsid w:val="000A10AC"/>
    <w:rsid w:val="000A19D7"/>
    <w:rsid w:val="000A1E93"/>
    <w:rsid w:val="000A1EBD"/>
    <w:rsid w:val="000A1EBE"/>
    <w:rsid w:val="000A23B9"/>
    <w:rsid w:val="000A2499"/>
    <w:rsid w:val="000A2753"/>
    <w:rsid w:val="000A2F0F"/>
    <w:rsid w:val="000A3368"/>
    <w:rsid w:val="000A3974"/>
    <w:rsid w:val="000A3DD8"/>
    <w:rsid w:val="000A4620"/>
    <w:rsid w:val="000A4799"/>
    <w:rsid w:val="000A48C2"/>
    <w:rsid w:val="000A5A6A"/>
    <w:rsid w:val="000A5D30"/>
    <w:rsid w:val="000A6173"/>
    <w:rsid w:val="000A6EDF"/>
    <w:rsid w:val="000A7010"/>
    <w:rsid w:val="000A709B"/>
    <w:rsid w:val="000A7D5C"/>
    <w:rsid w:val="000B1A34"/>
    <w:rsid w:val="000B2191"/>
    <w:rsid w:val="000B2453"/>
    <w:rsid w:val="000B352E"/>
    <w:rsid w:val="000B3975"/>
    <w:rsid w:val="000B4509"/>
    <w:rsid w:val="000B54DB"/>
    <w:rsid w:val="000B57F3"/>
    <w:rsid w:val="000B5A63"/>
    <w:rsid w:val="000B605D"/>
    <w:rsid w:val="000B644E"/>
    <w:rsid w:val="000B674B"/>
    <w:rsid w:val="000B6A99"/>
    <w:rsid w:val="000B71EC"/>
    <w:rsid w:val="000C10CB"/>
    <w:rsid w:val="000C3000"/>
    <w:rsid w:val="000C32AF"/>
    <w:rsid w:val="000C3F43"/>
    <w:rsid w:val="000C51D2"/>
    <w:rsid w:val="000C537F"/>
    <w:rsid w:val="000C552D"/>
    <w:rsid w:val="000C55C3"/>
    <w:rsid w:val="000C5A6F"/>
    <w:rsid w:val="000C67D7"/>
    <w:rsid w:val="000C7D73"/>
    <w:rsid w:val="000D0013"/>
    <w:rsid w:val="000D0E15"/>
    <w:rsid w:val="000D17FA"/>
    <w:rsid w:val="000D1D7A"/>
    <w:rsid w:val="000D1E0B"/>
    <w:rsid w:val="000D1F92"/>
    <w:rsid w:val="000D2D38"/>
    <w:rsid w:val="000D2ED2"/>
    <w:rsid w:val="000D3E99"/>
    <w:rsid w:val="000D48BB"/>
    <w:rsid w:val="000D4EBB"/>
    <w:rsid w:val="000D531A"/>
    <w:rsid w:val="000D56CD"/>
    <w:rsid w:val="000D638E"/>
    <w:rsid w:val="000E01F4"/>
    <w:rsid w:val="000E06B1"/>
    <w:rsid w:val="000E0D17"/>
    <w:rsid w:val="000E23DF"/>
    <w:rsid w:val="000E4147"/>
    <w:rsid w:val="000E414C"/>
    <w:rsid w:val="000E53DE"/>
    <w:rsid w:val="000E568E"/>
    <w:rsid w:val="000E5B54"/>
    <w:rsid w:val="000E5C1F"/>
    <w:rsid w:val="000E5C29"/>
    <w:rsid w:val="000E641F"/>
    <w:rsid w:val="000E7359"/>
    <w:rsid w:val="000E7D9D"/>
    <w:rsid w:val="000F03DA"/>
    <w:rsid w:val="000F0A96"/>
    <w:rsid w:val="000F140A"/>
    <w:rsid w:val="000F1566"/>
    <w:rsid w:val="000F15A3"/>
    <w:rsid w:val="000F15EF"/>
    <w:rsid w:val="000F2A0B"/>
    <w:rsid w:val="000F356E"/>
    <w:rsid w:val="000F3CB0"/>
    <w:rsid w:val="000F3EAB"/>
    <w:rsid w:val="000F4A85"/>
    <w:rsid w:val="000F4E19"/>
    <w:rsid w:val="000F5911"/>
    <w:rsid w:val="000F59F3"/>
    <w:rsid w:val="000F5D7C"/>
    <w:rsid w:val="000F634B"/>
    <w:rsid w:val="000F698D"/>
    <w:rsid w:val="000F6B47"/>
    <w:rsid w:val="00100529"/>
    <w:rsid w:val="001016B5"/>
    <w:rsid w:val="001018AF"/>
    <w:rsid w:val="00102742"/>
    <w:rsid w:val="00104356"/>
    <w:rsid w:val="00106060"/>
    <w:rsid w:val="00106D3E"/>
    <w:rsid w:val="00106EE4"/>
    <w:rsid w:val="001109E8"/>
    <w:rsid w:val="00110FF8"/>
    <w:rsid w:val="001125DB"/>
    <w:rsid w:val="001131F0"/>
    <w:rsid w:val="001140BB"/>
    <w:rsid w:val="0011417F"/>
    <w:rsid w:val="001143E4"/>
    <w:rsid w:val="00114461"/>
    <w:rsid w:val="00114551"/>
    <w:rsid w:val="0011616F"/>
    <w:rsid w:val="0011789D"/>
    <w:rsid w:val="0011797A"/>
    <w:rsid w:val="00117CA1"/>
    <w:rsid w:val="00120C7C"/>
    <w:rsid w:val="00120E94"/>
    <w:rsid w:val="00121CBC"/>
    <w:rsid w:val="00121CED"/>
    <w:rsid w:val="00122906"/>
    <w:rsid w:val="00122BE2"/>
    <w:rsid w:val="00122C6D"/>
    <w:rsid w:val="001234D7"/>
    <w:rsid w:val="0012484D"/>
    <w:rsid w:val="00124FF7"/>
    <w:rsid w:val="00125AE1"/>
    <w:rsid w:val="001262F3"/>
    <w:rsid w:val="0012677D"/>
    <w:rsid w:val="00126A66"/>
    <w:rsid w:val="00126FBD"/>
    <w:rsid w:val="001278E8"/>
    <w:rsid w:val="001307A7"/>
    <w:rsid w:val="0013155F"/>
    <w:rsid w:val="0013259D"/>
    <w:rsid w:val="0013451B"/>
    <w:rsid w:val="00134550"/>
    <w:rsid w:val="0013489A"/>
    <w:rsid w:val="00134CBD"/>
    <w:rsid w:val="00136696"/>
    <w:rsid w:val="001367FB"/>
    <w:rsid w:val="00137089"/>
    <w:rsid w:val="001406EF"/>
    <w:rsid w:val="0014175C"/>
    <w:rsid w:val="00141B8A"/>
    <w:rsid w:val="001439F1"/>
    <w:rsid w:val="00143ABA"/>
    <w:rsid w:val="0014591A"/>
    <w:rsid w:val="00145E5D"/>
    <w:rsid w:val="00146EFB"/>
    <w:rsid w:val="00147C76"/>
    <w:rsid w:val="00147D3D"/>
    <w:rsid w:val="0015005C"/>
    <w:rsid w:val="0015015A"/>
    <w:rsid w:val="00150760"/>
    <w:rsid w:val="00151E3B"/>
    <w:rsid w:val="00151EAD"/>
    <w:rsid w:val="00152405"/>
    <w:rsid w:val="00152A2A"/>
    <w:rsid w:val="00152E27"/>
    <w:rsid w:val="00153B5D"/>
    <w:rsid w:val="00154921"/>
    <w:rsid w:val="00154F1F"/>
    <w:rsid w:val="00155350"/>
    <w:rsid w:val="00155564"/>
    <w:rsid w:val="00157698"/>
    <w:rsid w:val="00157B21"/>
    <w:rsid w:val="0016063B"/>
    <w:rsid w:val="00160D02"/>
    <w:rsid w:val="001611DA"/>
    <w:rsid w:val="00161B7D"/>
    <w:rsid w:val="00162DDF"/>
    <w:rsid w:val="001647F6"/>
    <w:rsid w:val="00164EAB"/>
    <w:rsid w:val="00164F28"/>
    <w:rsid w:val="00167C2D"/>
    <w:rsid w:val="00171B4C"/>
    <w:rsid w:val="00172266"/>
    <w:rsid w:val="00172A27"/>
    <w:rsid w:val="00172F43"/>
    <w:rsid w:val="00175261"/>
    <w:rsid w:val="00175375"/>
    <w:rsid w:val="001753B5"/>
    <w:rsid w:val="001753DB"/>
    <w:rsid w:val="00175C2D"/>
    <w:rsid w:val="00180007"/>
    <w:rsid w:val="00180583"/>
    <w:rsid w:val="001806B1"/>
    <w:rsid w:val="00181160"/>
    <w:rsid w:val="00183F8A"/>
    <w:rsid w:val="0018400E"/>
    <w:rsid w:val="0018436A"/>
    <w:rsid w:val="001844D7"/>
    <w:rsid w:val="00185CAF"/>
    <w:rsid w:val="00185DC1"/>
    <w:rsid w:val="00185EA5"/>
    <w:rsid w:val="001865AE"/>
    <w:rsid w:val="00186E5F"/>
    <w:rsid w:val="0019001F"/>
    <w:rsid w:val="00190110"/>
    <w:rsid w:val="001905AF"/>
    <w:rsid w:val="001925BE"/>
    <w:rsid w:val="001926A2"/>
    <w:rsid w:val="00192925"/>
    <w:rsid w:val="00192B3A"/>
    <w:rsid w:val="001939B5"/>
    <w:rsid w:val="00194111"/>
    <w:rsid w:val="001948F0"/>
    <w:rsid w:val="00194F71"/>
    <w:rsid w:val="00196803"/>
    <w:rsid w:val="001968E3"/>
    <w:rsid w:val="00196F47"/>
    <w:rsid w:val="00197A63"/>
    <w:rsid w:val="001A01C3"/>
    <w:rsid w:val="001A188D"/>
    <w:rsid w:val="001A1A3D"/>
    <w:rsid w:val="001A1E5B"/>
    <w:rsid w:val="001A3F8F"/>
    <w:rsid w:val="001A4222"/>
    <w:rsid w:val="001A476B"/>
    <w:rsid w:val="001A4FC4"/>
    <w:rsid w:val="001A5497"/>
    <w:rsid w:val="001A562D"/>
    <w:rsid w:val="001A56C0"/>
    <w:rsid w:val="001A5C5C"/>
    <w:rsid w:val="001A6228"/>
    <w:rsid w:val="001A6B74"/>
    <w:rsid w:val="001A76D3"/>
    <w:rsid w:val="001A775D"/>
    <w:rsid w:val="001A7A5F"/>
    <w:rsid w:val="001A7BD6"/>
    <w:rsid w:val="001B0488"/>
    <w:rsid w:val="001B068B"/>
    <w:rsid w:val="001B113A"/>
    <w:rsid w:val="001B1762"/>
    <w:rsid w:val="001B1C05"/>
    <w:rsid w:val="001B1E62"/>
    <w:rsid w:val="001B3514"/>
    <w:rsid w:val="001B445D"/>
    <w:rsid w:val="001B4E57"/>
    <w:rsid w:val="001B6BC7"/>
    <w:rsid w:val="001B74EF"/>
    <w:rsid w:val="001B7D48"/>
    <w:rsid w:val="001C012A"/>
    <w:rsid w:val="001C0344"/>
    <w:rsid w:val="001C0911"/>
    <w:rsid w:val="001C136B"/>
    <w:rsid w:val="001C1F72"/>
    <w:rsid w:val="001C239E"/>
    <w:rsid w:val="001C2B4B"/>
    <w:rsid w:val="001C3A5C"/>
    <w:rsid w:val="001C6FAF"/>
    <w:rsid w:val="001C7954"/>
    <w:rsid w:val="001C7A64"/>
    <w:rsid w:val="001C7B67"/>
    <w:rsid w:val="001C7FF6"/>
    <w:rsid w:val="001D17DF"/>
    <w:rsid w:val="001D1D30"/>
    <w:rsid w:val="001D2D94"/>
    <w:rsid w:val="001D32D2"/>
    <w:rsid w:val="001D3CBA"/>
    <w:rsid w:val="001D3D5D"/>
    <w:rsid w:val="001D46C4"/>
    <w:rsid w:val="001D484C"/>
    <w:rsid w:val="001D651F"/>
    <w:rsid w:val="001E0AE2"/>
    <w:rsid w:val="001E0F16"/>
    <w:rsid w:val="001E157C"/>
    <w:rsid w:val="001E1CF8"/>
    <w:rsid w:val="001E2CD4"/>
    <w:rsid w:val="001E2FAB"/>
    <w:rsid w:val="001E30BF"/>
    <w:rsid w:val="001E4D83"/>
    <w:rsid w:val="001E4F77"/>
    <w:rsid w:val="001E528D"/>
    <w:rsid w:val="001E6782"/>
    <w:rsid w:val="001E6E85"/>
    <w:rsid w:val="001E70C1"/>
    <w:rsid w:val="001E70F5"/>
    <w:rsid w:val="001E775D"/>
    <w:rsid w:val="001F0799"/>
    <w:rsid w:val="001F1565"/>
    <w:rsid w:val="001F16E9"/>
    <w:rsid w:val="001F29B8"/>
    <w:rsid w:val="001F2DDD"/>
    <w:rsid w:val="001F2EAA"/>
    <w:rsid w:val="001F3000"/>
    <w:rsid w:val="001F3318"/>
    <w:rsid w:val="001F3D5E"/>
    <w:rsid w:val="001F50A2"/>
    <w:rsid w:val="001F6054"/>
    <w:rsid w:val="001F66F1"/>
    <w:rsid w:val="001F6BA2"/>
    <w:rsid w:val="001F72A0"/>
    <w:rsid w:val="001F7498"/>
    <w:rsid w:val="001F75DB"/>
    <w:rsid w:val="002010AB"/>
    <w:rsid w:val="00201216"/>
    <w:rsid w:val="00201818"/>
    <w:rsid w:val="002022FD"/>
    <w:rsid w:val="002049C0"/>
    <w:rsid w:val="00204CA0"/>
    <w:rsid w:val="002060F8"/>
    <w:rsid w:val="00206509"/>
    <w:rsid w:val="00206A76"/>
    <w:rsid w:val="0020743D"/>
    <w:rsid w:val="00207695"/>
    <w:rsid w:val="00207EC0"/>
    <w:rsid w:val="00210245"/>
    <w:rsid w:val="00210595"/>
    <w:rsid w:val="002108AA"/>
    <w:rsid w:val="00210EA9"/>
    <w:rsid w:val="002111D1"/>
    <w:rsid w:val="0021295C"/>
    <w:rsid w:val="00212964"/>
    <w:rsid w:val="0021343B"/>
    <w:rsid w:val="00214068"/>
    <w:rsid w:val="0021442A"/>
    <w:rsid w:val="00214542"/>
    <w:rsid w:val="00215492"/>
    <w:rsid w:val="00215DF8"/>
    <w:rsid w:val="00216544"/>
    <w:rsid w:val="002179D8"/>
    <w:rsid w:val="002202AC"/>
    <w:rsid w:val="00220540"/>
    <w:rsid w:val="002207DF"/>
    <w:rsid w:val="00221063"/>
    <w:rsid w:val="0022136D"/>
    <w:rsid w:val="00224DF6"/>
    <w:rsid w:val="0022528A"/>
    <w:rsid w:val="002258A0"/>
    <w:rsid w:val="00225DA6"/>
    <w:rsid w:val="00226899"/>
    <w:rsid w:val="00226E17"/>
    <w:rsid w:val="0022701A"/>
    <w:rsid w:val="00227176"/>
    <w:rsid w:val="002274E9"/>
    <w:rsid w:val="0023057D"/>
    <w:rsid w:val="00230631"/>
    <w:rsid w:val="0023076B"/>
    <w:rsid w:val="002316D3"/>
    <w:rsid w:val="002322A9"/>
    <w:rsid w:val="0023248B"/>
    <w:rsid w:val="00233F9B"/>
    <w:rsid w:val="0023456B"/>
    <w:rsid w:val="00234D2F"/>
    <w:rsid w:val="0023510D"/>
    <w:rsid w:val="002361CC"/>
    <w:rsid w:val="0023650F"/>
    <w:rsid w:val="002369E8"/>
    <w:rsid w:val="00236B1D"/>
    <w:rsid w:val="00236D02"/>
    <w:rsid w:val="0024024D"/>
    <w:rsid w:val="00240B50"/>
    <w:rsid w:val="00240F69"/>
    <w:rsid w:val="00240F9D"/>
    <w:rsid w:val="0024387F"/>
    <w:rsid w:val="00243C4B"/>
    <w:rsid w:val="00243E8C"/>
    <w:rsid w:val="00244700"/>
    <w:rsid w:val="00245584"/>
    <w:rsid w:val="002461DD"/>
    <w:rsid w:val="0024653C"/>
    <w:rsid w:val="00247523"/>
    <w:rsid w:val="0024785A"/>
    <w:rsid w:val="00247918"/>
    <w:rsid w:val="00252114"/>
    <w:rsid w:val="0025221F"/>
    <w:rsid w:val="002524FB"/>
    <w:rsid w:val="002531A4"/>
    <w:rsid w:val="00253EF2"/>
    <w:rsid w:val="00254410"/>
    <w:rsid w:val="002549D6"/>
    <w:rsid w:val="00255F1A"/>
    <w:rsid w:val="00256849"/>
    <w:rsid w:val="00262B17"/>
    <w:rsid w:val="00262C07"/>
    <w:rsid w:val="00263898"/>
    <w:rsid w:val="0026389A"/>
    <w:rsid w:val="00263F15"/>
    <w:rsid w:val="00264BDF"/>
    <w:rsid w:val="0026560B"/>
    <w:rsid w:val="00265FBE"/>
    <w:rsid w:val="00266305"/>
    <w:rsid w:val="00267070"/>
    <w:rsid w:val="002670A6"/>
    <w:rsid w:val="002670D1"/>
    <w:rsid w:val="002672BC"/>
    <w:rsid w:val="0026734E"/>
    <w:rsid w:val="002706D0"/>
    <w:rsid w:val="00270A1A"/>
    <w:rsid w:val="0027110D"/>
    <w:rsid w:val="002720BA"/>
    <w:rsid w:val="00272336"/>
    <w:rsid w:val="00272694"/>
    <w:rsid w:val="00273266"/>
    <w:rsid w:val="0027367F"/>
    <w:rsid w:val="00273BEC"/>
    <w:rsid w:val="002743F3"/>
    <w:rsid w:val="00275388"/>
    <w:rsid w:val="00275AD4"/>
    <w:rsid w:val="002762DE"/>
    <w:rsid w:val="00276449"/>
    <w:rsid w:val="00276E0F"/>
    <w:rsid w:val="00276F84"/>
    <w:rsid w:val="00277885"/>
    <w:rsid w:val="00277DE7"/>
    <w:rsid w:val="00280A3D"/>
    <w:rsid w:val="00281638"/>
    <w:rsid w:val="00281E03"/>
    <w:rsid w:val="00282EA0"/>
    <w:rsid w:val="0028329C"/>
    <w:rsid w:val="00284428"/>
    <w:rsid w:val="00284C9A"/>
    <w:rsid w:val="00284E09"/>
    <w:rsid w:val="0028600C"/>
    <w:rsid w:val="00286140"/>
    <w:rsid w:val="00286309"/>
    <w:rsid w:val="00286374"/>
    <w:rsid w:val="0028750E"/>
    <w:rsid w:val="0028781A"/>
    <w:rsid w:val="00287963"/>
    <w:rsid w:val="00290FD9"/>
    <w:rsid w:val="00293AD3"/>
    <w:rsid w:val="00293C67"/>
    <w:rsid w:val="00293FFE"/>
    <w:rsid w:val="00295689"/>
    <w:rsid w:val="00297701"/>
    <w:rsid w:val="00297857"/>
    <w:rsid w:val="002A016A"/>
    <w:rsid w:val="002A0CEE"/>
    <w:rsid w:val="002A0D95"/>
    <w:rsid w:val="002A0F74"/>
    <w:rsid w:val="002A11A6"/>
    <w:rsid w:val="002A1369"/>
    <w:rsid w:val="002A2F15"/>
    <w:rsid w:val="002A3B5E"/>
    <w:rsid w:val="002A49FB"/>
    <w:rsid w:val="002A526E"/>
    <w:rsid w:val="002A5CE8"/>
    <w:rsid w:val="002A5DD6"/>
    <w:rsid w:val="002A5E37"/>
    <w:rsid w:val="002A7451"/>
    <w:rsid w:val="002A77C2"/>
    <w:rsid w:val="002B2B2A"/>
    <w:rsid w:val="002B2C90"/>
    <w:rsid w:val="002B2E1D"/>
    <w:rsid w:val="002B60DE"/>
    <w:rsid w:val="002B6221"/>
    <w:rsid w:val="002B6C52"/>
    <w:rsid w:val="002B71DD"/>
    <w:rsid w:val="002B73D8"/>
    <w:rsid w:val="002B7EB8"/>
    <w:rsid w:val="002C03BF"/>
    <w:rsid w:val="002C0F8C"/>
    <w:rsid w:val="002C18D1"/>
    <w:rsid w:val="002C252A"/>
    <w:rsid w:val="002C2853"/>
    <w:rsid w:val="002C3BFC"/>
    <w:rsid w:val="002C47FF"/>
    <w:rsid w:val="002C509E"/>
    <w:rsid w:val="002C59F0"/>
    <w:rsid w:val="002C5FF4"/>
    <w:rsid w:val="002C7F86"/>
    <w:rsid w:val="002D0346"/>
    <w:rsid w:val="002D5CEF"/>
    <w:rsid w:val="002D6CB4"/>
    <w:rsid w:val="002D7073"/>
    <w:rsid w:val="002D7402"/>
    <w:rsid w:val="002E081D"/>
    <w:rsid w:val="002E0BED"/>
    <w:rsid w:val="002E0C0E"/>
    <w:rsid w:val="002E200B"/>
    <w:rsid w:val="002E2F16"/>
    <w:rsid w:val="002E3651"/>
    <w:rsid w:val="002E39FA"/>
    <w:rsid w:val="002E3F3B"/>
    <w:rsid w:val="002E6F51"/>
    <w:rsid w:val="002E7003"/>
    <w:rsid w:val="002E7513"/>
    <w:rsid w:val="002E7DDA"/>
    <w:rsid w:val="002F0BC5"/>
    <w:rsid w:val="002F0C96"/>
    <w:rsid w:val="002F1C97"/>
    <w:rsid w:val="002F279D"/>
    <w:rsid w:val="002F2E18"/>
    <w:rsid w:val="002F301F"/>
    <w:rsid w:val="002F358A"/>
    <w:rsid w:val="002F3D9B"/>
    <w:rsid w:val="002F4FDE"/>
    <w:rsid w:val="002F525A"/>
    <w:rsid w:val="002F5351"/>
    <w:rsid w:val="002F667C"/>
    <w:rsid w:val="002F6B71"/>
    <w:rsid w:val="002F6E73"/>
    <w:rsid w:val="002F720D"/>
    <w:rsid w:val="002F7A77"/>
    <w:rsid w:val="00300267"/>
    <w:rsid w:val="00300610"/>
    <w:rsid w:val="003013B3"/>
    <w:rsid w:val="00301518"/>
    <w:rsid w:val="003023C3"/>
    <w:rsid w:val="00303E24"/>
    <w:rsid w:val="00303ED1"/>
    <w:rsid w:val="00303FC7"/>
    <w:rsid w:val="00305341"/>
    <w:rsid w:val="003056B1"/>
    <w:rsid w:val="00305A78"/>
    <w:rsid w:val="00305AFA"/>
    <w:rsid w:val="003073F6"/>
    <w:rsid w:val="00310CB5"/>
    <w:rsid w:val="00313F8F"/>
    <w:rsid w:val="003142DF"/>
    <w:rsid w:val="00316453"/>
    <w:rsid w:val="003171B4"/>
    <w:rsid w:val="003207EF"/>
    <w:rsid w:val="00321135"/>
    <w:rsid w:val="00322414"/>
    <w:rsid w:val="00322A01"/>
    <w:rsid w:val="00322E30"/>
    <w:rsid w:val="00323B50"/>
    <w:rsid w:val="00324755"/>
    <w:rsid w:val="00324B49"/>
    <w:rsid w:val="00324B9C"/>
    <w:rsid w:val="003257AF"/>
    <w:rsid w:val="00325BF0"/>
    <w:rsid w:val="0032798A"/>
    <w:rsid w:val="0033227B"/>
    <w:rsid w:val="003327C3"/>
    <w:rsid w:val="00333CD7"/>
    <w:rsid w:val="00333F3E"/>
    <w:rsid w:val="003349FB"/>
    <w:rsid w:val="00334C77"/>
    <w:rsid w:val="003358E1"/>
    <w:rsid w:val="00335EDD"/>
    <w:rsid w:val="00336043"/>
    <w:rsid w:val="00337B55"/>
    <w:rsid w:val="003403A6"/>
    <w:rsid w:val="003439F6"/>
    <w:rsid w:val="00343A43"/>
    <w:rsid w:val="00344419"/>
    <w:rsid w:val="00344C3E"/>
    <w:rsid w:val="00345695"/>
    <w:rsid w:val="00345B4B"/>
    <w:rsid w:val="003461D3"/>
    <w:rsid w:val="003462D8"/>
    <w:rsid w:val="0034680F"/>
    <w:rsid w:val="003468FA"/>
    <w:rsid w:val="003474A0"/>
    <w:rsid w:val="00347B39"/>
    <w:rsid w:val="00351B82"/>
    <w:rsid w:val="003524D9"/>
    <w:rsid w:val="0035274E"/>
    <w:rsid w:val="0035602D"/>
    <w:rsid w:val="0035688C"/>
    <w:rsid w:val="00356906"/>
    <w:rsid w:val="00357AAE"/>
    <w:rsid w:val="00357D02"/>
    <w:rsid w:val="00357D04"/>
    <w:rsid w:val="00361521"/>
    <w:rsid w:val="003619CA"/>
    <w:rsid w:val="00361C69"/>
    <w:rsid w:val="0036270A"/>
    <w:rsid w:val="00362878"/>
    <w:rsid w:val="00362CDC"/>
    <w:rsid w:val="00363455"/>
    <w:rsid w:val="00363543"/>
    <w:rsid w:val="00365E16"/>
    <w:rsid w:val="00366185"/>
    <w:rsid w:val="00366B35"/>
    <w:rsid w:val="00367551"/>
    <w:rsid w:val="00370297"/>
    <w:rsid w:val="00370532"/>
    <w:rsid w:val="00370B40"/>
    <w:rsid w:val="003713E2"/>
    <w:rsid w:val="00371CC9"/>
    <w:rsid w:val="00371DC7"/>
    <w:rsid w:val="0037293C"/>
    <w:rsid w:val="00372B21"/>
    <w:rsid w:val="003738FD"/>
    <w:rsid w:val="00374821"/>
    <w:rsid w:val="00377441"/>
    <w:rsid w:val="00377482"/>
    <w:rsid w:val="0037772D"/>
    <w:rsid w:val="00377D21"/>
    <w:rsid w:val="0038028E"/>
    <w:rsid w:val="00380892"/>
    <w:rsid w:val="00380CD6"/>
    <w:rsid w:val="00380DD5"/>
    <w:rsid w:val="00380F1B"/>
    <w:rsid w:val="0038132A"/>
    <w:rsid w:val="0038134B"/>
    <w:rsid w:val="003826ED"/>
    <w:rsid w:val="003828E2"/>
    <w:rsid w:val="00383A70"/>
    <w:rsid w:val="00383C76"/>
    <w:rsid w:val="003846DC"/>
    <w:rsid w:val="00384B05"/>
    <w:rsid w:val="00385D97"/>
    <w:rsid w:val="00386934"/>
    <w:rsid w:val="003874D2"/>
    <w:rsid w:val="003905E8"/>
    <w:rsid w:val="00390728"/>
    <w:rsid w:val="003907F8"/>
    <w:rsid w:val="00390B8F"/>
    <w:rsid w:val="00391A67"/>
    <w:rsid w:val="0039485A"/>
    <w:rsid w:val="0039544F"/>
    <w:rsid w:val="00396842"/>
    <w:rsid w:val="00396952"/>
    <w:rsid w:val="00397538"/>
    <w:rsid w:val="003979A4"/>
    <w:rsid w:val="003A0965"/>
    <w:rsid w:val="003A142D"/>
    <w:rsid w:val="003A2ACD"/>
    <w:rsid w:val="003A2FF1"/>
    <w:rsid w:val="003A3FC0"/>
    <w:rsid w:val="003A4260"/>
    <w:rsid w:val="003A4A5A"/>
    <w:rsid w:val="003A50E0"/>
    <w:rsid w:val="003A5E49"/>
    <w:rsid w:val="003A61B9"/>
    <w:rsid w:val="003A6205"/>
    <w:rsid w:val="003A658B"/>
    <w:rsid w:val="003A6802"/>
    <w:rsid w:val="003A6EE7"/>
    <w:rsid w:val="003A6F11"/>
    <w:rsid w:val="003A6F6F"/>
    <w:rsid w:val="003B017F"/>
    <w:rsid w:val="003B0D64"/>
    <w:rsid w:val="003B1833"/>
    <w:rsid w:val="003B3130"/>
    <w:rsid w:val="003B33E0"/>
    <w:rsid w:val="003B46B4"/>
    <w:rsid w:val="003B5872"/>
    <w:rsid w:val="003B5FCB"/>
    <w:rsid w:val="003B6083"/>
    <w:rsid w:val="003B6307"/>
    <w:rsid w:val="003B6E41"/>
    <w:rsid w:val="003C09BA"/>
    <w:rsid w:val="003C1CC2"/>
    <w:rsid w:val="003C1DBC"/>
    <w:rsid w:val="003C2BF9"/>
    <w:rsid w:val="003C3391"/>
    <w:rsid w:val="003C6210"/>
    <w:rsid w:val="003C7AFD"/>
    <w:rsid w:val="003C7ED5"/>
    <w:rsid w:val="003D01C8"/>
    <w:rsid w:val="003D02DA"/>
    <w:rsid w:val="003D0A84"/>
    <w:rsid w:val="003D1097"/>
    <w:rsid w:val="003D3521"/>
    <w:rsid w:val="003D3654"/>
    <w:rsid w:val="003D3828"/>
    <w:rsid w:val="003D43F1"/>
    <w:rsid w:val="003D4AAA"/>
    <w:rsid w:val="003D52DE"/>
    <w:rsid w:val="003D5473"/>
    <w:rsid w:val="003D552C"/>
    <w:rsid w:val="003D6872"/>
    <w:rsid w:val="003D7075"/>
    <w:rsid w:val="003D7A0A"/>
    <w:rsid w:val="003E097A"/>
    <w:rsid w:val="003E09A0"/>
    <w:rsid w:val="003E0AE0"/>
    <w:rsid w:val="003E162D"/>
    <w:rsid w:val="003E1F6C"/>
    <w:rsid w:val="003E3BD2"/>
    <w:rsid w:val="003E40BF"/>
    <w:rsid w:val="003E432A"/>
    <w:rsid w:val="003E4526"/>
    <w:rsid w:val="003E4614"/>
    <w:rsid w:val="003E4740"/>
    <w:rsid w:val="003E48D0"/>
    <w:rsid w:val="003E497A"/>
    <w:rsid w:val="003E4CE2"/>
    <w:rsid w:val="003E58C6"/>
    <w:rsid w:val="003E6047"/>
    <w:rsid w:val="003E629E"/>
    <w:rsid w:val="003E62CE"/>
    <w:rsid w:val="003E6533"/>
    <w:rsid w:val="003E67B6"/>
    <w:rsid w:val="003E7F00"/>
    <w:rsid w:val="003F1EFB"/>
    <w:rsid w:val="003F21C1"/>
    <w:rsid w:val="003F31EC"/>
    <w:rsid w:val="003F41CF"/>
    <w:rsid w:val="003F4F3E"/>
    <w:rsid w:val="003F62E8"/>
    <w:rsid w:val="003F734C"/>
    <w:rsid w:val="003F7BE1"/>
    <w:rsid w:val="0040045A"/>
    <w:rsid w:val="004010E1"/>
    <w:rsid w:val="004011A6"/>
    <w:rsid w:val="00401935"/>
    <w:rsid w:val="00401E62"/>
    <w:rsid w:val="00404421"/>
    <w:rsid w:val="00404CEA"/>
    <w:rsid w:val="00410766"/>
    <w:rsid w:val="00412661"/>
    <w:rsid w:val="004134D7"/>
    <w:rsid w:val="00413877"/>
    <w:rsid w:val="00413FC2"/>
    <w:rsid w:val="004159EA"/>
    <w:rsid w:val="00415A66"/>
    <w:rsid w:val="00415A92"/>
    <w:rsid w:val="004160C0"/>
    <w:rsid w:val="00416154"/>
    <w:rsid w:val="00417673"/>
    <w:rsid w:val="00417ACA"/>
    <w:rsid w:val="00420415"/>
    <w:rsid w:val="00420F1C"/>
    <w:rsid w:val="00422A0F"/>
    <w:rsid w:val="00424432"/>
    <w:rsid w:val="0042530A"/>
    <w:rsid w:val="00425DB8"/>
    <w:rsid w:val="00426A88"/>
    <w:rsid w:val="00427106"/>
    <w:rsid w:val="00427C33"/>
    <w:rsid w:val="0043046E"/>
    <w:rsid w:val="004308E4"/>
    <w:rsid w:val="00430D74"/>
    <w:rsid w:val="004316DB"/>
    <w:rsid w:val="00431F6D"/>
    <w:rsid w:val="004331FB"/>
    <w:rsid w:val="00433976"/>
    <w:rsid w:val="004357CF"/>
    <w:rsid w:val="00435A31"/>
    <w:rsid w:val="0043613A"/>
    <w:rsid w:val="00436DD5"/>
    <w:rsid w:val="00437752"/>
    <w:rsid w:val="004400FF"/>
    <w:rsid w:val="00440137"/>
    <w:rsid w:val="004401CA"/>
    <w:rsid w:val="004407AF"/>
    <w:rsid w:val="00440DA5"/>
    <w:rsid w:val="004417E8"/>
    <w:rsid w:val="00441E6D"/>
    <w:rsid w:val="00442328"/>
    <w:rsid w:val="0044311F"/>
    <w:rsid w:val="00443B84"/>
    <w:rsid w:val="00443CBE"/>
    <w:rsid w:val="00444ACE"/>
    <w:rsid w:val="00444D2C"/>
    <w:rsid w:val="004458CF"/>
    <w:rsid w:val="004459EF"/>
    <w:rsid w:val="00446275"/>
    <w:rsid w:val="0044637E"/>
    <w:rsid w:val="0044656F"/>
    <w:rsid w:val="0045008F"/>
    <w:rsid w:val="004509F1"/>
    <w:rsid w:val="00451A00"/>
    <w:rsid w:val="00452274"/>
    <w:rsid w:val="004522A1"/>
    <w:rsid w:val="0045263D"/>
    <w:rsid w:val="0045439B"/>
    <w:rsid w:val="004546FD"/>
    <w:rsid w:val="0045695B"/>
    <w:rsid w:val="00456EA8"/>
    <w:rsid w:val="004572AC"/>
    <w:rsid w:val="00460590"/>
    <w:rsid w:val="004608F9"/>
    <w:rsid w:val="00461D28"/>
    <w:rsid w:val="00463BCE"/>
    <w:rsid w:val="00463C69"/>
    <w:rsid w:val="00463DE4"/>
    <w:rsid w:val="00463F43"/>
    <w:rsid w:val="00464773"/>
    <w:rsid w:val="00464928"/>
    <w:rsid w:val="004649E6"/>
    <w:rsid w:val="004668DF"/>
    <w:rsid w:val="00466CD1"/>
    <w:rsid w:val="00467D9B"/>
    <w:rsid w:val="00470200"/>
    <w:rsid w:val="00470492"/>
    <w:rsid w:val="00471949"/>
    <w:rsid w:val="00471A6E"/>
    <w:rsid w:val="00471ACB"/>
    <w:rsid w:val="00471CD1"/>
    <w:rsid w:val="0047214E"/>
    <w:rsid w:val="0047258D"/>
    <w:rsid w:val="00473E33"/>
    <w:rsid w:val="00474F34"/>
    <w:rsid w:val="00475281"/>
    <w:rsid w:val="0047658A"/>
    <w:rsid w:val="00476CE0"/>
    <w:rsid w:val="00476D96"/>
    <w:rsid w:val="00477285"/>
    <w:rsid w:val="00477AFE"/>
    <w:rsid w:val="004803DD"/>
    <w:rsid w:val="004808D9"/>
    <w:rsid w:val="0048260D"/>
    <w:rsid w:val="00482A4E"/>
    <w:rsid w:val="00482BF4"/>
    <w:rsid w:val="00483B61"/>
    <w:rsid w:val="00483BD8"/>
    <w:rsid w:val="004840AD"/>
    <w:rsid w:val="0048508D"/>
    <w:rsid w:val="00486221"/>
    <w:rsid w:val="00487575"/>
    <w:rsid w:val="00490612"/>
    <w:rsid w:val="004909AE"/>
    <w:rsid w:val="00490DA9"/>
    <w:rsid w:val="00491066"/>
    <w:rsid w:val="004921AE"/>
    <w:rsid w:val="00493B7C"/>
    <w:rsid w:val="004940C8"/>
    <w:rsid w:val="004941D8"/>
    <w:rsid w:val="004945FD"/>
    <w:rsid w:val="00494C1D"/>
    <w:rsid w:val="00494DD4"/>
    <w:rsid w:val="004956DD"/>
    <w:rsid w:val="00495D76"/>
    <w:rsid w:val="00496378"/>
    <w:rsid w:val="00496E21"/>
    <w:rsid w:val="004A0AE9"/>
    <w:rsid w:val="004A1768"/>
    <w:rsid w:val="004A1DA9"/>
    <w:rsid w:val="004A2899"/>
    <w:rsid w:val="004A2CDA"/>
    <w:rsid w:val="004A46AA"/>
    <w:rsid w:val="004A4D6C"/>
    <w:rsid w:val="004A67E7"/>
    <w:rsid w:val="004A6C11"/>
    <w:rsid w:val="004A6DA3"/>
    <w:rsid w:val="004A70CF"/>
    <w:rsid w:val="004A71AF"/>
    <w:rsid w:val="004A7362"/>
    <w:rsid w:val="004B03E9"/>
    <w:rsid w:val="004B04B8"/>
    <w:rsid w:val="004B0938"/>
    <w:rsid w:val="004B0F07"/>
    <w:rsid w:val="004B10DA"/>
    <w:rsid w:val="004B1491"/>
    <w:rsid w:val="004B18DD"/>
    <w:rsid w:val="004B1B50"/>
    <w:rsid w:val="004B23B1"/>
    <w:rsid w:val="004B27FF"/>
    <w:rsid w:val="004B314B"/>
    <w:rsid w:val="004B3243"/>
    <w:rsid w:val="004B394D"/>
    <w:rsid w:val="004B40AD"/>
    <w:rsid w:val="004B5198"/>
    <w:rsid w:val="004B588B"/>
    <w:rsid w:val="004B5BE9"/>
    <w:rsid w:val="004B60A3"/>
    <w:rsid w:val="004B639F"/>
    <w:rsid w:val="004B7EF0"/>
    <w:rsid w:val="004C1B0D"/>
    <w:rsid w:val="004C2880"/>
    <w:rsid w:val="004C4648"/>
    <w:rsid w:val="004C49CE"/>
    <w:rsid w:val="004C67AD"/>
    <w:rsid w:val="004C6D56"/>
    <w:rsid w:val="004C6FE8"/>
    <w:rsid w:val="004C7107"/>
    <w:rsid w:val="004C78A3"/>
    <w:rsid w:val="004D01EF"/>
    <w:rsid w:val="004D1EBC"/>
    <w:rsid w:val="004D3235"/>
    <w:rsid w:val="004D5B69"/>
    <w:rsid w:val="004D5D2C"/>
    <w:rsid w:val="004D691D"/>
    <w:rsid w:val="004D722B"/>
    <w:rsid w:val="004E00C1"/>
    <w:rsid w:val="004E0684"/>
    <w:rsid w:val="004E0CBD"/>
    <w:rsid w:val="004E13CB"/>
    <w:rsid w:val="004E1570"/>
    <w:rsid w:val="004E1CC5"/>
    <w:rsid w:val="004E366D"/>
    <w:rsid w:val="004E3A3D"/>
    <w:rsid w:val="004E44A2"/>
    <w:rsid w:val="004E48AE"/>
    <w:rsid w:val="004E48E1"/>
    <w:rsid w:val="004E4C70"/>
    <w:rsid w:val="004E4FEE"/>
    <w:rsid w:val="004E5A09"/>
    <w:rsid w:val="004E5FAF"/>
    <w:rsid w:val="004E6E0D"/>
    <w:rsid w:val="004E7BF7"/>
    <w:rsid w:val="004F0124"/>
    <w:rsid w:val="004F0D81"/>
    <w:rsid w:val="004F1F05"/>
    <w:rsid w:val="004F3035"/>
    <w:rsid w:val="004F3A61"/>
    <w:rsid w:val="004F3F1C"/>
    <w:rsid w:val="004F4801"/>
    <w:rsid w:val="004F56C2"/>
    <w:rsid w:val="004F656A"/>
    <w:rsid w:val="004F671B"/>
    <w:rsid w:val="004F6DB0"/>
    <w:rsid w:val="004F763E"/>
    <w:rsid w:val="004F7DE4"/>
    <w:rsid w:val="005004DD"/>
    <w:rsid w:val="0050052F"/>
    <w:rsid w:val="005025AC"/>
    <w:rsid w:val="00502CE5"/>
    <w:rsid w:val="005035EA"/>
    <w:rsid w:val="005042C3"/>
    <w:rsid w:val="00504B37"/>
    <w:rsid w:val="00504B5E"/>
    <w:rsid w:val="00504B68"/>
    <w:rsid w:val="00504E9C"/>
    <w:rsid w:val="00506275"/>
    <w:rsid w:val="0050659F"/>
    <w:rsid w:val="0050735C"/>
    <w:rsid w:val="00510E4D"/>
    <w:rsid w:val="005110C9"/>
    <w:rsid w:val="00511A7A"/>
    <w:rsid w:val="0051224C"/>
    <w:rsid w:val="00512254"/>
    <w:rsid w:val="00512551"/>
    <w:rsid w:val="005125BA"/>
    <w:rsid w:val="005126DB"/>
    <w:rsid w:val="005127C2"/>
    <w:rsid w:val="005141FA"/>
    <w:rsid w:val="00514888"/>
    <w:rsid w:val="00514BC3"/>
    <w:rsid w:val="00514E39"/>
    <w:rsid w:val="005153A3"/>
    <w:rsid w:val="00516052"/>
    <w:rsid w:val="00516F0E"/>
    <w:rsid w:val="00517070"/>
    <w:rsid w:val="00520EBB"/>
    <w:rsid w:val="005216A7"/>
    <w:rsid w:val="00521831"/>
    <w:rsid w:val="00523227"/>
    <w:rsid w:val="005232E7"/>
    <w:rsid w:val="00523477"/>
    <w:rsid w:val="005235C0"/>
    <w:rsid w:val="0052411A"/>
    <w:rsid w:val="00524A9C"/>
    <w:rsid w:val="00525298"/>
    <w:rsid w:val="005252F9"/>
    <w:rsid w:val="005253E7"/>
    <w:rsid w:val="00526781"/>
    <w:rsid w:val="0052751F"/>
    <w:rsid w:val="00527A4C"/>
    <w:rsid w:val="00530A06"/>
    <w:rsid w:val="00530E6A"/>
    <w:rsid w:val="00531747"/>
    <w:rsid w:val="00531831"/>
    <w:rsid w:val="00531D8D"/>
    <w:rsid w:val="00533346"/>
    <w:rsid w:val="00533B1F"/>
    <w:rsid w:val="00534D9A"/>
    <w:rsid w:val="0053556A"/>
    <w:rsid w:val="005361CA"/>
    <w:rsid w:val="005364CD"/>
    <w:rsid w:val="0053700C"/>
    <w:rsid w:val="00537A5A"/>
    <w:rsid w:val="00537BE9"/>
    <w:rsid w:val="0054074B"/>
    <w:rsid w:val="00541184"/>
    <w:rsid w:val="00541CC3"/>
    <w:rsid w:val="00542918"/>
    <w:rsid w:val="00542AA3"/>
    <w:rsid w:val="00543715"/>
    <w:rsid w:val="00544EF8"/>
    <w:rsid w:val="00545100"/>
    <w:rsid w:val="0054533A"/>
    <w:rsid w:val="0054708C"/>
    <w:rsid w:val="0054764E"/>
    <w:rsid w:val="00547747"/>
    <w:rsid w:val="00547B41"/>
    <w:rsid w:val="00547F38"/>
    <w:rsid w:val="00550B10"/>
    <w:rsid w:val="00550B51"/>
    <w:rsid w:val="00550F6D"/>
    <w:rsid w:val="0055106A"/>
    <w:rsid w:val="00551A30"/>
    <w:rsid w:val="00551C04"/>
    <w:rsid w:val="00551C8F"/>
    <w:rsid w:val="00551CC4"/>
    <w:rsid w:val="005528FE"/>
    <w:rsid w:val="00553085"/>
    <w:rsid w:val="00553A9F"/>
    <w:rsid w:val="00553C1E"/>
    <w:rsid w:val="00553F75"/>
    <w:rsid w:val="00554343"/>
    <w:rsid w:val="00554817"/>
    <w:rsid w:val="00554E9F"/>
    <w:rsid w:val="005557B2"/>
    <w:rsid w:val="00555845"/>
    <w:rsid w:val="0055653E"/>
    <w:rsid w:val="00556641"/>
    <w:rsid w:val="00556A6D"/>
    <w:rsid w:val="00556F19"/>
    <w:rsid w:val="00560D8F"/>
    <w:rsid w:val="00560FD1"/>
    <w:rsid w:val="00561239"/>
    <w:rsid w:val="00562BB6"/>
    <w:rsid w:val="00563284"/>
    <w:rsid w:val="00563689"/>
    <w:rsid w:val="0056423D"/>
    <w:rsid w:val="00564B43"/>
    <w:rsid w:val="00564F5A"/>
    <w:rsid w:val="00566116"/>
    <w:rsid w:val="00566680"/>
    <w:rsid w:val="00566CE2"/>
    <w:rsid w:val="005673F7"/>
    <w:rsid w:val="00567573"/>
    <w:rsid w:val="00567BB3"/>
    <w:rsid w:val="00570019"/>
    <w:rsid w:val="00571AED"/>
    <w:rsid w:val="00571CAF"/>
    <w:rsid w:val="005729FF"/>
    <w:rsid w:val="00573567"/>
    <w:rsid w:val="005745D6"/>
    <w:rsid w:val="0057620D"/>
    <w:rsid w:val="00577173"/>
    <w:rsid w:val="00581712"/>
    <w:rsid w:val="0058238A"/>
    <w:rsid w:val="00582B5F"/>
    <w:rsid w:val="005832D6"/>
    <w:rsid w:val="0058422C"/>
    <w:rsid w:val="00585785"/>
    <w:rsid w:val="00585B4E"/>
    <w:rsid w:val="005861CC"/>
    <w:rsid w:val="005862BF"/>
    <w:rsid w:val="00587575"/>
    <w:rsid w:val="0058761E"/>
    <w:rsid w:val="005909E3"/>
    <w:rsid w:val="005915BC"/>
    <w:rsid w:val="00591EF9"/>
    <w:rsid w:val="005925D5"/>
    <w:rsid w:val="005931D2"/>
    <w:rsid w:val="0059394E"/>
    <w:rsid w:val="00593989"/>
    <w:rsid w:val="00593C77"/>
    <w:rsid w:val="00594833"/>
    <w:rsid w:val="005948A9"/>
    <w:rsid w:val="00596B4B"/>
    <w:rsid w:val="005A1A91"/>
    <w:rsid w:val="005A3715"/>
    <w:rsid w:val="005A3E69"/>
    <w:rsid w:val="005A49C6"/>
    <w:rsid w:val="005A584F"/>
    <w:rsid w:val="005A5B3A"/>
    <w:rsid w:val="005A5FB8"/>
    <w:rsid w:val="005A6058"/>
    <w:rsid w:val="005A7032"/>
    <w:rsid w:val="005A78EC"/>
    <w:rsid w:val="005A7B75"/>
    <w:rsid w:val="005A7DB7"/>
    <w:rsid w:val="005B04DD"/>
    <w:rsid w:val="005B1073"/>
    <w:rsid w:val="005B1349"/>
    <w:rsid w:val="005B1E8D"/>
    <w:rsid w:val="005B2336"/>
    <w:rsid w:val="005B2FFE"/>
    <w:rsid w:val="005B377A"/>
    <w:rsid w:val="005B3963"/>
    <w:rsid w:val="005B534B"/>
    <w:rsid w:val="005B56AE"/>
    <w:rsid w:val="005B5F08"/>
    <w:rsid w:val="005B643F"/>
    <w:rsid w:val="005B6E6A"/>
    <w:rsid w:val="005B6F83"/>
    <w:rsid w:val="005B700C"/>
    <w:rsid w:val="005B76FD"/>
    <w:rsid w:val="005B7801"/>
    <w:rsid w:val="005B787F"/>
    <w:rsid w:val="005B7E5B"/>
    <w:rsid w:val="005C07BF"/>
    <w:rsid w:val="005C11B4"/>
    <w:rsid w:val="005C1265"/>
    <w:rsid w:val="005C1A8D"/>
    <w:rsid w:val="005C1B42"/>
    <w:rsid w:val="005C221E"/>
    <w:rsid w:val="005C239A"/>
    <w:rsid w:val="005C3032"/>
    <w:rsid w:val="005C63FD"/>
    <w:rsid w:val="005C713E"/>
    <w:rsid w:val="005C7216"/>
    <w:rsid w:val="005D01F4"/>
    <w:rsid w:val="005D06DB"/>
    <w:rsid w:val="005D08E2"/>
    <w:rsid w:val="005D24BB"/>
    <w:rsid w:val="005D4159"/>
    <w:rsid w:val="005D47BC"/>
    <w:rsid w:val="005D4B8E"/>
    <w:rsid w:val="005D5A25"/>
    <w:rsid w:val="005D629B"/>
    <w:rsid w:val="005D69AE"/>
    <w:rsid w:val="005D79F6"/>
    <w:rsid w:val="005D7AA9"/>
    <w:rsid w:val="005D7DEE"/>
    <w:rsid w:val="005E1711"/>
    <w:rsid w:val="005E25C8"/>
    <w:rsid w:val="005E283A"/>
    <w:rsid w:val="005E2A5E"/>
    <w:rsid w:val="005E3532"/>
    <w:rsid w:val="005E3B7C"/>
    <w:rsid w:val="005E597F"/>
    <w:rsid w:val="005E5BA4"/>
    <w:rsid w:val="005E74C4"/>
    <w:rsid w:val="005F0405"/>
    <w:rsid w:val="005F0CE3"/>
    <w:rsid w:val="005F168C"/>
    <w:rsid w:val="005F28C0"/>
    <w:rsid w:val="005F3206"/>
    <w:rsid w:val="005F3B45"/>
    <w:rsid w:val="005F3F45"/>
    <w:rsid w:val="005F4C53"/>
    <w:rsid w:val="005F59D3"/>
    <w:rsid w:val="005F68B3"/>
    <w:rsid w:val="005F6D53"/>
    <w:rsid w:val="005F7685"/>
    <w:rsid w:val="00600343"/>
    <w:rsid w:val="006009D8"/>
    <w:rsid w:val="00600EE2"/>
    <w:rsid w:val="00601DE7"/>
    <w:rsid w:val="00601E9D"/>
    <w:rsid w:val="00602A45"/>
    <w:rsid w:val="00602B91"/>
    <w:rsid w:val="00602E6D"/>
    <w:rsid w:val="006033C3"/>
    <w:rsid w:val="00603B77"/>
    <w:rsid w:val="00603C6B"/>
    <w:rsid w:val="00604288"/>
    <w:rsid w:val="00604798"/>
    <w:rsid w:val="00604BC8"/>
    <w:rsid w:val="00604F48"/>
    <w:rsid w:val="00605C0F"/>
    <w:rsid w:val="00605C59"/>
    <w:rsid w:val="00605DD7"/>
    <w:rsid w:val="00605DEA"/>
    <w:rsid w:val="006069E7"/>
    <w:rsid w:val="00606A6C"/>
    <w:rsid w:val="00606B8F"/>
    <w:rsid w:val="00606C1F"/>
    <w:rsid w:val="00606D93"/>
    <w:rsid w:val="00607733"/>
    <w:rsid w:val="00610712"/>
    <w:rsid w:val="00610C6F"/>
    <w:rsid w:val="00611C05"/>
    <w:rsid w:val="00613DC2"/>
    <w:rsid w:val="00614478"/>
    <w:rsid w:val="00614648"/>
    <w:rsid w:val="00614835"/>
    <w:rsid w:val="00615567"/>
    <w:rsid w:val="00615814"/>
    <w:rsid w:val="00616257"/>
    <w:rsid w:val="006176D6"/>
    <w:rsid w:val="00617CF8"/>
    <w:rsid w:val="00621024"/>
    <w:rsid w:val="00621C07"/>
    <w:rsid w:val="00623C1B"/>
    <w:rsid w:val="0062415C"/>
    <w:rsid w:val="0062463A"/>
    <w:rsid w:val="00624C23"/>
    <w:rsid w:val="00625C02"/>
    <w:rsid w:val="006306CE"/>
    <w:rsid w:val="00631170"/>
    <w:rsid w:val="00631553"/>
    <w:rsid w:val="00631737"/>
    <w:rsid w:val="00631898"/>
    <w:rsid w:val="00632A0E"/>
    <w:rsid w:val="00634637"/>
    <w:rsid w:val="00635242"/>
    <w:rsid w:val="00635B47"/>
    <w:rsid w:val="00640C39"/>
    <w:rsid w:val="006410CC"/>
    <w:rsid w:val="006415EC"/>
    <w:rsid w:val="0064268A"/>
    <w:rsid w:val="00642A4E"/>
    <w:rsid w:val="00643E73"/>
    <w:rsid w:val="00644562"/>
    <w:rsid w:val="0064468F"/>
    <w:rsid w:val="006446F3"/>
    <w:rsid w:val="00644CCD"/>
    <w:rsid w:val="00646127"/>
    <w:rsid w:val="0064616A"/>
    <w:rsid w:val="0064620A"/>
    <w:rsid w:val="0064683D"/>
    <w:rsid w:val="00646B29"/>
    <w:rsid w:val="00647277"/>
    <w:rsid w:val="00647ED6"/>
    <w:rsid w:val="00651595"/>
    <w:rsid w:val="0065168D"/>
    <w:rsid w:val="006517C6"/>
    <w:rsid w:val="00651C62"/>
    <w:rsid w:val="00652261"/>
    <w:rsid w:val="006526DF"/>
    <w:rsid w:val="00652EF4"/>
    <w:rsid w:val="006531E8"/>
    <w:rsid w:val="00653254"/>
    <w:rsid w:val="00653B57"/>
    <w:rsid w:val="00653D46"/>
    <w:rsid w:val="00654C23"/>
    <w:rsid w:val="00654E41"/>
    <w:rsid w:val="006553EE"/>
    <w:rsid w:val="006559B7"/>
    <w:rsid w:val="006561EE"/>
    <w:rsid w:val="00656E54"/>
    <w:rsid w:val="00657BC2"/>
    <w:rsid w:val="00661360"/>
    <w:rsid w:val="0066145D"/>
    <w:rsid w:val="00661FB8"/>
    <w:rsid w:val="00662B72"/>
    <w:rsid w:val="006642FD"/>
    <w:rsid w:val="0066463D"/>
    <w:rsid w:val="00664A3A"/>
    <w:rsid w:val="006654F8"/>
    <w:rsid w:val="0066596E"/>
    <w:rsid w:val="00666204"/>
    <w:rsid w:val="00666205"/>
    <w:rsid w:val="00666AA2"/>
    <w:rsid w:val="006670FF"/>
    <w:rsid w:val="0067008B"/>
    <w:rsid w:val="0067010F"/>
    <w:rsid w:val="006705E5"/>
    <w:rsid w:val="0067183B"/>
    <w:rsid w:val="00671845"/>
    <w:rsid w:val="006719F9"/>
    <w:rsid w:val="00671D27"/>
    <w:rsid w:val="00671E8B"/>
    <w:rsid w:val="00672BAB"/>
    <w:rsid w:val="00673C72"/>
    <w:rsid w:val="00674321"/>
    <w:rsid w:val="006746B8"/>
    <w:rsid w:val="0067526E"/>
    <w:rsid w:val="006752ED"/>
    <w:rsid w:val="006754A5"/>
    <w:rsid w:val="006756AE"/>
    <w:rsid w:val="006764BA"/>
    <w:rsid w:val="00676D24"/>
    <w:rsid w:val="0067731A"/>
    <w:rsid w:val="0067738F"/>
    <w:rsid w:val="0067786D"/>
    <w:rsid w:val="00677CEA"/>
    <w:rsid w:val="006801B5"/>
    <w:rsid w:val="006804B6"/>
    <w:rsid w:val="0068196E"/>
    <w:rsid w:val="006833F3"/>
    <w:rsid w:val="00683E16"/>
    <w:rsid w:val="00685198"/>
    <w:rsid w:val="00685261"/>
    <w:rsid w:val="00685C6E"/>
    <w:rsid w:val="0068622C"/>
    <w:rsid w:val="006862F3"/>
    <w:rsid w:val="00686646"/>
    <w:rsid w:val="00690249"/>
    <w:rsid w:val="00690D11"/>
    <w:rsid w:val="00690E59"/>
    <w:rsid w:val="00691484"/>
    <w:rsid w:val="00691B45"/>
    <w:rsid w:val="00692ABE"/>
    <w:rsid w:val="00692FA0"/>
    <w:rsid w:val="00693282"/>
    <w:rsid w:val="006932D8"/>
    <w:rsid w:val="00693571"/>
    <w:rsid w:val="006938AA"/>
    <w:rsid w:val="006947A3"/>
    <w:rsid w:val="006948B4"/>
    <w:rsid w:val="00695345"/>
    <w:rsid w:val="0069538F"/>
    <w:rsid w:val="00695C7B"/>
    <w:rsid w:val="00695D96"/>
    <w:rsid w:val="00695D9E"/>
    <w:rsid w:val="006960E8"/>
    <w:rsid w:val="006A00AE"/>
    <w:rsid w:val="006A040E"/>
    <w:rsid w:val="006A098F"/>
    <w:rsid w:val="006A0D57"/>
    <w:rsid w:val="006A1209"/>
    <w:rsid w:val="006A12DB"/>
    <w:rsid w:val="006A3A7C"/>
    <w:rsid w:val="006A4484"/>
    <w:rsid w:val="006A4747"/>
    <w:rsid w:val="006A47F2"/>
    <w:rsid w:val="006A4993"/>
    <w:rsid w:val="006A56B1"/>
    <w:rsid w:val="006A5A98"/>
    <w:rsid w:val="006A5BE3"/>
    <w:rsid w:val="006A5E4F"/>
    <w:rsid w:val="006A5F93"/>
    <w:rsid w:val="006A6487"/>
    <w:rsid w:val="006A7017"/>
    <w:rsid w:val="006B020A"/>
    <w:rsid w:val="006B05F5"/>
    <w:rsid w:val="006B0DD4"/>
    <w:rsid w:val="006B1520"/>
    <w:rsid w:val="006B1E61"/>
    <w:rsid w:val="006B3390"/>
    <w:rsid w:val="006B3E9E"/>
    <w:rsid w:val="006B4E88"/>
    <w:rsid w:val="006B519F"/>
    <w:rsid w:val="006B569D"/>
    <w:rsid w:val="006B7161"/>
    <w:rsid w:val="006B7C39"/>
    <w:rsid w:val="006B7C5C"/>
    <w:rsid w:val="006C02F1"/>
    <w:rsid w:val="006C0B18"/>
    <w:rsid w:val="006C2837"/>
    <w:rsid w:val="006C2B7D"/>
    <w:rsid w:val="006C30A8"/>
    <w:rsid w:val="006C319E"/>
    <w:rsid w:val="006C3492"/>
    <w:rsid w:val="006C44F2"/>
    <w:rsid w:val="006C4C27"/>
    <w:rsid w:val="006C4C53"/>
    <w:rsid w:val="006C66A0"/>
    <w:rsid w:val="006C6BEC"/>
    <w:rsid w:val="006C6EF6"/>
    <w:rsid w:val="006C6EF8"/>
    <w:rsid w:val="006C776F"/>
    <w:rsid w:val="006D16E4"/>
    <w:rsid w:val="006D1FC2"/>
    <w:rsid w:val="006D2C29"/>
    <w:rsid w:val="006D369D"/>
    <w:rsid w:val="006D3928"/>
    <w:rsid w:val="006D4C9B"/>
    <w:rsid w:val="006D5223"/>
    <w:rsid w:val="006D5C7A"/>
    <w:rsid w:val="006D76A5"/>
    <w:rsid w:val="006D7782"/>
    <w:rsid w:val="006D7877"/>
    <w:rsid w:val="006D7B56"/>
    <w:rsid w:val="006E0AD6"/>
    <w:rsid w:val="006E1197"/>
    <w:rsid w:val="006E1252"/>
    <w:rsid w:val="006E18DD"/>
    <w:rsid w:val="006E1ED4"/>
    <w:rsid w:val="006E202F"/>
    <w:rsid w:val="006E20BA"/>
    <w:rsid w:val="006E23C6"/>
    <w:rsid w:val="006E2694"/>
    <w:rsid w:val="006E2865"/>
    <w:rsid w:val="006E3930"/>
    <w:rsid w:val="006E4F16"/>
    <w:rsid w:val="006E5BB7"/>
    <w:rsid w:val="006E5EB3"/>
    <w:rsid w:val="006E6F87"/>
    <w:rsid w:val="006E7742"/>
    <w:rsid w:val="006F07E1"/>
    <w:rsid w:val="006F0C23"/>
    <w:rsid w:val="006F1CCC"/>
    <w:rsid w:val="006F1F4B"/>
    <w:rsid w:val="006F3880"/>
    <w:rsid w:val="006F39E7"/>
    <w:rsid w:val="006F3A42"/>
    <w:rsid w:val="006F51F2"/>
    <w:rsid w:val="006F5A65"/>
    <w:rsid w:val="006F64C6"/>
    <w:rsid w:val="006F6BF8"/>
    <w:rsid w:val="006F6F19"/>
    <w:rsid w:val="007000D1"/>
    <w:rsid w:val="007007D3"/>
    <w:rsid w:val="00700F1B"/>
    <w:rsid w:val="0070122F"/>
    <w:rsid w:val="00701267"/>
    <w:rsid w:val="007020D6"/>
    <w:rsid w:val="007035E2"/>
    <w:rsid w:val="00703B9C"/>
    <w:rsid w:val="007040EB"/>
    <w:rsid w:val="00706718"/>
    <w:rsid w:val="0070741F"/>
    <w:rsid w:val="0070797B"/>
    <w:rsid w:val="00707B67"/>
    <w:rsid w:val="00710531"/>
    <w:rsid w:val="00710A96"/>
    <w:rsid w:val="0071109F"/>
    <w:rsid w:val="007113A7"/>
    <w:rsid w:val="007123E2"/>
    <w:rsid w:val="007132DA"/>
    <w:rsid w:val="00714FF2"/>
    <w:rsid w:val="00716780"/>
    <w:rsid w:val="007168B9"/>
    <w:rsid w:val="00716AA6"/>
    <w:rsid w:val="00716AF9"/>
    <w:rsid w:val="00716CE2"/>
    <w:rsid w:val="00716D2A"/>
    <w:rsid w:val="00716F9A"/>
    <w:rsid w:val="007170DB"/>
    <w:rsid w:val="007207AF"/>
    <w:rsid w:val="007213F7"/>
    <w:rsid w:val="007215B3"/>
    <w:rsid w:val="00721964"/>
    <w:rsid w:val="00721F1D"/>
    <w:rsid w:val="00722450"/>
    <w:rsid w:val="00723293"/>
    <w:rsid w:val="00723F6C"/>
    <w:rsid w:val="00724060"/>
    <w:rsid w:val="007241E3"/>
    <w:rsid w:val="007243DA"/>
    <w:rsid w:val="00724E74"/>
    <w:rsid w:val="0072587A"/>
    <w:rsid w:val="00726599"/>
    <w:rsid w:val="007265F1"/>
    <w:rsid w:val="00726C26"/>
    <w:rsid w:val="00727112"/>
    <w:rsid w:val="00727603"/>
    <w:rsid w:val="00727986"/>
    <w:rsid w:val="00727C4B"/>
    <w:rsid w:val="00730237"/>
    <w:rsid w:val="007302AC"/>
    <w:rsid w:val="00730731"/>
    <w:rsid w:val="007315A5"/>
    <w:rsid w:val="00731A6D"/>
    <w:rsid w:val="007320C2"/>
    <w:rsid w:val="00732AD5"/>
    <w:rsid w:val="00732C37"/>
    <w:rsid w:val="00732C66"/>
    <w:rsid w:val="00732F51"/>
    <w:rsid w:val="00734A96"/>
    <w:rsid w:val="0073565B"/>
    <w:rsid w:val="0073572A"/>
    <w:rsid w:val="00735E43"/>
    <w:rsid w:val="00736883"/>
    <w:rsid w:val="00737525"/>
    <w:rsid w:val="00737582"/>
    <w:rsid w:val="007400ED"/>
    <w:rsid w:val="00740521"/>
    <w:rsid w:val="00740C4A"/>
    <w:rsid w:val="00740E47"/>
    <w:rsid w:val="0074133E"/>
    <w:rsid w:val="007421FA"/>
    <w:rsid w:val="00742235"/>
    <w:rsid w:val="00743F73"/>
    <w:rsid w:val="0074473D"/>
    <w:rsid w:val="0074475E"/>
    <w:rsid w:val="00744E88"/>
    <w:rsid w:val="00745315"/>
    <w:rsid w:val="00745BB9"/>
    <w:rsid w:val="007460A7"/>
    <w:rsid w:val="007475B2"/>
    <w:rsid w:val="007476AA"/>
    <w:rsid w:val="0075011E"/>
    <w:rsid w:val="00750207"/>
    <w:rsid w:val="00750AAF"/>
    <w:rsid w:val="00750E9F"/>
    <w:rsid w:val="00751100"/>
    <w:rsid w:val="007512E3"/>
    <w:rsid w:val="00751888"/>
    <w:rsid w:val="00751ECC"/>
    <w:rsid w:val="00754C9B"/>
    <w:rsid w:val="00754EA1"/>
    <w:rsid w:val="00755CF4"/>
    <w:rsid w:val="00757557"/>
    <w:rsid w:val="00757B61"/>
    <w:rsid w:val="00757F55"/>
    <w:rsid w:val="007607E6"/>
    <w:rsid w:val="00761921"/>
    <w:rsid w:val="0076280E"/>
    <w:rsid w:val="00763006"/>
    <w:rsid w:val="007633FA"/>
    <w:rsid w:val="00764130"/>
    <w:rsid w:val="0076495F"/>
    <w:rsid w:val="007649EB"/>
    <w:rsid w:val="00764B07"/>
    <w:rsid w:val="00765ABC"/>
    <w:rsid w:val="00765EF8"/>
    <w:rsid w:val="00767C6D"/>
    <w:rsid w:val="0077026A"/>
    <w:rsid w:val="00770BEE"/>
    <w:rsid w:val="00771C17"/>
    <w:rsid w:val="00772F76"/>
    <w:rsid w:val="007734E5"/>
    <w:rsid w:val="00774F86"/>
    <w:rsid w:val="00775071"/>
    <w:rsid w:val="00775420"/>
    <w:rsid w:val="00775CED"/>
    <w:rsid w:val="00775E91"/>
    <w:rsid w:val="00776685"/>
    <w:rsid w:val="00777115"/>
    <w:rsid w:val="007771E7"/>
    <w:rsid w:val="00777C1A"/>
    <w:rsid w:val="00780060"/>
    <w:rsid w:val="00780C78"/>
    <w:rsid w:val="00780C80"/>
    <w:rsid w:val="00782274"/>
    <w:rsid w:val="007838AC"/>
    <w:rsid w:val="007842CC"/>
    <w:rsid w:val="007846D6"/>
    <w:rsid w:val="007854E8"/>
    <w:rsid w:val="0078601A"/>
    <w:rsid w:val="00786517"/>
    <w:rsid w:val="007869CD"/>
    <w:rsid w:val="00790544"/>
    <w:rsid w:val="00790C9D"/>
    <w:rsid w:val="00790FEA"/>
    <w:rsid w:val="00790FFF"/>
    <w:rsid w:val="0079129A"/>
    <w:rsid w:val="007917DB"/>
    <w:rsid w:val="00791805"/>
    <w:rsid w:val="00791C7C"/>
    <w:rsid w:val="007920BC"/>
    <w:rsid w:val="00792448"/>
    <w:rsid w:val="00792B2C"/>
    <w:rsid w:val="00792D65"/>
    <w:rsid w:val="007932DF"/>
    <w:rsid w:val="00793944"/>
    <w:rsid w:val="00795073"/>
    <w:rsid w:val="0079583E"/>
    <w:rsid w:val="00796D29"/>
    <w:rsid w:val="007976AC"/>
    <w:rsid w:val="00797852"/>
    <w:rsid w:val="00797DF5"/>
    <w:rsid w:val="007A1662"/>
    <w:rsid w:val="007A1AF6"/>
    <w:rsid w:val="007A2D9D"/>
    <w:rsid w:val="007A31E0"/>
    <w:rsid w:val="007A3F07"/>
    <w:rsid w:val="007A429E"/>
    <w:rsid w:val="007A4988"/>
    <w:rsid w:val="007A57C9"/>
    <w:rsid w:val="007A623A"/>
    <w:rsid w:val="007A7B53"/>
    <w:rsid w:val="007B1241"/>
    <w:rsid w:val="007B13AA"/>
    <w:rsid w:val="007B191D"/>
    <w:rsid w:val="007B3303"/>
    <w:rsid w:val="007B349F"/>
    <w:rsid w:val="007B35DE"/>
    <w:rsid w:val="007B3F41"/>
    <w:rsid w:val="007B4339"/>
    <w:rsid w:val="007B4721"/>
    <w:rsid w:val="007B4CCF"/>
    <w:rsid w:val="007B5C8F"/>
    <w:rsid w:val="007B68CB"/>
    <w:rsid w:val="007B701C"/>
    <w:rsid w:val="007B7630"/>
    <w:rsid w:val="007B7760"/>
    <w:rsid w:val="007B7B39"/>
    <w:rsid w:val="007C05A1"/>
    <w:rsid w:val="007C1281"/>
    <w:rsid w:val="007C12EF"/>
    <w:rsid w:val="007C1CFC"/>
    <w:rsid w:val="007C2276"/>
    <w:rsid w:val="007C3305"/>
    <w:rsid w:val="007C3ABF"/>
    <w:rsid w:val="007C3DA7"/>
    <w:rsid w:val="007C3EAC"/>
    <w:rsid w:val="007C4846"/>
    <w:rsid w:val="007C5663"/>
    <w:rsid w:val="007C6BA2"/>
    <w:rsid w:val="007C6EF3"/>
    <w:rsid w:val="007C7164"/>
    <w:rsid w:val="007C722E"/>
    <w:rsid w:val="007D0AB8"/>
    <w:rsid w:val="007D11D9"/>
    <w:rsid w:val="007D1CCA"/>
    <w:rsid w:val="007D21E5"/>
    <w:rsid w:val="007D2687"/>
    <w:rsid w:val="007D2FE4"/>
    <w:rsid w:val="007D359C"/>
    <w:rsid w:val="007D3667"/>
    <w:rsid w:val="007D38D3"/>
    <w:rsid w:val="007D436A"/>
    <w:rsid w:val="007D52A6"/>
    <w:rsid w:val="007D56FA"/>
    <w:rsid w:val="007D5723"/>
    <w:rsid w:val="007D5E03"/>
    <w:rsid w:val="007D5E0B"/>
    <w:rsid w:val="007D61DB"/>
    <w:rsid w:val="007D630A"/>
    <w:rsid w:val="007D7BE9"/>
    <w:rsid w:val="007E001C"/>
    <w:rsid w:val="007E0E35"/>
    <w:rsid w:val="007E0FA9"/>
    <w:rsid w:val="007E3D2D"/>
    <w:rsid w:val="007E3F7E"/>
    <w:rsid w:val="007E3FC1"/>
    <w:rsid w:val="007E4033"/>
    <w:rsid w:val="007E49FE"/>
    <w:rsid w:val="007E4C21"/>
    <w:rsid w:val="007E58FD"/>
    <w:rsid w:val="007E62F9"/>
    <w:rsid w:val="007E631B"/>
    <w:rsid w:val="007E76A0"/>
    <w:rsid w:val="007E7C19"/>
    <w:rsid w:val="007F01F9"/>
    <w:rsid w:val="007F044B"/>
    <w:rsid w:val="007F0CD1"/>
    <w:rsid w:val="007F120D"/>
    <w:rsid w:val="007F1345"/>
    <w:rsid w:val="007F17BE"/>
    <w:rsid w:val="007F2545"/>
    <w:rsid w:val="007F2FF4"/>
    <w:rsid w:val="007F3747"/>
    <w:rsid w:val="007F3CA5"/>
    <w:rsid w:val="007F5047"/>
    <w:rsid w:val="007F540B"/>
    <w:rsid w:val="007F5AB8"/>
    <w:rsid w:val="007F5B30"/>
    <w:rsid w:val="007F6211"/>
    <w:rsid w:val="007F636B"/>
    <w:rsid w:val="00800B56"/>
    <w:rsid w:val="00800B61"/>
    <w:rsid w:val="0080130B"/>
    <w:rsid w:val="008016B2"/>
    <w:rsid w:val="00802DC7"/>
    <w:rsid w:val="008031F6"/>
    <w:rsid w:val="0080343E"/>
    <w:rsid w:val="0080427E"/>
    <w:rsid w:val="00804459"/>
    <w:rsid w:val="00804AA4"/>
    <w:rsid w:val="0080525A"/>
    <w:rsid w:val="008053FF"/>
    <w:rsid w:val="00805C96"/>
    <w:rsid w:val="00805EF8"/>
    <w:rsid w:val="0080651A"/>
    <w:rsid w:val="008067DB"/>
    <w:rsid w:val="00806819"/>
    <w:rsid w:val="00806A93"/>
    <w:rsid w:val="00806ABC"/>
    <w:rsid w:val="00810524"/>
    <w:rsid w:val="00810AA1"/>
    <w:rsid w:val="00810D91"/>
    <w:rsid w:val="00811305"/>
    <w:rsid w:val="00811688"/>
    <w:rsid w:val="0081480A"/>
    <w:rsid w:val="008150EE"/>
    <w:rsid w:val="00815F02"/>
    <w:rsid w:val="00816227"/>
    <w:rsid w:val="00816490"/>
    <w:rsid w:val="00816F70"/>
    <w:rsid w:val="0081785B"/>
    <w:rsid w:val="00820458"/>
    <w:rsid w:val="00820621"/>
    <w:rsid w:val="00821197"/>
    <w:rsid w:val="008211FE"/>
    <w:rsid w:val="00821947"/>
    <w:rsid w:val="008221BE"/>
    <w:rsid w:val="008230AF"/>
    <w:rsid w:val="0082477A"/>
    <w:rsid w:val="00824B3F"/>
    <w:rsid w:val="0082518E"/>
    <w:rsid w:val="008255EA"/>
    <w:rsid w:val="0082581A"/>
    <w:rsid w:val="00825DAD"/>
    <w:rsid w:val="00826A30"/>
    <w:rsid w:val="00826CAE"/>
    <w:rsid w:val="008277B9"/>
    <w:rsid w:val="0082791C"/>
    <w:rsid w:val="008300C4"/>
    <w:rsid w:val="00830D31"/>
    <w:rsid w:val="00831300"/>
    <w:rsid w:val="00832A76"/>
    <w:rsid w:val="0083337A"/>
    <w:rsid w:val="008339C5"/>
    <w:rsid w:val="0083413B"/>
    <w:rsid w:val="00834626"/>
    <w:rsid w:val="00834E06"/>
    <w:rsid w:val="008368CD"/>
    <w:rsid w:val="0083694D"/>
    <w:rsid w:val="00836F36"/>
    <w:rsid w:val="0083720C"/>
    <w:rsid w:val="008379D3"/>
    <w:rsid w:val="00837FC0"/>
    <w:rsid w:val="00840076"/>
    <w:rsid w:val="00840A4F"/>
    <w:rsid w:val="0084139E"/>
    <w:rsid w:val="00841585"/>
    <w:rsid w:val="00842A0A"/>
    <w:rsid w:val="00842A7B"/>
    <w:rsid w:val="00842E4B"/>
    <w:rsid w:val="00843101"/>
    <w:rsid w:val="00843105"/>
    <w:rsid w:val="00843264"/>
    <w:rsid w:val="0084349D"/>
    <w:rsid w:val="00844301"/>
    <w:rsid w:val="00844488"/>
    <w:rsid w:val="0084599B"/>
    <w:rsid w:val="00845C55"/>
    <w:rsid w:val="00845CB9"/>
    <w:rsid w:val="00846787"/>
    <w:rsid w:val="008467C4"/>
    <w:rsid w:val="00847BC3"/>
    <w:rsid w:val="0085097B"/>
    <w:rsid w:val="00852AE4"/>
    <w:rsid w:val="00852FA6"/>
    <w:rsid w:val="00853323"/>
    <w:rsid w:val="00855AFF"/>
    <w:rsid w:val="00855B2C"/>
    <w:rsid w:val="00855D78"/>
    <w:rsid w:val="00860A58"/>
    <w:rsid w:val="0086106D"/>
    <w:rsid w:val="0086199A"/>
    <w:rsid w:val="00862D84"/>
    <w:rsid w:val="008631BA"/>
    <w:rsid w:val="00863E61"/>
    <w:rsid w:val="00865EB4"/>
    <w:rsid w:val="008666E7"/>
    <w:rsid w:val="0086708F"/>
    <w:rsid w:val="008706D1"/>
    <w:rsid w:val="008722F0"/>
    <w:rsid w:val="00872587"/>
    <w:rsid w:val="0087289E"/>
    <w:rsid w:val="008732C7"/>
    <w:rsid w:val="00874159"/>
    <w:rsid w:val="00874768"/>
    <w:rsid w:val="008751D4"/>
    <w:rsid w:val="0087767D"/>
    <w:rsid w:val="00880D37"/>
    <w:rsid w:val="00880E53"/>
    <w:rsid w:val="008825A3"/>
    <w:rsid w:val="00883355"/>
    <w:rsid w:val="00883AED"/>
    <w:rsid w:val="00883F34"/>
    <w:rsid w:val="0088417A"/>
    <w:rsid w:val="008841B5"/>
    <w:rsid w:val="00884B6E"/>
    <w:rsid w:val="00884E51"/>
    <w:rsid w:val="008862A6"/>
    <w:rsid w:val="00887645"/>
    <w:rsid w:val="00887E6F"/>
    <w:rsid w:val="0089041B"/>
    <w:rsid w:val="0089098F"/>
    <w:rsid w:val="00890C2F"/>
    <w:rsid w:val="00890ED0"/>
    <w:rsid w:val="00891E96"/>
    <w:rsid w:val="008926A2"/>
    <w:rsid w:val="0089354F"/>
    <w:rsid w:val="0089381E"/>
    <w:rsid w:val="00893892"/>
    <w:rsid w:val="0089413E"/>
    <w:rsid w:val="00896100"/>
    <w:rsid w:val="008965AF"/>
    <w:rsid w:val="00897A3B"/>
    <w:rsid w:val="00897F57"/>
    <w:rsid w:val="008A0409"/>
    <w:rsid w:val="008A0BE0"/>
    <w:rsid w:val="008A1562"/>
    <w:rsid w:val="008A29DF"/>
    <w:rsid w:val="008A653E"/>
    <w:rsid w:val="008A6B92"/>
    <w:rsid w:val="008A6E84"/>
    <w:rsid w:val="008A70B4"/>
    <w:rsid w:val="008A7506"/>
    <w:rsid w:val="008A7E1D"/>
    <w:rsid w:val="008B03C3"/>
    <w:rsid w:val="008B2319"/>
    <w:rsid w:val="008B2657"/>
    <w:rsid w:val="008B3BC8"/>
    <w:rsid w:val="008B4AA1"/>
    <w:rsid w:val="008B4FF5"/>
    <w:rsid w:val="008B6303"/>
    <w:rsid w:val="008B71F2"/>
    <w:rsid w:val="008C12DE"/>
    <w:rsid w:val="008C16C0"/>
    <w:rsid w:val="008C2532"/>
    <w:rsid w:val="008C5EBC"/>
    <w:rsid w:val="008C64BE"/>
    <w:rsid w:val="008C64E0"/>
    <w:rsid w:val="008C6EA0"/>
    <w:rsid w:val="008D0601"/>
    <w:rsid w:val="008D0B89"/>
    <w:rsid w:val="008D177C"/>
    <w:rsid w:val="008D1A49"/>
    <w:rsid w:val="008D1F3D"/>
    <w:rsid w:val="008D1FD1"/>
    <w:rsid w:val="008D38C0"/>
    <w:rsid w:val="008D3B13"/>
    <w:rsid w:val="008D3BEC"/>
    <w:rsid w:val="008D3C4C"/>
    <w:rsid w:val="008D43B3"/>
    <w:rsid w:val="008D4A18"/>
    <w:rsid w:val="008D78BD"/>
    <w:rsid w:val="008D7E92"/>
    <w:rsid w:val="008E0B0A"/>
    <w:rsid w:val="008E1BE8"/>
    <w:rsid w:val="008E4076"/>
    <w:rsid w:val="008E50FF"/>
    <w:rsid w:val="008E53E2"/>
    <w:rsid w:val="008E5F79"/>
    <w:rsid w:val="008E65D3"/>
    <w:rsid w:val="008E758F"/>
    <w:rsid w:val="008E75DB"/>
    <w:rsid w:val="008F0C7E"/>
    <w:rsid w:val="008F1B85"/>
    <w:rsid w:val="008F1D8A"/>
    <w:rsid w:val="008F2469"/>
    <w:rsid w:val="008F2B6B"/>
    <w:rsid w:val="008F306C"/>
    <w:rsid w:val="008F3A5E"/>
    <w:rsid w:val="008F3AF6"/>
    <w:rsid w:val="008F3BE7"/>
    <w:rsid w:val="008F52E8"/>
    <w:rsid w:val="008F585D"/>
    <w:rsid w:val="008F5BA4"/>
    <w:rsid w:val="008F5CDE"/>
    <w:rsid w:val="008F5D81"/>
    <w:rsid w:val="008F686E"/>
    <w:rsid w:val="008F6A50"/>
    <w:rsid w:val="008F746E"/>
    <w:rsid w:val="0090053E"/>
    <w:rsid w:val="00900584"/>
    <w:rsid w:val="0090077A"/>
    <w:rsid w:val="00901038"/>
    <w:rsid w:val="009021D0"/>
    <w:rsid w:val="0090361F"/>
    <w:rsid w:val="009042C3"/>
    <w:rsid w:val="00904A4B"/>
    <w:rsid w:val="009064FA"/>
    <w:rsid w:val="00906716"/>
    <w:rsid w:val="009069FE"/>
    <w:rsid w:val="0090780D"/>
    <w:rsid w:val="009079C3"/>
    <w:rsid w:val="00910579"/>
    <w:rsid w:val="009106D1"/>
    <w:rsid w:val="00911B03"/>
    <w:rsid w:val="009123D1"/>
    <w:rsid w:val="0091292E"/>
    <w:rsid w:val="00912BBA"/>
    <w:rsid w:val="0091321B"/>
    <w:rsid w:val="00913332"/>
    <w:rsid w:val="00913906"/>
    <w:rsid w:val="00915AD6"/>
    <w:rsid w:val="00915B5E"/>
    <w:rsid w:val="00915C20"/>
    <w:rsid w:val="00916641"/>
    <w:rsid w:val="00916C4E"/>
    <w:rsid w:val="00916CF6"/>
    <w:rsid w:val="00916EF4"/>
    <w:rsid w:val="00917D70"/>
    <w:rsid w:val="009207A9"/>
    <w:rsid w:val="00920B6B"/>
    <w:rsid w:val="00920E70"/>
    <w:rsid w:val="00920E79"/>
    <w:rsid w:val="009212E1"/>
    <w:rsid w:val="00921372"/>
    <w:rsid w:val="00921EF9"/>
    <w:rsid w:val="009221E3"/>
    <w:rsid w:val="00922F22"/>
    <w:rsid w:val="00923499"/>
    <w:rsid w:val="0092441B"/>
    <w:rsid w:val="00924596"/>
    <w:rsid w:val="00924D10"/>
    <w:rsid w:val="0092533C"/>
    <w:rsid w:val="009255B2"/>
    <w:rsid w:val="00925D83"/>
    <w:rsid w:val="00927277"/>
    <w:rsid w:val="00927E48"/>
    <w:rsid w:val="00930EA7"/>
    <w:rsid w:val="00930EB5"/>
    <w:rsid w:val="00930EB8"/>
    <w:rsid w:val="0093108B"/>
    <w:rsid w:val="0093190B"/>
    <w:rsid w:val="00931EB1"/>
    <w:rsid w:val="00932173"/>
    <w:rsid w:val="00932551"/>
    <w:rsid w:val="00933A53"/>
    <w:rsid w:val="00934B4D"/>
    <w:rsid w:val="00935212"/>
    <w:rsid w:val="00935F9E"/>
    <w:rsid w:val="009368BA"/>
    <w:rsid w:val="00936D28"/>
    <w:rsid w:val="00937154"/>
    <w:rsid w:val="0093757D"/>
    <w:rsid w:val="009403FA"/>
    <w:rsid w:val="00940567"/>
    <w:rsid w:val="00940849"/>
    <w:rsid w:val="00942457"/>
    <w:rsid w:val="00942930"/>
    <w:rsid w:val="00942BB8"/>
    <w:rsid w:val="00942FBE"/>
    <w:rsid w:val="00943522"/>
    <w:rsid w:val="009436C9"/>
    <w:rsid w:val="009437C1"/>
    <w:rsid w:val="00944965"/>
    <w:rsid w:val="00944D43"/>
    <w:rsid w:val="009459B3"/>
    <w:rsid w:val="00945ECB"/>
    <w:rsid w:val="00946786"/>
    <w:rsid w:val="009469BE"/>
    <w:rsid w:val="0094750F"/>
    <w:rsid w:val="009478D1"/>
    <w:rsid w:val="00950030"/>
    <w:rsid w:val="00950324"/>
    <w:rsid w:val="009516B9"/>
    <w:rsid w:val="009522F7"/>
    <w:rsid w:val="00952773"/>
    <w:rsid w:val="0095309E"/>
    <w:rsid w:val="0095317D"/>
    <w:rsid w:val="009531A2"/>
    <w:rsid w:val="00953A78"/>
    <w:rsid w:val="00954744"/>
    <w:rsid w:val="00955BCC"/>
    <w:rsid w:val="00957223"/>
    <w:rsid w:val="00957A3D"/>
    <w:rsid w:val="00960569"/>
    <w:rsid w:val="00960B15"/>
    <w:rsid w:val="009611B3"/>
    <w:rsid w:val="009624EB"/>
    <w:rsid w:val="00962DC1"/>
    <w:rsid w:val="0096313A"/>
    <w:rsid w:val="00963AC6"/>
    <w:rsid w:val="00963DD7"/>
    <w:rsid w:val="00965093"/>
    <w:rsid w:val="009663CE"/>
    <w:rsid w:val="00966CF2"/>
    <w:rsid w:val="00971D4F"/>
    <w:rsid w:val="009720F8"/>
    <w:rsid w:val="009726CE"/>
    <w:rsid w:val="00972EA6"/>
    <w:rsid w:val="009731AF"/>
    <w:rsid w:val="00974311"/>
    <w:rsid w:val="009743E6"/>
    <w:rsid w:val="009749EC"/>
    <w:rsid w:val="00974A30"/>
    <w:rsid w:val="00974E28"/>
    <w:rsid w:val="00976AF4"/>
    <w:rsid w:val="0097733F"/>
    <w:rsid w:val="00977651"/>
    <w:rsid w:val="00980512"/>
    <w:rsid w:val="00980A10"/>
    <w:rsid w:val="00980B95"/>
    <w:rsid w:val="00982B8D"/>
    <w:rsid w:val="009834B3"/>
    <w:rsid w:val="00983598"/>
    <w:rsid w:val="00983D21"/>
    <w:rsid w:val="00985055"/>
    <w:rsid w:val="00985B53"/>
    <w:rsid w:val="00985CF8"/>
    <w:rsid w:val="00986DD2"/>
    <w:rsid w:val="00986F65"/>
    <w:rsid w:val="00992030"/>
    <w:rsid w:val="00992A92"/>
    <w:rsid w:val="00993913"/>
    <w:rsid w:val="00993B25"/>
    <w:rsid w:val="00994282"/>
    <w:rsid w:val="0099453E"/>
    <w:rsid w:val="009946C2"/>
    <w:rsid w:val="009948A6"/>
    <w:rsid w:val="00994A71"/>
    <w:rsid w:val="00994B53"/>
    <w:rsid w:val="0099567D"/>
    <w:rsid w:val="009973D6"/>
    <w:rsid w:val="009A02DD"/>
    <w:rsid w:val="009A1153"/>
    <w:rsid w:val="009A118B"/>
    <w:rsid w:val="009A1705"/>
    <w:rsid w:val="009A187C"/>
    <w:rsid w:val="009A1894"/>
    <w:rsid w:val="009A3194"/>
    <w:rsid w:val="009A3BB2"/>
    <w:rsid w:val="009A4B48"/>
    <w:rsid w:val="009A4B97"/>
    <w:rsid w:val="009A4D49"/>
    <w:rsid w:val="009A5105"/>
    <w:rsid w:val="009A589D"/>
    <w:rsid w:val="009A696B"/>
    <w:rsid w:val="009A6F5F"/>
    <w:rsid w:val="009B0789"/>
    <w:rsid w:val="009B0984"/>
    <w:rsid w:val="009B0D20"/>
    <w:rsid w:val="009B20B4"/>
    <w:rsid w:val="009B215A"/>
    <w:rsid w:val="009B2832"/>
    <w:rsid w:val="009B3D83"/>
    <w:rsid w:val="009B3F2F"/>
    <w:rsid w:val="009B413A"/>
    <w:rsid w:val="009B42D6"/>
    <w:rsid w:val="009B4AF4"/>
    <w:rsid w:val="009B4B0D"/>
    <w:rsid w:val="009B4E77"/>
    <w:rsid w:val="009B55F7"/>
    <w:rsid w:val="009B5D41"/>
    <w:rsid w:val="009B772B"/>
    <w:rsid w:val="009C0A40"/>
    <w:rsid w:val="009C1432"/>
    <w:rsid w:val="009C23E7"/>
    <w:rsid w:val="009C28F4"/>
    <w:rsid w:val="009C43C9"/>
    <w:rsid w:val="009C4685"/>
    <w:rsid w:val="009C4AEA"/>
    <w:rsid w:val="009C4F8D"/>
    <w:rsid w:val="009C6C72"/>
    <w:rsid w:val="009C711B"/>
    <w:rsid w:val="009D01A9"/>
    <w:rsid w:val="009D02E8"/>
    <w:rsid w:val="009D0578"/>
    <w:rsid w:val="009D139C"/>
    <w:rsid w:val="009D13A6"/>
    <w:rsid w:val="009D178E"/>
    <w:rsid w:val="009D1ACB"/>
    <w:rsid w:val="009D1DA5"/>
    <w:rsid w:val="009D2993"/>
    <w:rsid w:val="009D2D27"/>
    <w:rsid w:val="009D39AB"/>
    <w:rsid w:val="009D39F0"/>
    <w:rsid w:val="009D3ECC"/>
    <w:rsid w:val="009D4B02"/>
    <w:rsid w:val="009D617D"/>
    <w:rsid w:val="009D66DB"/>
    <w:rsid w:val="009D679B"/>
    <w:rsid w:val="009D7FF4"/>
    <w:rsid w:val="009E020D"/>
    <w:rsid w:val="009E075A"/>
    <w:rsid w:val="009E07B0"/>
    <w:rsid w:val="009E07C0"/>
    <w:rsid w:val="009E1DE5"/>
    <w:rsid w:val="009E2E8D"/>
    <w:rsid w:val="009E3689"/>
    <w:rsid w:val="009E3BE9"/>
    <w:rsid w:val="009E49D3"/>
    <w:rsid w:val="009E56EF"/>
    <w:rsid w:val="009E6BDB"/>
    <w:rsid w:val="009E7282"/>
    <w:rsid w:val="009F2844"/>
    <w:rsid w:val="009F3DFB"/>
    <w:rsid w:val="009F4B7D"/>
    <w:rsid w:val="009F4F54"/>
    <w:rsid w:val="009F5198"/>
    <w:rsid w:val="009F59F2"/>
    <w:rsid w:val="009F5ED5"/>
    <w:rsid w:val="009F632D"/>
    <w:rsid w:val="009F6C5C"/>
    <w:rsid w:val="009F6DBF"/>
    <w:rsid w:val="00A00037"/>
    <w:rsid w:val="00A00249"/>
    <w:rsid w:val="00A00770"/>
    <w:rsid w:val="00A00856"/>
    <w:rsid w:val="00A02FF3"/>
    <w:rsid w:val="00A03643"/>
    <w:rsid w:val="00A04195"/>
    <w:rsid w:val="00A07175"/>
    <w:rsid w:val="00A075F1"/>
    <w:rsid w:val="00A0766A"/>
    <w:rsid w:val="00A1069D"/>
    <w:rsid w:val="00A10C83"/>
    <w:rsid w:val="00A10E45"/>
    <w:rsid w:val="00A11074"/>
    <w:rsid w:val="00A1127E"/>
    <w:rsid w:val="00A117D5"/>
    <w:rsid w:val="00A1203B"/>
    <w:rsid w:val="00A1299B"/>
    <w:rsid w:val="00A12B6D"/>
    <w:rsid w:val="00A13DBF"/>
    <w:rsid w:val="00A14A86"/>
    <w:rsid w:val="00A14C49"/>
    <w:rsid w:val="00A161E3"/>
    <w:rsid w:val="00A166B5"/>
    <w:rsid w:val="00A16E59"/>
    <w:rsid w:val="00A16F90"/>
    <w:rsid w:val="00A17214"/>
    <w:rsid w:val="00A174F0"/>
    <w:rsid w:val="00A20666"/>
    <w:rsid w:val="00A20CE3"/>
    <w:rsid w:val="00A21B63"/>
    <w:rsid w:val="00A21BDA"/>
    <w:rsid w:val="00A2225E"/>
    <w:rsid w:val="00A22966"/>
    <w:rsid w:val="00A229D5"/>
    <w:rsid w:val="00A23140"/>
    <w:rsid w:val="00A2324B"/>
    <w:rsid w:val="00A2348C"/>
    <w:rsid w:val="00A23B0E"/>
    <w:rsid w:val="00A267C9"/>
    <w:rsid w:val="00A26B3E"/>
    <w:rsid w:val="00A26EA9"/>
    <w:rsid w:val="00A27B22"/>
    <w:rsid w:val="00A31583"/>
    <w:rsid w:val="00A32CF5"/>
    <w:rsid w:val="00A330FB"/>
    <w:rsid w:val="00A33672"/>
    <w:rsid w:val="00A33AA1"/>
    <w:rsid w:val="00A33BB7"/>
    <w:rsid w:val="00A33EB8"/>
    <w:rsid w:val="00A34831"/>
    <w:rsid w:val="00A34A66"/>
    <w:rsid w:val="00A35C34"/>
    <w:rsid w:val="00A3683F"/>
    <w:rsid w:val="00A36A1A"/>
    <w:rsid w:val="00A37010"/>
    <w:rsid w:val="00A37B8E"/>
    <w:rsid w:val="00A37C68"/>
    <w:rsid w:val="00A37DAE"/>
    <w:rsid w:val="00A37EB2"/>
    <w:rsid w:val="00A405BB"/>
    <w:rsid w:val="00A413E0"/>
    <w:rsid w:val="00A41B5F"/>
    <w:rsid w:val="00A42DBF"/>
    <w:rsid w:val="00A4344C"/>
    <w:rsid w:val="00A4417F"/>
    <w:rsid w:val="00A44248"/>
    <w:rsid w:val="00A45777"/>
    <w:rsid w:val="00A46B1E"/>
    <w:rsid w:val="00A4712B"/>
    <w:rsid w:val="00A50B16"/>
    <w:rsid w:val="00A51197"/>
    <w:rsid w:val="00A513D4"/>
    <w:rsid w:val="00A51A4D"/>
    <w:rsid w:val="00A527E3"/>
    <w:rsid w:val="00A52F17"/>
    <w:rsid w:val="00A538C6"/>
    <w:rsid w:val="00A543F2"/>
    <w:rsid w:val="00A54753"/>
    <w:rsid w:val="00A5512A"/>
    <w:rsid w:val="00A55327"/>
    <w:rsid w:val="00A555D7"/>
    <w:rsid w:val="00A556A8"/>
    <w:rsid w:val="00A5655A"/>
    <w:rsid w:val="00A5711B"/>
    <w:rsid w:val="00A611EB"/>
    <w:rsid w:val="00A613D7"/>
    <w:rsid w:val="00A61F56"/>
    <w:rsid w:val="00A62C36"/>
    <w:rsid w:val="00A62E85"/>
    <w:rsid w:val="00A6368A"/>
    <w:rsid w:val="00A639F9"/>
    <w:rsid w:val="00A63CE7"/>
    <w:rsid w:val="00A652D2"/>
    <w:rsid w:val="00A66E55"/>
    <w:rsid w:val="00A715ED"/>
    <w:rsid w:val="00A71C6F"/>
    <w:rsid w:val="00A7208A"/>
    <w:rsid w:val="00A73133"/>
    <w:rsid w:val="00A7329D"/>
    <w:rsid w:val="00A737D6"/>
    <w:rsid w:val="00A7410C"/>
    <w:rsid w:val="00A74977"/>
    <w:rsid w:val="00A755F8"/>
    <w:rsid w:val="00A75C73"/>
    <w:rsid w:val="00A75F1B"/>
    <w:rsid w:val="00A77E67"/>
    <w:rsid w:val="00A8081F"/>
    <w:rsid w:val="00A80BA4"/>
    <w:rsid w:val="00A81D9A"/>
    <w:rsid w:val="00A82469"/>
    <w:rsid w:val="00A82D54"/>
    <w:rsid w:val="00A83A29"/>
    <w:rsid w:val="00A846A6"/>
    <w:rsid w:val="00A84F26"/>
    <w:rsid w:val="00A84F90"/>
    <w:rsid w:val="00A85DCD"/>
    <w:rsid w:val="00A85FCE"/>
    <w:rsid w:val="00A861B6"/>
    <w:rsid w:val="00A87A38"/>
    <w:rsid w:val="00A91788"/>
    <w:rsid w:val="00A91861"/>
    <w:rsid w:val="00A922F9"/>
    <w:rsid w:val="00A92628"/>
    <w:rsid w:val="00A92F43"/>
    <w:rsid w:val="00A93E98"/>
    <w:rsid w:val="00A945C6"/>
    <w:rsid w:val="00A95581"/>
    <w:rsid w:val="00A9671C"/>
    <w:rsid w:val="00A96FE4"/>
    <w:rsid w:val="00AA0CC5"/>
    <w:rsid w:val="00AA0D43"/>
    <w:rsid w:val="00AA24F1"/>
    <w:rsid w:val="00AA3181"/>
    <w:rsid w:val="00AA3FBB"/>
    <w:rsid w:val="00AA4536"/>
    <w:rsid w:val="00AA6025"/>
    <w:rsid w:val="00AA7C03"/>
    <w:rsid w:val="00AB1212"/>
    <w:rsid w:val="00AB2413"/>
    <w:rsid w:val="00AB2BF9"/>
    <w:rsid w:val="00AB32FA"/>
    <w:rsid w:val="00AB3320"/>
    <w:rsid w:val="00AB3443"/>
    <w:rsid w:val="00AB4A42"/>
    <w:rsid w:val="00AB4B4E"/>
    <w:rsid w:val="00AB5F5D"/>
    <w:rsid w:val="00AB6920"/>
    <w:rsid w:val="00AB726C"/>
    <w:rsid w:val="00AC0EC3"/>
    <w:rsid w:val="00AC327F"/>
    <w:rsid w:val="00AC3B74"/>
    <w:rsid w:val="00AC40DC"/>
    <w:rsid w:val="00AC4965"/>
    <w:rsid w:val="00AC5FEE"/>
    <w:rsid w:val="00AC622A"/>
    <w:rsid w:val="00AC7DF5"/>
    <w:rsid w:val="00AD0987"/>
    <w:rsid w:val="00AD0B85"/>
    <w:rsid w:val="00AD127C"/>
    <w:rsid w:val="00AD19E9"/>
    <w:rsid w:val="00AD2429"/>
    <w:rsid w:val="00AD28BC"/>
    <w:rsid w:val="00AD3C90"/>
    <w:rsid w:val="00AD3DE4"/>
    <w:rsid w:val="00AD6182"/>
    <w:rsid w:val="00AD7A76"/>
    <w:rsid w:val="00AE0B58"/>
    <w:rsid w:val="00AE15B6"/>
    <w:rsid w:val="00AE168D"/>
    <w:rsid w:val="00AE22CE"/>
    <w:rsid w:val="00AE2AC0"/>
    <w:rsid w:val="00AE40FC"/>
    <w:rsid w:val="00AE4950"/>
    <w:rsid w:val="00AE4B86"/>
    <w:rsid w:val="00AE4BEC"/>
    <w:rsid w:val="00AE4F43"/>
    <w:rsid w:val="00AE5B4A"/>
    <w:rsid w:val="00AE5CB4"/>
    <w:rsid w:val="00AE5F03"/>
    <w:rsid w:val="00AE5FF9"/>
    <w:rsid w:val="00AE7019"/>
    <w:rsid w:val="00AE7CB6"/>
    <w:rsid w:val="00AE7F2E"/>
    <w:rsid w:val="00AF09AA"/>
    <w:rsid w:val="00AF101E"/>
    <w:rsid w:val="00AF1712"/>
    <w:rsid w:val="00AF176B"/>
    <w:rsid w:val="00AF408D"/>
    <w:rsid w:val="00AF5347"/>
    <w:rsid w:val="00AF5388"/>
    <w:rsid w:val="00AF66F8"/>
    <w:rsid w:val="00AF6C2E"/>
    <w:rsid w:val="00AF74A2"/>
    <w:rsid w:val="00B00193"/>
    <w:rsid w:val="00B0114F"/>
    <w:rsid w:val="00B01185"/>
    <w:rsid w:val="00B013EE"/>
    <w:rsid w:val="00B02BA6"/>
    <w:rsid w:val="00B03322"/>
    <w:rsid w:val="00B0354E"/>
    <w:rsid w:val="00B0394B"/>
    <w:rsid w:val="00B03A03"/>
    <w:rsid w:val="00B03A93"/>
    <w:rsid w:val="00B03FC3"/>
    <w:rsid w:val="00B04482"/>
    <w:rsid w:val="00B04680"/>
    <w:rsid w:val="00B064DF"/>
    <w:rsid w:val="00B07646"/>
    <w:rsid w:val="00B07C52"/>
    <w:rsid w:val="00B11575"/>
    <w:rsid w:val="00B11D65"/>
    <w:rsid w:val="00B11D9E"/>
    <w:rsid w:val="00B11DBA"/>
    <w:rsid w:val="00B127BF"/>
    <w:rsid w:val="00B12FD8"/>
    <w:rsid w:val="00B134C8"/>
    <w:rsid w:val="00B1360F"/>
    <w:rsid w:val="00B13DEE"/>
    <w:rsid w:val="00B13E7C"/>
    <w:rsid w:val="00B1423A"/>
    <w:rsid w:val="00B14723"/>
    <w:rsid w:val="00B156E1"/>
    <w:rsid w:val="00B17909"/>
    <w:rsid w:val="00B20504"/>
    <w:rsid w:val="00B20B91"/>
    <w:rsid w:val="00B218B8"/>
    <w:rsid w:val="00B21A6A"/>
    <w:rsid w:val="00B21FCA"/>
    <w:rsid w:val="00B22594"/>
    <w:rsid w:val="00B2295D"/>
    <w:rsid w:val="00B23DB1"/>
    <w:rsid w:val="00B24665"/>
    <w:rsid w:val="00B263DD"/>
    <w:rsid w:val="00B26B08"/>
    <w:rsid w:val="00B26B81"/>
    <w:rsid w:val="00B26F48"/>
    <w:rsid w:val="00B27411"/>
    <w:rsid w:val="00B2749B"/>
    <w:rsid w:val="00B30424"/>
    <w:rsid w:val="00B30B50"/>
    <w:rsid w:val="00B30B59"/>
    <w:rsid w:val="00B30D82"/>
    <w:rsid w:val="00B32AA4"/>
    <w:rsid w:val="00B32E22"/>
    <w:rsid w:val="00B32ECC"/>
    <w:rsid w:val="00B35683"/>
    <w:rsid w:val="00B35848"/>
    <w:rsid w:val="00B35DAE"/>
    <w:rsid w:val="00B36C42"/>
    <w:rsid w:val="00B37618"/>
    <w:rsid w:val="00B412C8"/>
    <w:rsid w:val="00B41A82"/>
    <w:rsid w:val="00B4262F"/>
    <w:rsid w:val="00B44D40"/>
    <w:rsid w:val="00B46218"/>
    <w:rsid w:val="00B4653F"/>
    <w:rsid w:val="00B46635"/>
    <w:rsid w:val="00B473C4"/>
    <w:rsid w:val="00B474EF"/>
    <w:rsid w:val="00B47ADE"/>
    <w:rsid w:val="00B503BE"/>
    <w:rsid w:val="00B50986"/>
    <w:rsid w:val="00B51F34"/>
    <w:rsid w:val="00B52251"/>
    <w:rsid w:val="00B522DC"/>
    <w:rsid w:val="00B52CF7"/>
    <w:rsid w:val="00B530C9"/>
    <w:rsid w:val="00B53609"/>
    <w:rsid w:val="00B543D8"/>
    <w:rsid w:val="00B54430"/>
    <w:rsid w:val="00B547AB"/>
    <w:rsid w:val="00B54C76"/>
    <w:rsid w:val="00B54D4B"/>
    <w:rsid w:val="00B56744"/>
    <w:rsid w:val="00B568B9"/>
    <w:rsid w:val="00B57E9A"/>
    <w:rsid w:val="00B60410"/>
    <w:rsid w:val="00B605DB"/>
    <w:rsid w:val="00B60845"/>
    <w:rsid w:val="00B60B04"/>
    <w:rsid w:val="00B61485"/>
    <w:rsid w:val="00B61537"/>
    <w:rsid w:val="00B6163A"/>
    <w:rsid w:val="00B62A4C"/>
    <w:rsid w:val="00B65463"/>
    <w:rsid w:val="00B658F6"/>
    <w:rsid w:val="00B65C0F"/>
    <w:rsid w:val="00B66E6B"/>
    <w:rsid w:val="00B675D6"/>
    <w:rsid w:val="00B67930"/>
    <w:rsid w:val="00B706B6"/>
    <w:rsid w:val="00B7076D"/>
    <w:rsid w:val="00B70770"/>
    <w:rsid w:val="00B7086F"/>
    <w:rsid w:val="00B708D3"/>
    <w:rsid w:val="00B7166D"/>
    <w:rsid w:val="00B7180D"/>
    <w:rsid w:val="00B718CE"/>
    <w:rsid w:val="00B71C05"/>
    <w:rsid w:val="00B72516"/>
    <w:rsid w:val="00B732C0"/>
    <w:rsid w:val="00B733FE"/>
    <w:rsid w:val="00B73C48"/>
    <w:rsid w:val="00B73D97"/>
    <w:rsid w:val="00B74A87"/>
    <w:rsid w:val="00B74E47"/>
    <w:rsid w:val="00B75546"/>
    <w:rsid w:val="00B756E4"/>
    <w:rsid w:val="00B76C00"/>
    <w:rsid w:val="00B805CC"/>
    <w:rsid w:val="00B8173C"/>
    <w:rsid w:val="00B81869"/>
    <w:rsid w:val="00B8347E"/>
    <w:rsid w:val="00B83FB0"/>
    <w:rsid w:val="00B83FFE"/>
    <w:rsid w:val="00B84295"/>
    <w:rsid w:val="00B84C72"/>
    <w:rsid w:val="00B87F34"/>
    <w:rsid w:val="00B908CB"/>
    <w:rsid w:val="00B918D1"/>
    <w:rsid w:val="00B9271F"/>
    <w:rsid w:val="00B92DA0"/>
    <w:rsid w:val="00B94A2E"/>
    <w:rsid w:val="00B94A8F"/>
    <w:rsid w:val="00B94F77"/>
    <w:rsid w:val="00B95203"/>
    <w:rsid w:val="00B95377"/>
    <w:rsid w:val="00B96844"/>
    <w:rsid w:val="00B96EAE"/>
    <w:rsid w:val="00B97379"/>
    <w:rsid w:val="00B97522"/>
    <w:rsid w:val="00B97B58"/>
    <w:rsid w:val="00B97CCC"/>
    <w:rsid w:val="00BA0259"/>
    <w:rsid w:val="00BA044C"/>
    <w:rsid w:val="00BA0A2B"/>
    <w:rsid w:val="00BA1682"/>
    <w:rsid w:val="00BA267E"/>
    <w:rsid w:val="00BA4D30"/>
    <w:rsid w:val="00BA5291"/>
    <w:rsid w:val="00BA5B34"/>
    <w:rsid w:val="00BA5E79"/>
    <w:rsid w:val="00BB0DAA"/>
    <w:rsid w:val="00BB0FF6"/>
    <w:rsid w:val="00BB101F"/>
    <w:rsid w:val="00BB12A4"/>
    <w:rsid w:val="00BB29D4"/>
    <w:rsid w:val="00BB3998"/>
    <w:rsid w:val="00BB3A0B"/>
    <w:rsid w:val="00BB4180"/>
    <w:rsid w:val="00BB561B"/>
    <w:rsid w:val="00BB63C6"/>
    <w:rsid w:val="00BB7386"/>
    <w:rsid w:val="00BB7A81"/>
    <w:rsid w:val="00BB7F29"/>
    <w:rsid w:val="00BC00DB"/>
    <w:rsid w:val="00BC0D47"/>
    <w:rsid w:val="00BC10A9"/>
    <w:rsid w:val="00BC21A0"/>
    <w:rsid w:val="00BC2389"/>
    <w:rsid w:val="00BC2640"/>
    <w:rsid w:val="00BC28F2"/>
    <w:rsid w:val="00BC2EFC"/>
    <w:rsid w:val="00BC3204"/>
    <w:rsid w:val="00BC43A6"/>
    <w:rsid w:val="00BC459E"/>
    <w:rsid w:val="00BC4ACD"/>
    <w:rsid w:val="00BC5497"/>
    <w:rsid w:val="00BC5E1F"/>
    <w:rsid w:val="00BC734D"/>
    <w:rsid w:val="00BC75E5"/>
    <w:rsid w:val="00BD0C2A"/>
    <w:rsid w:val="00BD2C22"/>
    <w:rsid w:val="00BD461E"/>
    <w:rsid w:val="00BD4E5E"/>
    <w:rsid w:val="00BD4E68"/>
    <w:rsid w:val="00BD5756"/>
    <w:rsid w:val="00BD734C"/>
    <w:rsid w:val="00BD75C2"/>
    <w:rsid w:val="00BE05F3"/>
    <w:rsid w:val="00BE1599"/>
    <w:rsid w:val="00BE1D38"/>
    <w:rsid w:val="00BE1F0C"/>
    <w:rsid w:val="00BE271E"/>
    <w:rsid w:val="00BE28E0"/>
    <w:rsid w:val="00BE2B2C"/>
    <w:rsid w:val="00BE2F74"/>
    <w:rsid w:val="00BE38B6"/>
    <w:rsid w:val="00BE430D"/>
    <w:rsid w:val="00BE4841"/>
    <w:rsid w:val="00BE4934"/>
    <w:rsid w:val="00BE54C5"/>
    <w:rsid w:val="00BE56E6"/>
    <w:rsid w:val="00BE5C0E"/>
    <w:rsid w:val="00BE61BF"/>
    <w:rsid w:val="00BE6782"/>
    <w:rsid w:val="00BE6A86"/>
    <w:rsid w:val="00BE7471"/>
    <w:rsid w:val="00BE7553"/>
    <w:rsid w:val="00BE7C49"/>
    <w:rsid w:val="00BF0E1E"/>
    <w:rsid w:val="00BF1E5E"/>
    <w:rsid w:val="00BF2C3F"/>
    <w:rsid w:val="00BF2FC6"/>
    <w:rsid w:val="00BF306F"/>
    <w:rsid w:val="00BF351B"/>
    <w:rsid w:val="00BF363D"/>
    <w:rsid w:val="00BF3C1C"/>
    <w:rsid w:val="00BF4305"/>
    <w:rsid w:val="00BF4464"/>
    <w:rsid w:val="00BF4C09"/>
    <w:rsid w:val="00BF54DA"/>
    <w:rsid w:val="00BF5FD0"/>
    <w:rsid w:val="00BF6157"/>
    <w:rsid w:val="00BF67D7"/>
    <w:rsid w:val="00BF702F"/>
    <w:rsid w:val="00BF7171"/>
    <w:rsid w:val="00C00F08"/>
    <w:rsid w:val="00C015C4"/>
    <w:rsid w:val="00C01F52"/>
    <w:rsid w:val="00C0283C"/>
    <w:rsid w:val="00C045DB"/>
    <w:rsid w:val="00C050FA"/>
    <w:rsid w:val="00C066C3"/>
    <w:rsid w:val="00C071E9"/>
    <w:rsid w:val="00C07BD1"/>
    <w:rsid w:val="00C1035B"/>
    <w:rsid w:val="00C10D7A"/>
    <w:rsid w:val="00C12403"/>
    <w:rsid w:val="00C127C4"/>
    <w:rsid w:val="00C137D3"/>
    <w:rsid w:val="00C139C3"/>
    <w:rsid w:val="00C1408A"/>
    <w:rsid w:val="00C14892"/>
    <w:rsid w:val="00C14F27"/>
    <w:rsid w:val="00C17133"/>
    <w:rsid w:val="00C17C0F"/>
    <w:rsid w:val="00C17D75"/>
    <w:rsid w:val="00C20BB7"/>
    <w:rsid w:val="00C20BE9"/>
    <w:rsid w:val="00C20C51"/>
    <w:rsid w:val="00C20E06"/>
    <w:rsid w:val="00C212CD"/>
    <w:rsid w:val="00C21F07"/>
    <w:rsid w:val="00C22332"/>
    <w:rsid w:val="00C243E0"/>
    <w:rsid w:val="00C257B3"/>
    <w:rsid w:val="00C25B1B"/>
    <w:rsid w:val="00C2634D"/>
    <w:rsid w:val="00C27890"/>
    <w:rsid w:val="00C309C3"/>
    <w:rsid w:val="00C30AFD"/>
    <w:rsid w:val="00C31D28"/>
    <w:rsid w:val="00C33007"/>
    <w:rsid w:val="00C34898"/>
    <w:rsid w:val="00C34D18"/>
    <w:rsid w:val="00C362BB"/>
    <w:rsid w:val="00C36D8E"/>
    <w:rsid w:val="00C36E4E"/>
    <w:rsid w:val="00C36FB3"/>
    <w:rsid w:val="00C37E88"/>
    <w:rsid w:val="00C4047A"/>
    <w:rsid w:val="00C40FC4"/>
    <w:rsid w:val="00C411D3"/>
    <w:rsid w:val="00C415E9"/>
    <w:rsid w:val="00C42891"/>
    <w:rsid w:val="00C42941"/>
    <w:rsid w:val="00C42A31"/>
    <w:rsid w:val="00C43184"/>
    <w:rsid w:val="00C4500A"/>
    <w:rsid w:val="00C46EF2"/>
    <w:rsid w:val="00C47419"/>
    <w:rsid w:val="00C474A4"/>
    <w:rsid w:val="00C4754E"/>
    <w:rsid w:val="00C476CB"/>
    <w:rsid w:val="00C47AC2"/>
    <w:rsid w:val="00C50382"/>
    <w:rsid w:val="00C50909"/>
    <w:rsid w:val="00C509AE"/>
    <w:rsid w:val="00C509CA"/>
    <w:rsid w:val="00C50FD5"/>
    <w:rsid w:val="00C51541"/>
    <w:rsid w:val="00C51693"/>
    <w:rsid w:val="00C5174E"/>
    <w:rsid w:val="00C51B90"/>
    <w:rsid w:val="00C525FD"/>
    <w:rsid w:val="00C5344D"/>
    <w:rsid w:val="00C5365F"/>
    <w:rsid w:val="00C538D4"/>
    <w:rsid w:val="00C546C5"/>
    <w:rsid w:val="00C54C2C"/>
    <w:rsid w:val="00C554EE"/>
    <w:rsid w:val="00C5605E"/>
    <w:rsid w:val="00C568E2"/>
    <w:rsid w:val="00C56DD0"/>
    <w:rsid w:val="00C56E97"/>
    <w:rsid w:val="00C575DB"/>
    <w:rsid w:val="00C576FB"/>
    <w:rsid w:val="00C57FB2"/>
    <w:rsid w:val="00C60137"/>
    <w:rsid w:val="00C6230D"/>
    <w:rsid w:val="00C637EB"/>
    <w:rsid w:val="00C63832"/>
    <w:rsid w:val="00C63F1C"/>
    <w:rsid w:val="00C6452F"/>
    <w:rsid w:val="00C64AA5"/>
    <w:rsid w:val="00C64C9C"/>
    <w:rsid w:val="00C6537F"/>
    <w:rsid w:val="00C65CB2"/>
    <w:rsid w:val="00C666D4"/>
    <w:rsid w:val="00C66748"/>
    <w:rsid w:val="00C66A3E"/>
    <w:rsid w:val="00C67F6B"/>
    <w:rsid w:val="00C7088D"/>
    <w:rsid w:val="00C714C6"/>
    <w:rsid w:val="00C71631"/>
    <w:rsid w:val="00C71913"/>
    <w:rsid w:val="00C71CAF"/>
    <w:rsid w:val="00C7214A"/>
    <w:rsid w:val="00C722DA"/>
    <w:rsid w:val="00C72A18"/>
    <w:rsid w:val="00C72FEE"/>
    <w:rsid w:val="00C734AE"/>
    <w:rsid w:val="00C73D81"/>
    <w:rsid w:val="00C752E8"/>
    <w:rsid w:val="00C7548C"/>
    <w:rsid w:val="00C76365"/>
    <w:rsid w:val="00C76414"/>
    <w:rsid w:val="00C7651C"/>
    <w:rsid w:val="00C76C6F"/>
    <w:rsid w:val="00C77885"/>
    <w:rsid w:val="00C77B7D"/>
    <w:rsid w:val="00C77DBC"/>
    <w:rsid w:val="00C77E67"/>
    <w:rsid w:val="00C816BA"/>
    <w:rsid w:val="00C83897"/>
    <w:rsid w:val="00C83E5E"/>
    <w:rsid w:val="00C84C2F"/>
    <w:rsid w:val="00C8573C"/>
    <w:rsid w:val="00C85775"/>
    <w:rsid w:val="00C85DB6"/>
    <w:rsid w:val="00C862C3"/>
    <w:rsid w:val="00C863A4"/>
    <w:rsid w:val="00C8677C"/>
    <w:rsid w:val="00C8734D"/>
    <w:rsid w:val="00C87A60"/>
    <w:rsid w:val="00C87F25"/>
    <w:rsid w:val="00C91E57"/>
    <w:rsid w:val="00C93A1C"/>
    <w:rsid w:val="00C93FD8"/>
    <w:rsid w:val="00C94A4A"/>
    <w:rsid w:val="00C958C3"/>
    <w:rsid w:val="00C96B25"/>
    <w:rsid w:val="00C97106"/>
    <w:rsid w:val="00C97AE5"/>
    <w:rsid w:val="00CA08D2"/>
    <w:rsid w:val="00CA100C"/>
    <w:rsid w:val="00CA1555"/>
    <w:rsid w:val="00CA2A9E"/>
    <w:rsid w:val="00CA3A88"/>
    <w:rsid w:val="00CA3DA3"/>
    <w:rsid w:val="00CA456C"/>
    <w:rsid w:val="00CA4700"/>
    <w:rsid w:val="00CA4E37"/>
    <w:rsid w:val="00CA5451"/>
    <w:rsid w:val="00CA719A"/>
    <w:rsid w:val="00CB025D"/>
    <w:rsid w:val="00CB04C5"/>
    <w:rsid w:val="00CB0E08"/>
    <w:rsid w:val="00CB1721"/>
    <w:rsid w:val="00CB200D"/>
    <w:rsid w:val="00CB259A"/>
    <w:rsid w:val="00CB29B9"/>
    <w:rsid w:val="00CB29FA"/>
    <w:rsid w:val="00CB4529"/>
    <w:rsid w:val="00CB501B"/>
    <w:rsid w:val="00CB51F5"/>
    <w:rsid w:val="00CB539B"/>
    <w:rsid w:val="00CB5E1C"/>
    <w:rsid w:val="00CB6C70"/>
    <w:rsid w:val="00CB7188"/>
    <w:rsid w:val="00CB73D3"/>
    <w:rsid w:val="00CC0E30"/>
    <w:rsid w:val="00CC0EBF"/>
    <w:rsid w:val="00CC1245"/>
    <w:rsid w:val="00CC196C"/>
    <w:rsid w:val="00CC1BA1"/>
    <w:rsid w:val="00CC1E3B"/>
    <w:rsid w:val="00CC1FDB"/>
    <w:rsid w:val="00CC2A1B"/>
    <w:rsid w:val="00CC3ED3"/>
    <w:rsid w:val="00CC4EBF"/>
    <w:rsid w:val="00CC5266"/>
    <w:rsid w:val="00CC5332"/>
    <w:rsid w:val="00CC5AF0"/>
    <w:rsid w:val="00CC5C11"/>
    <w:rsid w:val="00CC6145"/>
    <w:rsid w:val="00CC6960"/>
    <w:rsid w:val="00CC6A08"/>
    <w:rsid w:val="00CC6A2D"/>
    <w:rsid w:val="00CD0DCA"/>
    <w:rsid w:val="00CD105F"/>
    <w:rsid w:val="00CD2EFD"/>
    <w:rsid w:val="00CD35C4"/>
    <w:rsid w:val="00CD39A3"/>
    <w:rsid w:val="00CD47F4"/>
    <w:rsid w:val="00CD5244"/>
    <w:rsid w:val="00CD5262"/>
    <w:rsid w:val="00CD57AC"/>
    <w:rsid w:val="00CD61C3"/>
    <w:rsid w:val="00CD670E"/>
    <w:rsid w:val="00CD71BC"/>
    <w:rsid w:val="00CD74FF"/>
    <w:rsid w:val="00CD784A"/>
    <w:rsid w:val="00CE0443"/>
    <w:rsid w:val="00CE0BCA"/>
    <w:rsid w:val="00CE0DBB"/>
    <w:rsid w:val="00CE1779"/>
    <w:rsid w:val="00CE19C1"/>
    <w:rsid w:val="00CE2B3A"/>
    <w:rsid w:val="00CE68CC"/>
    <w:rsid w:val="00CE76EA"/>
    <w:rsid w:val="00CE7ADA"/>
    <w:rsid w:val="00CF117D"/>
    <w:rsid w:val="00CF15F6"/>
    <w:rsid w:val="00CF1932"/>
    <w:rsid w:val="00CF1A3F"/>
    <w:rsid w:val="00CF2181"/>
    <w:rsid w:val="00CF2CAD"/>
    <w:rsid w:val="00CF31AE"/>
    <w:rsid w:val="00CF3A7C"/>
    <w:rsid w:val="00CF3AE6"/>
    <w:rsid w:val="00CF5C02"/>
    <w:rsid w:val="00CF6642"/>
    <w:rsid w:val="00CF6D80"/>
    <w:rsid w:val="00D00C87"/>
    <w:rsid w:val="00D0112B"/>
    <w:rsid w:val="00D0183B"/>
    <w:rsid w:val="00D01862"/>
    <w:rsid w:val="00D0282E"/>
    <w:rsid w:val="00D0293E"/>
    <w:rsid w:val="00D02DA5"/>
    <w:rsid w:val="00D03A6B"/>
    <w:rsid w:val="00D04111"/>
    <w:rsid w:val="00D0442A"/>
    <w:rsid w:val="00D04A27"/>
    <w:rsid w:val="00D04AA5"/>
    <w:rsid w:val="00D0507A"/>
    <w:rsid w:val="00D053E2"/>
    <w:rsid w:val="00D05D74"/>
    <w:rsid w:val="00D06CD9"/>
    <w:rsid w:val="00D104F7"/>
    <w:rsid w:val="00D1091D"/>
    <w:rsid w:val="00D10FB1"/>
    <w:rsid w:val="00D128CF"/>
    <w:rsid w:val="00D13C4D"/>
    <w:rsid w:val="00D14A6A"/>
    <w:rsid w:val="00D150FE"/>
    <w:rsid w:val="00D159D9"/>
    <w:rsid w:val="00D16987"/>
    <w:rsid w:val="00D16B11"/>
    <w:rsid w:val="00D1734D"/>
    <w:rsid w:val="00D175AC"/>
    <w:rsid w:val="00D17C2A"/>
    <w:rsid w:val="00D20AFB"/>
    <w:rsid w:val="00D20BBF"/>
    <w:rsid w:val="00D21E7A"/>
    <w:rsid w:val="00D22136"/>
    <w:rsid w:val="00D222CF"/>
    <w:rsid w:val="00D229C7"/>
    <w:rsid w:val="00D24F6B"/>
    <w:rsid w:val="00D2525A"/>
    <w:rsid w:val="00D2648B"/>
    <w:rsid w:val="00D26620"/>
    <w:rsid w:val="00D26760"/>
    <w:rsid w:val="00D26F7C"/>
    <w:rsid w:val="00D305C3"/>
    <w:rsid w:val="00D30FA1"/>
    <w:rsid w:val="00D313C1"/>
    <w:rsid w:val="00D3172C"/>
    <w:rsid w:val="00D31A46"/>
    <w:rsid w:val="00D33784"/>
    <w:rsid w:val="00D33C30"/>
    <w:rsid w:val="00D3416E"/>
    <w:rsid w:val="00D348A6"/>
    <w:rsid w:val="00D34DF4"/>
    <w:rsid w:val="00D34F5D"/>
    <w:rsid w:val="00D3636F"/>
    <w:rsid w:val="00D36F33"/>
    <w:rsid w:val="00D371E5"/>
    <w:rsid w:val="00D37FE5"/>
    <w:rsid w:val="00D4027D"/>
    <w:rsid w:val="00D418CA"/>
    <w:rsid w:val="00D4210D"/>
    <w:rsid w:val="00D42573"/>
    <w:rsid w:val="00D43348"/>
    <w:rsid w:val="00D43401"/>
    <w:rsid w:val="00D43BFB"/>
    <w:rsid w:val="00D44391"/>
    <w:rsid w:val="00D44FD9"/>
    <w:rsid w:val="00D45C3E"/>
    <w:rsid w:val="00D475C6"/>
    <w:rsid w:val="00D51040"/>
    <w:rsid w:val="00D51DC3"/>
    <w:rsid w:val="00D51F8C"/>
    <w:rsid w:val="00D5230D"/>
    <w:rsid w:val="00D526F3"/>
    <w:rsid w:val="00D537C6"/>
    <w:rsid w:val="00D53963"/>
    <w:rsid w:val="00D53D75"/>
    <w:rsid w:val="00D542EF"/>
    <w:rsid w:val="00D5470C"/>
    <w:rsid w:val="00D54728"/>
    <w:rsid w:val="00D552B6"/>
    <w:rsid w:val="00D5539C"/>
    <w:rsid w:val="00D55CA3"/>
    <w:rsid w:val="00D61A46"/>
    <w:rsid w:val="00D61C65"/>
    <w:rsid w:val="00D62CCE"/>
    <w:rsid w:val="00D63E2A"/>
    <w:rsid w:val="00D64D3F"/>
    <w:rsid w:val="00D64EE7"/>
    <w:rsid w:val="00D6525B"/>
    <w:rsid w:val="00D658FA"/>
    <w:rsid w:val="00D70551"/>
    <w:rsid w:val="00D705F8"/>
    <w:rsid w:val="00D70C70"/>
    <w:rsid w:val="00D7134C"/>
    <w:rsid w:val="00D71CDB"/>
    <w:rsid w:val="00D71F92"/>
    <w:rsid w:val="00D72118"/>
    <w:rsid w:val="00D73071"/>
    <w:rsid w:val="00D741B9"/>
    <w:rsid w:val="00D74F14"/>
    <w:rsid w:val="00D74F27"/>
    <w:rsid w:val="00D74FDA"/>
    <w:rsid w:val="00D75A18"/>
    <w:rsid w:val="00D77895"/>
    <w:rsid w:val="00D77E01"/>
    <w:rsid w:val="00D800BD"/>
    <w:rsid w:val="00D80FB4"/>
    <w:rsid w:val="00D81E80"/>
    <w:rsid w:val="00D81EF6"/>
    <w:rsid w:val="00D8281C"/>
    <w:rsid w:val="00D82A1A"/>
    <w:rsid w:val="00D84581"/>
    <w:rsid w:val="00D8523E"/>
    <w:rsid w:val="00D859C9"/>
    <w:rsid w:val="00D85C05"/>
    <w:rsid w:val="00D862BA"/>
    <w:rsid w:val="00D86D55"/>
    <w:rsid w:val="00D86D78"/>
    <w:rsid w:val="00D876D1"/>
    <w:rsid w:val="00D87A40"/>
    <w:rsid w:val="00D87C26"/>
    <w:rsid w:val="00D91513"/>
    <w:rsid w:val="00D930AD"/>
    <w:rsid w:val="00D934DF"/>
    <w:rsid w:val="00D9434C"/>
    <w:rsid w:val="00D943BF"/>
    <w:rsid w:val="00D94893"/>
    <w:rsid w:val="00D94BD3"/>
    <w:rsid w:val="00D94CF8"/>
    <w:rsid w:val="00D94ED9"/>
    <w:rsid w:val="00D95496"/>
    <w:rsid w:val="00D9558B"/>
    <w:rsid w:val="00D95624"/>
    <w:rsid w:val="00D956EC"/>
    <w:rsid w:val="00D9571B"/>
    <w:rsid w:val="00D95DB4"/>
    <w:rsid w:val="00D969F7"/>
    <w:rsid w:val="00D97265"/>
    <w:rsid w:val="00DA09B5"/>
    <w:rsid w:val="00DA1DD5"/>
    <w:rsid w:val="00DA220A"/>
    <w:rsid w:val="00DA2B5E"/>
    <w:rsid w:val="00DA2D5D"/>
    <w:rsid w:val="00DA38F5"/>
    <w:rsid w:val="00DA3BA9"/>
    <w:rsid w:val="00DA3BC3"/>
    <w:rsid w:val="00DA4221"/>
    <w:rsid w:val="00DA4450"/>
    <w:rsid w:val="00DA4A64"/>
    <w:rsid w:val="00DA512A"/>
    <w:rsid w:val="00DA5673"/>
    <w:rsid w:val="00DA5DCE"/>
    <w:rsid w:val="00DA6C8C"/>
    <w:rsid w:val="00DB0000"/>
    <w:rsid w:val="00DB12A2"/>
    <w:rsid w:val="00DB1C2A"/>
    <w:rsid w:val="00DB1CB2"/>
    <w:rsid w:val="00DB375E"/>
    <w:rsid w:val="00DB3C65"/>
    <w:rsid w:val="00DB4DA6"/>
    <w:rsid w:val="00DB4E70"/>
    <w:rsid w:val="00DB51D0"/>
    <w:rsid w:val="00DB6830"/>
    <w:rsid w:val="00DB6B4A"/>
    <w:rsid w:val="00DB716E"/>
    <w:rsid w:val="00DC05D4"/>
    <w:rsid w:val="00DC1442"/>
    <w:rsid w:val="00DC2F53"/>
    <w:rsid w:val="00DC312E"/>
    <w:rsid w:val="00DC47DB"/>
    <w:rsid w:val="00DC5386"/>
    <w:rsid w:val="00DC61EE"/>
    <w:rsid w:val="00DC70AA"/>
    <w:rsid w:val="00DC7285"/>
    <w:rsid w:val="00DC7387"/>
    <w:rsid w:val="00DC76BA"/>
    <w:rsid w:val="00DD0094"/>
    <w:rsid w:val="00DD0491"/>
    <w:rsid w:val="00DD175C"/>
    <w:rsid w:val="00DD2302"/>
    <w:rsid w:val="00DD2D64"/>
    <w:rsid w:val="00DD31B2"/>
    <w:rsid w:val="00DD35FA"/>
    <w:rsid w:val="00DD3F77"/>
    <w:rsid w:val="00DD417F"/>
    <w:rsid w:val="00DD553A"/>
    <w:rsid w:val="00DD60A8"/>
    <w:rsid w:val="00DD613B"/>
    <w:rsid w:val="00DD750A"/>
    <w:rsid w:val="00DD7CE0"/>
    <w:rsid w:val="00DE023E"/>
    <w:rsid w:val="00DE1240"/>
    <w:rsid w:val="00DE1438"/>
    <w:rsid w:val="00DE2633"/>
    <w:rsid w:val="00DE26D5"/>
    <w:rsid w:val="00DE33AD"/>
    <w:rsid w:val="00DE3EDC"/>
    <w:rsid w:val="00DE4199"/>
    <w:rsid w:val="00DE41CD"/>
    <w:rsid w:val="00DE486A"/>
    <w:rsid w:val="00DE4B12"/>
    <w:rsid w:val="00DE53D8"/>
    <w:rsid w:val="00DE5931"/>
    <w:rsid w:val="00DE5D66"/>
    <w:rsid w:val="00DE7A90"/>
    <w:rsid w:val="00DF09B8"/>
    <w:rsid w:val="00DF100E"/>
    <w:rsid w:val="00DF3A2F"/>
    <w:rsid w:val="00DF3C86"/>
    <w:rsid w:val="00DF41C1"/>
    <w:rsid w:val="00DF4B28"/>
    <w:rsid w:val="00DF5308"/>
    <w:rsid w:val="00DF5436"/>
    <w:rsid w:val="00DF5764"/>
    <w:rsid w:val="00DF59F8"/>
    <w:rsid w:val="00DF5E82"/>
    <w:rsid w:val="00DF656B"/>
    <w:rsid w:val="00DF7522"/>
    <w:rsid w:val="00E006D8"/>
    <w:rsid w:val="00E01AE1"/>
    <w:rsid w:val="00E0248D"/>
    <w:rsid w:val="00E028FC"/>
    <w:rsid w:val="00E039F1"/>
    <w:rsid w:val="00E03A7B"/>
    <w:rsid w:val="00E03D3D"/>
    <w:rsid w:val="00E03F1D"/>
    <w:rsid w:val="00E0457D"/>
    <w:rsid w:val="00E05256"/>
    <w:rsid w:val="00E0634C"/>
    <w:rsid w:val="00E06FAB"/>
    <w:rsid w:val="00E105FD"/>
    <w:rsid w:val="00E10BF7"/>
    <w:rsid w:val="00E12176"/>
    <w:rsid w:val="00E12256"/>
    <w:rsid w:val="00E13B1C"/>
    <w:rsid w:val="00E14C56"/>
    <w:rsid w:val="00E14D21"/>
    <w:rsid w:val="00E15041"/>
    <w:rsid w:val="00E164CB"/>
    <w:rsid w:val="00E17449"/>
    <w:rsid w:val="00E17557"/>
    <w:rsid w:val="00E17A26"/>
    <w:rsid w:val="00E20D86"/>
    <w:rsid w:val="00E21EDE"/>
    <w:rsid w:val="00E2295E"/>
    <w:rsid w:val="00E236DD"/>
    <w:rsid w:val="00E24070"/>
    <w:rsid w:val="00E24837"/>
    <w:rsid w:val="00E248DC"/>
    <w:rsid w:val="00E2491D"/>
    <w:rsid w:val="00E2510A"/>
    <w:rsid w:val="00E25B4F"/>
    <w:rsid w:val="00E2637D"/>
    <w:rsid w:val="00E26C8E"/>
    <w:rsid w:val="00E2725D"/>
    <w:rsid w:val="00E27469"/>
    <w:rsid w:val="00E27501"/>
    <w:rsid w:val="00E2751B"/>
    <w:rsid w:val="00E27B76"/>
    <w:rsid w:val="00E30C8A"/>
    <w:rsid w:val="00E3160E"/>
    <w:rsid w:val="00E3172B"/>
    <w:rsid w:val="00E318A3"/>
    <w:rsid w:val="00E33CBE"/>
    <w:rsid w:val="00E3447D"/>
    <w:rsid w:val="00E35AD0"/>
    <w:rsid w:val="00E375BB"/>
    <w:rsid w:val="00E426B3"/>
    <w:rsid w:val="00E431AC"/>
    <w:rsid w:val="00E43228"/>
    <w:rsid w:val="00E433D3"/>
    <w:rsid w:val="00E446FE"/>
    <w:rsid w:val="00E45090"/>
    <w:rsid w:val="00E451A9"/>
    <w:rsid w:val="00E52934"/>
    <w:rsid w:val="00E54609"/>
    <w:rsid w:val="00E54974"/>
    <w:rsid w:val="00E5783A"/>
    <w:rsid w:val="00E57A00"/>
    <w:rsid w:val="00E57DBA"/>
    <w:rsid w:val="00E601B8"/>
    <w:rsid w:val="00E60E6A"/>
    <w:rsid w:val="00E611DA"/>
    <w:rsid w:val="00E6194E"/>
    <w:rsid w:val="00E621A7"/>
    <w:rsid w:val="00E62F10"/>
    <w:rsid w:val="00E62F72"/>
    <w:rsid w:val="00E6347B"/>
    <w:rsid w:val="00E64FDD"/>
    <w:rsid w:val="00E65898"/>
    <w:rsid w:val="00E66065"/>
    <w:rsid w:val="00E66070"/>
    <w:rsid w:val="00E66294"/>
    <w:rsid w:val="00E673F4"/>
    <w:rsid w:val="00E6743F"/>
    <w:rsid w:val="00E6760F"/>
    <w:rsid w:val="00E71009"/>
    <w:rsid w:val="00E7119B"/>
    <w:rsid w:val="00E71307"/>
    <w:rsid w:val="00E7168E"/>
    <w:rsid w:val="00E71B07"/>
    <w:rsid w:val="00E735F3"/>
    <w:rsid w:val="00E751DF"/>
    <w:rsid w:val="00E77D90"/>
    <w:rsid w:val="00E813FA"/>
    <w:rsid w:val="00E81CC3"/>
    <w:rsid w:val="00E83926"/>
    <w:rsid w:val="00E844E5"/>
    <w:rsid w:val="00E8495B"/>
    <w:rsid w:val="00E85459"/>
    <w:rsid w:val="00E854ED"/>
    <w:rsid w:val="00E8607E"/>
    <w:rsid w:val="00E8752C"/>
    <w:rsid w:val="00E87A76"/>
    <w:rsid w:val="00E87FB2"/>
    <w:rsid w:val="00E90089"/>
    <w:rsid w:val="00E903AE"/>
    <w:rsid w:val="00E90A90"/>
    <w:rsid w:val="00E91AE3"/>
    <w:rsid w:val="00E92099"/>
    <w:rsid w:val="00E935EC"/>
    <w:rsid w:val="00E9362B"/>
    <w:rsid w:val="00E93913"/>
    <w:rsid w:val="00E94EC0"/>
    <w:rsid w:val="00E95103"/>
    <w:rsid w:val="00E95C6A"/>
    <w:rsid w:val="00E9621C"/>
    <w:rsid w:val="00E9672A"/>
    <w:rsid w:val="00EA03B4"/>
    <w:rsid w:val="00EA05A1"/>
    <w:rsid w:val="00EA0F0F"/>
    <w:rsid w:val="00EA16FA"/>
    <w:rsid w:val="00EA184D"/>
    <w:rsid w:val="00EA25DA"/>
    <w:rsid w:val="00EA2E92"/>
    <w:rsid w:val="00EA4825"/>
    <w:rsid w:val="00EA4AFF"/>
    <w:rsid w:val="00EA622D"/>
    <w:rsid w:val="00EA65CA"/>
    <w:rsid w:val="00EB0958"/>
    <w:rsid w:val="00EB2600"/>
    <w:rsid w:val="00EB39BB"/>
    <w:rsid w:val="00EB415D"/>
    <w:rsid w:val="00EB49E0"/>
    <w:rsid w:val="00EB4D78"/>
    <w:rsid w:val="00EB68F8"/>
    <w:rsid w:val="00EB6B5B"/>
    <w:rsid w:val="00EB6C2D"/>
    <w:rsid w:val="00EB6F55"/>
    <w:rsid w:val="00EB7326"/>
    <w:rsid w:val="00EB75EE"/>
    <w:rsid w:val="00EB7D05"/>
    <w:rsid w:val="00EC165B"/>
    <w:rsid w:val="00EC19E7"/>
    <w:rsid w:val="00EC254E"/>
    <w:rsid w:val="00EC4271"/>
    <w:rsid w:val="00EC4718"/>
    <w:rsid w:val="00EC4856"/>
    <w:rsid w:val="00EC4D90"/>
    <w:rsid w:val="00EC53FF"/>
    <w:rsid w:val="00EC5607"/>
    <w:rsid w:val="00EC5D78"/>
    <w:rsid w:val="00EC6229"/>
    <w:rsid w:val="00EC67B0"/>
    <w:rsid w:val="00EC6AA6"/>
    <w:rsid w:val="00EC6C2B"/>
    <w:rsid w:val="00EC6C67"/>
    <w:rsid w:val="00EC6CE7"/>
    <w:rsid w:val="00EC7B04"/>
    <w:rsid w:val="00ED205E"/>
    <w:rsid w:val="00ED221D"/>
    <w:rsid w:val="00ED2528"/>
    <w:rsid w:val="00ED2B6E"/>
    <w:rsid w:val="00ED2DB8"/>
    <w:rsid w:val="00ED45BE"/>
    <w:rsid w:val="00ED525E"/>
    <w:rsid w:val="00ED5F5A"/>
    <w:rsid w:val="00ED7097"/>
    <w:rsid w:val="00ED7198"/>
    <w:rsid w:val="00ED7B06"/>
    <w:rsid w:val="00EE02B9"/>
    <w:rsid w:val="00EE0462"/>
    <w:rsid w:val="00EE11D1"/>
    <w:rsid w:val="00EE11F4"/>
    <w:rsid w:val="00EE157C"/>
    <w:rsid w:val="00EE195D"/>
    <w:rsid w:val="00EE2039"/>
    <w:rsid w:val="00EE27BE"/>
    <w:rsid w:val="00EE328A"/>
    <w:rsid w:val="00EE3A74"/>
    <w:rsid w:val="00EE5505"/>
    <w:rsid w:val="00EE5540"/>
    <w:rsid w:val="00EE638D"/>
    <w:rsid w:val="00EE6C2F"/>
    <w:rsid w:val="00EE76E4"/>
    <w:rsid w:val="00EE7FD6"/>
    <w:rsid w:val="00EF13A9"/>
    <w:rsid w:val="00EF179B"/>
    <w:rsid w:val="00EF17E0"/>
    <w:rsid w:val="00EF1B84"/>
    <w:rsid w:val="00EF40A9"/>
    <w:rsid w:val="00EF4365"/>
    <w:rsid w:val="00EF4A3F"/>
    <w:rsid w:val="00EF4C66"/>
    <w:rsid w:val="00EF5D7E"/>
    <w:rsid w:val="00EF698D"/>
    <w:rsid w:val="00EF786F"/>
    <w:rsid w:val="00F012CF"/>
    <w:rsid w:val="00F022D8"/>
    <w:rsid w:val="00F04AA0"/>
    <w:rsid w:val="00F04BF7"/>
    <w:rsid w:val="00F05412"/>
    <w:rsid w:val="00F0553F"/>
    <w:rsid w:val="00F0565E"/>
    <w:rsid w:val="00F075AA"/>
    <w:rsid w:val="00F1096A"/>
    <w:rsid w:val="00F10AFB"/>
    <w:rsid w:val="00F11C85"/>
    <w:rsid w:val="00F1265D"/>
    <w:rsid w:val="00F1307E"/>
    <w:rsid w:val="00F1343A"/>
    <w:rsid w:val="00F13B56"/>
    <w:rsid w:val="00F14ABA"/>
    <w:rsid w:val="00F15BD7"/>
    <w:rsid w:val="00F16820"/>
    <w:rsid w:val="00F16B6E"/>
    <w:rsid w:val="00F20628"/>
    <w:rsid w:val="00F213A0"/>
    <w:rsid w:val="00F21B6C"/>
    <w:rsid w:val="00F22422"/>
    <w:rsid w:val="00F2251C"/>
    <w:rsid w:val="00F22B35"/>
    <w:rsid w:val="00F22EC3"/>
    <w:rsid w:val="00F23BB7"/>
    <w:rsid w:val="00F24C0A"/>
    <w:rsid w:val="00F24F66"/>
    <w:rsid w:val="00F255E5"/>
    <w:rsid w:val="00F26C78"/>
    <w:rsid w:val="00F27017"/>
    <w:rsid w:val="00F27B47"/>
    <w:rsid w:val="00F27CE8"/>
    <w:rsid w:val="00F305BC"/>
    <w:rsid w:val="00F31922"/>
    <w:rsid w:val="00F3238C"/>
    <w:rsid w:val="00F325D1"/>
    <w:rsid w:val="00F3662C"/>
    <w:rsid w:val="00F36847"/>
    <w:rsid w:val="00F37387"/>
    <w:rsid w:val="00F379AE"/>
    <w:rsid w:val="00F400AD"/>
    <w:rsid w:val="00F41E6B"/>
    <w:rsid w:val="00F42160"/>
    <w:rsid w:val="00F42C5C"/>
    <w:rsid w:val="00F42F79"/>
    <w:rsid w:val="00F4381E"/>
    <w:rsid w:val="00F4389C"/>
    <w:rsid w:val="00F44714"/>
    <w:rsid w:val="00F44901"/>
    <w:rsid w:val="00F44F2C"/>
    <w:rsid w:val="00F453BE"/>
    <w:rsid w:val="00F45ED1"/>
    <w:rsid w:val="00F464F6"/>
    <w:rsid w:val="00F47B2C"/>
    <w:rsid w:val="00F47D96"/>
    <w:rsid w:val="00F501C5"/>
    <w:rsid w:val="00F50BC8"/>
    <w:rsid w:val="00F50F60"/>
    <w:rsid w:val="00F5245B"/>
    <w:rsid w:val="00F540FD"/>
    <w:rsid w:val="00F54227"/>
    <w:rsid w:val="00F547D1"/>
    <w:rsid w:val="00F54B9D"/>
    <w:rsid w:val="00F553B2"/>
    <w:rsid w:val="00F55EC0"/>
    <w:rsid w:val="00F5608B"/>
    <w:rsid w:val="00F6265E"/>
    <w:rsid w:val="00F63240"/>
    <w:rsid w:val="00F64DF8"/>
    <w:rsid w:val="00F650EE"/>
    <w:rsid w:val="00F65B74"/>
    <w:rsid w:val="00F667E0"/>
    <w:rsid w:val="00F676FC"/>
    <w:rsid w:val="00F6773C"/>
    <w:rsid w:val="00F71612"/>
    <w:rsid w:val="00F729E1"/>
    <w:rsid w:val="00F72B2B"/>
    <w:rsid w:val="00F730B7"/>
    <w:rsid w:val="00F7354D"/>
    <w:rsid w:val="00F7406E"/>
    <w:rsid w:val="00F75665"/>
    <w:rsid w:val="00F75717"/>
    <w:rsid w:val="00F76E89"/>
    <w:rsid w:val="00F77B74"/>
    <w:rsid w:val="00F80558"/>
    <w:rsid w:val="00F81A07"/>
    <w:rsid w:val="00F81EBB"/>
    <w:rsid w:val="00F82031"/>
    <w:rsid w:val="00F827A8"/>
    <w:rsid w:val="00F84453"/>
    <w:rsid w:val="00F84D14"/>
    <w:rsid w:val="00F8503C"/>
    <w:rsid w:val="00F85495"/>
    <w:rsid w:val="00F854CC"/>
    <w:rsid w:val="00F85C41"/>
    <w:rsid w:val="00F85EBB"/>
    <w:rsid w:val="00F8672F"/>
    <w:rsid w:val="00F86ACB"/>
    <w:rsid w:val="00F8711D"/>
    <w:rsid w:val="00F87885"/>
    <w:rsid w:val="00F9031B"/>
    <w:rsid w:val="00F90742"/>
    <w:rsid w:val="00F90A96"/>
    <w:rsid w:val="00F90C29"/>
    <w:rsid w:val="00F911BF"/>
    <w:rsid w:val="00F91341"/>
    <w:rsid w:val="00F92277"/>
    <w:rsid w:val="00F927DE"/>
    <w:rsid w:val="00F92934"/>
    <w:rsid w:val="00F92C8C"/>
    <w:rsid w:val="00F92E26"/>
    <w:rsid w:val="00F933AF"/>
    <w:rsid w:val="00F9360A"/>
    <w:rsid w:val="00F93DF7"/>
    <w:rsid w:val="00F94ABD"/>
    <w:rsid w:val="00F96B8A"/>
    <w:rsid w:val="00F96EDA"/>
    <w:rsid w:val="00F97A6D"/>
    <w:rsid w:val="00F97B4B"/>
    <w:rsid w:val="00F97BFC"/>
    <w:rsid w:val="00FA0C08"/>
    <w:rsid w:val="00FA0DAB"/>
    <w:rsid w:val="00FA133E"/>
    <w:rsid w:val="00FA19A7"/>
    <w:rsid w:val="00FA1D2B"/>
    <w:rsid w:val="00FA28BB"/>
    <w:rsid w:val="00FA2E45"/>
    <w:rsid w:val="00FA39E0"/>
    <w:rsid w:val="00FA3E1E"/>
    <w:rsid w:val="00FA41FC"/>
    <w:rsid w:val="00FA5553"/>
    <w:rsid w:val="00FA5EA1"/>
    <w:rsid w:val="00FA6310"/>
    <w:rsid w:val="00FA7AD7"/>
    <w:rsid w:val="00FA7D42"/>
    <w:rsid w:val="00FA7F0A"/>
    <w:rsid w:val="00FA7F83"/>
    <w:rsid w:val="00FB12E5"/>
    <w:rsid w:val="00FB1561"/>
    <w:rsid w:val="00FB179F"/>
    <w:rsid w:val="00FB28EC"/>
    <w:rsid w:val="00FB2996"/>
    <w:rsid w:val="00FB2BB6"/>
    <w:rsid w:val="00FB320B"/>
    <w:rsid w:val="00FB3850"/>
    <w:rsid w:val="00FB3ECE"/>
    <w:rsid w:val="00FB4060"/>
    <w:rsid w:val="00FB4967"/>
    <w:rsid w:val="00FB4B70"/>
    <w:rsid w:val="00FB55D2"/>
    <w:rsid w:val="00FB6ECB"/>
    <w:rsid w:val="00FB73BA"/>
    <w:rsid w:val="00FC0A9A"/>
    <w:rsid w:val="00FC32FD"/>
    <w:rsid w:val="00FC4724"/>
    <w:rsid w:val="00FC4A10"/>
    <w:rsid w:val="00FC586F"/>
    <w:rsid w:val="00FC6E83"/>
    <w:rsid w:val="00FC7E5E"/>
    <w:rsid w:val="00FD0C40"/>
    <w:rsid w:val="00FD104E"/>
    <w:rsid w:val="00FD1218"/>
    <w:rsid w:val="00FD1A8C"/>
    <w:rsid w:val="00FD1B45"/>
    <w:rsid w:val="00FD1ED7"/>
    <w:rsid w:val="00FD1FA8"/>
    <w:rsid w:val="00FD409F"/>
    <w:rsid w:val="00FD7A7C"/>
    <w:rsid w:val="00FD7E90"/>
    <w:rsid w:val="00FE03C7"/>
    <w:rsid w:val="00FE165F"/>
    <w:rsid w:val="00FE1B8C"/>
    <w:rsid w:val="00FE1BF6"/>
    <w:rsid w:val="00FE22D4"/>
    <w:rsid w:val="00FE2B0B"/>
    <w:rsid w:val="00FE3418"/>
    <w:rsid w:val="00FE3F3A"/>
    <w:rsid w:val="00FE414A"/>
    <w:rsid w:val="00FE5302"/>
    <w:rsid w:val="00FE65D9"/>
    <w:rsid w:val="00FE7736"/>
    <w:rsid w:val="00FF154E"/>
    <w:rsid w:val="00FF1992"/>
    <w:rsid w:val="00FF1C61"/>
    <w:rsid w:val="00FF22B2"/>
    <w:rsid w:val="00FF37C2"/>
    <w:rsid w:val="00FF39BD"/>
    <w:rsid w:val="00FF4255"/>
    <w:rsid w:val="00FF4489"/>
    <w:rsid w:val="00FF4767"/>
    <w:rsid w:val="00FF4A86"/>
    <w:rsid w:val="00FF4DB3"/>
    <w:rsid w:val="00FF4E04"/>
    <w:rsid w:val="00FF4FF4"/>
    <w:rsid w:val="00FF65E3"/>
    <w:rsid w:val="00FF67C6"/>
    <w:rsid w:val="00FF6A66"/>
    <w:rsid w:val="00FF7512"/>
    <w:rsid w:val="00FF7A3A"/>
    <w:rsid w:val="00FF7D0C"/>
    <w:rsid w:val="00FF7F63"/>
    <w:rsid w:val="013649E8"/>
    <w:rsid w:val="013763CF"/>
    <w:rsid w:val="014F5C9D"/>
    <w:rsid w:val="021A4704"/>
    <w:rsid w:val="021E5E81"/>
    <w:rsid w:val="02242B11"/>
    <w:rsid w:val="02341F03"/>
    <w:rsid w:val="02534668"/>
    <w:rsid w:val="02621A26"/>
    <w:rsid w:val="02EB6C3D"/>
    <w:rsid w:val="033B2D13"/>
    <w:rsid w:val="034516A4"/>
    <w:rsid w:val="03525C0C"/>
    <w:rsid w:val="03561F72"/>
    <w:rsid w:val="03565BE2"/>
    <w:rsid w:val="03804573"/>
    <w:rsid w:val="03EC157D"/>
    <w:rsid w:val="04740813"/>
    <w:rsid w:val="049313F3"/>
    <w:rsid w:val="049F3BAC"/>
    <w:rsid w:val="04E64C42"/>
    <w:rsid w:val="059A71D8"/>
    <w:rsid w:val="05AA09A5"/>
    <w:rsid w:val="05C90735"/>
    <w:rsid w:val="060446B5"/>
    <w:rsid w:val="061C4DE4"/>
    <w:rsid w:val="06231D84"/>
    <w:rsid w:val="065E7C54"/>
    <w:rsid w:val="06AD3D11"/>
    <w:rsid w:val="06E022F7"/>
    <w:rsid w:val="06FF2EC5"/>
    <w:rsid w:val="0704259A"/>
    <w:rsid w:val="0732418A"/>
    <w:rsid w:val="073A43A6"/>
    <w:rsid w:val="073F4180"/>
    <w:rsid w:val="07433EB1"/>
    <w:rsid w:val="075A73F5"/>
    <w:rsid w:val="07B30C77"/>
    <w:rsid w:val="07BD64DA"/>
    <w:rsid w:val="07E33FE9"/>
    <w:rsid w:val="086B6F34"/>
    <w:rsid w:val="08B66B29"/>
    <w:rsid w:val="08DE2755"/>
    <w:rsid w:val="09672BBB"/>
    <w:rsid w:val="098805F8"/>
    <w:rsid w:val="09FA3DFD"/>
    <w:rsid w:val="0A09549D"/>
    <w:rsid w:val="0A113CE5"/>
    <w:rsid w:val="0A134EFC"/>
    <w:rsid w:val="0A1F26FD"/>
    <w:rsid w:val="0A280D49"/>
    <w:rsid w:val="0A472D7C"/>
    <w:rsid w:val="0A653117"/>
    <w:rsid w:val="0A9A5B64"/>
    <w:rsid w:val="0AAD43A9"/>
    <w:rsid w:val="0ACE377D"/>
    <w:rsid w:val="0B53344A"/>
    <w:rsid w:val="0B697C7F"/>
    <w:rsid w:val="0B702875"/>
    <w:rsid w:val="0B9E7D9A"/>
    <w:rsid w:val="0BE4617E"/>
    <w:rsid w:val="0CAB5C65"/>
    <w:rsid w:val="0CB004C5"/>
    <w:rsid w:val="0D3800AF"/>
    <w:rsid w:val="0D4E293A"/>
    <w:rsid w:val="0D527785"/>
    <w:rsid w:val="0D725244"/>
    <w:rsid w:val="0D7C2EAF"/>
    <w:rsid w:val="0D8F7D5D"/>
    <w:rsid w:val="0DA4010F"/>
    <w:rsid w:val="0DBB0BA9"/>
    <w:rsid w:val="0DC052B1"/>
    <w:rsid w:val="0DD13CE1"/>
    <w:rsid w:val="0E6E522B"/>
    <w:rsid w:val="0E750E15"/>
    <w:rsid w:val="0E765363"/>
    <w:rsid w:val="0E974024"/>
    <w:rsid w:val="0E9A4120"/>
    <w:rsid w:val="0E9B6F78"/>
    <w:rsid w:val="0EA9482B"/>
    <w:rsid w:val="0EB9669F"/>
    <w:rsid w:val="0EC134F4"/>
    <w:rsid w:val="0EEE23E5"/>
    <w:rsid w:val="0EFE7C53"/>
    <w:rsid w:val="0F1D1186"/>
    <w:rsid w:val="0F48682C"/>
    <w:rsid w:val="0F5830E2"/>
    <w:rsid w:val="0F9A6525"/>
    <w:rsid w:val="0FAB6718"/>
    <w:rsid w:val="0FB9394C"/>
    <w:rsid w:val="0FF326B1"/>
    <w:rsid w:val="0FF85302"/>
    <w:rsid w:val="0FFA61CD"/>
    <w:rsid w:val="10044023"/>
    <w:rsid w:val="10630BBB"/>
    <w:rsid w:val="107754B3"/>
    <w:rsid w:val="10910A0B"/>
    <w:rsid w:val="10AF601F"/>
    <w:rsid w:val="10CC6635"/>
    <w:rsid w:val="10E32D79"/>
    <w:rsid w:val="10F24526"/>
    <w:rsid w:val="10FC7B9A"/>
    <w:rsid w:val="11121750"/>
    <w:rsid w:val="11644807"/>
    <w:rsid w:val="11E2786E"/>
    <w:rsid w:val="11EE4E89"/>
    <w:rsid w:val="11F64178"/>
    <w:rsid w:val="11F77190"/>
    <w:rsid w:val="11FF5E75"/>
    <w:rsid w:val="120C7C3D"/>
    <w:rsid w:val="121B66AC"/>
    <w:rsid w:val="12286641"/>
    <w:rsid w:val="12462E10"/>
    <w:rsid w:val="125B216C"/>
    <w:rsid w:val="12783608"/>
    <w:rsid w:val="12A523ED"/>
    <w:rsid w:val="1305253D"/>
    <w:rsid w:val="133B5A46"/>
    <w:rsid w:val="13704B43"/>
    <w:rsid w:val="13C05634"/>
    <w:rsid w:val="13C77BE3"/>
    <w:rsid w:val="14180231"/>
    <w:rsid w:val="14C23AF9"/>
    <w:rsid w:val="15076F35"/>
    <w:rsid w:val="150C266C"/>
    <w:rsid w:val="151B7721"/>
    <w:rsid w:val="154207A8"/>
    <w:rsid w:val="15575460"/>
    <w:rsid w:val="15677E86"/>
    <w:rsid w:val="15796635"/>
    <w:rsid w:val="15A07444"/>
    <w:rsid w:val="15AE756B"/>
    <w:rsid w:val="15BC60F2"/>
    <w:rsid w:val="15E6307A"/>
    <w:rsid w:val="162939B5"/>
    <w:rsid w:val="168F2E1D"/>
    <w:rsid w:val="169C0401"/>
    <w:rsid w:val="16E9535D"/>
    <w:rsid w:val="1720042D"/>
    <w:rsid w:val="177635D8"/>
    <w:rsid w:val="180E0783"/>
    <w:rsid w:val="180E5E6E"/>
    <w:rsid w:val="18133B21"/>
    <w:rsid w:val="18231274"/>
    <w:rsid w:val="18714A6B"/>
    <w:rsid w:val="18B0346B"/>
    <w:rsid w:val="18B84AA0"/>
    <w:rsid w:val="18BE76D1"/>
    <w:rsid w:val="191D278C"/>
    <w:rsid w:val="19F44880"/>
    <w:rsid w:val="1A3B45CB"/>
    <w:rsid w:val="1AE63753"/>
    <w:rsid w:val="1AE64CF5"/>
    <w:rsid w:val="1B1E379F"/>
    <w:rsid w:val="1B4E79FA"/>
    <w:rsid w:val="1B7640AB"/>
    <w:rsid w:val="1B7F1D43"/>
    <w:rsid w:val="1B94768B"/>
    <w:rsid w:val="1BF54F91"/>
    <w:rsid w:val="1C175667"/>
    <w:rsid w:val="1C20632E"/>
    <w:rsid w:val="1C32242A"/>
    <w:rsid w:val="1C6D090D"/>
    <w:rsid w:val="1C88183A"/>
    <w:rsid w:val="1CF71739"/>
    <w:rsid w:val="1D017848"/>
    <w:rsid w:val="1D406FD6"/>
    <w:rsid w:val="1DEA660B"/>
    <w:rsid w:val="1DEF1524"/>
    <w:rsid w:val="1DF96BD1"/>
    <w:rsid w:val="1E29624D"/>
    <w:rsid w:val="1E661C9A"/>
    <w:rsid w:val="1E946C2D"/>
    <w:rsid w:val="1EC01824"/>
    <w:rsid w:val="1F897655"/>
    <w:rsid w:val="1FBF214A"/>
    <w:rsid w:val="1FFC3060"/>
    <w:rsid w:val="20586EFD"/>
    <w:rsid w:val="208320A7"/>
    <w:rsid w:val="20A60646"/>
    <w:rsid w:val="20B7495E"/>
    <w:rsid w:val="20C82C4F"/>
    <w:rsid w:val="20D93476"/>
    <w:rsid w:val="20E772FE"/>
    <w:rsid w:val="20F40750"/>
    <w:rsid w:val="210E09F6"/>
    <w:rsid w:val="21195ED5"/>
    <w:rsid w:val="211E5256"/>
    <w:rsid w:val="215F619C"/>
    <w:rsid w:val="218F1A78"/>
    <w:rsid w:val="21E10AAE"/>
    <w:rsid w:val="21F7541E"/>
    <w:rsid w:val="21F867B2"/>
    <w:rsid w:val="21FC35A9"/>
    <w:rsid w:val="2208413A"/>
    <w:rsid w:val="22EE44A4"/>
    <w:rsid w:val="23035A6F"/>
    <w:rsid w:val="23451705"/>
    <w:rsid w:val="23527ACF"/>
    <w:rsid w:val="23596537"/>
    <w:rsid w:val="240675E0"/>
    <w:rsid w:val="2413786D"/>
    <w:rsid w:val="24181441"/>
    <w:rsid w:val="24343114"/>
    <w:rsid w:val="245A3DA4"/>
    <w:rsid w:val="24876B44"/>
    <w:rsid w:val="248C09EC"/>
    <w:rsid w:val="249A1863"/>
    <w:rsid w:val="24F21422"/>
    <w:rsid w:val="2522568E"/>
    <w:rsid w:val="25230B96"/>
    <w:rsid w:val="253A6F6B"/>
    <w:rsid w:val="254724BB"/>
    <w:rsid w:val="255100FB"/>
    <w:rsid w:val="255172C3"/>
    <w:rsid w:val="2554265E"/>
    <w:rsid w:val="25857189"/>
    <w:rsid w:val="25920CC0"/>
    <w:rsid w:val="25DE04F0"/>
    <w:rsid w:val="25EB02B3"/>
    <w:rsid w:val="25FD2433"/>
    <w:rsid w:val="260B7025"/>
    <w:rsid w:val="26131F09"/>
    <w:rsid w:val="264443E3"/>
    <w:rsid w:val="26716944"/>
    <w:rsid w:val="2696597C"/>
    <w:rsid w:val="26B8136F"/>
    <w:rsid w:val="26CB5AAB"/>
    <w:rsid w:val="26F85903"/>
    <w:rsid w:val="272738E9"/>
    <w:rsid w:val="27BF2A0A"/>
    <w:rsid w:val="27DA3EF6"/>
    <w:rsid w:val="288C059B"/>
    <w:rsid w:val="28FC506B"/>
    <w:rsid w:val="290C278A"/>
    <w:rsid w:val="2919238E"/>
    <w:rsid w:val="2996354B"/>
    <w:rsid w:val="29AA72D5"/>
    <w:rsid w:val="29B97ED9"/>
    <w:rsid w:val="2A0B380A"/>
    <w:rsid w:val="2A343939"/>
    <w:rsid w:val="2A416574"/>
    <w:rsid w:val="2ABE5E35"/>
    <w:rsid w:val="2AC769DE"/>
    <w:rsid w:val="2AE46625"/>
    <w:rsid w:val="2AEA3BFC"/>
    <w:rsid w:val="2B4F758C"/>
    <w:rsid w:val="2B69673B"/>
    <w:rsid w:val="2B9055D9"/>
    <w:rsid w:val="2BC44286"/>
    <w:rsid w:val="2BDE00A0"/>
    <w:rsid w:val="2BE148BC"/>
    <w:rsid w:val="2C940DF4"/>
    <w:rsid w:val="2CB10722"/>
    <w:rsid w:val="2CCC3368"/>
    <w:rsid w:val="2D213B66"/>
    <w:rsid w:val="2D3D6263"/>
    <w:rsid w:val="2D736373"/>
    <w:rsid w:val="2D9518E0"/>
    <w:rsid w:val="2DA66E83"/>
    <w:rsid w:val="2DC4212A"/>
    <w:rsid w:val="2DDA6392"/>
    <w:rsid w:val="2DE779A7"/>
    <w:rsid w:val="2DF77960"/>
    <w:rsid w:val="2DFA1A7E"/>
    <w:rsid w:val="2E4729E8"/>
    <w:rsid w:val="2E545278"/>
    <w:rsid w:val="2E727090"/>
    <w:rsid w:val="2E816B78"/>
    <w:rsid w:val="2E9B239F"/>
    <w:rsid w:val="2EAA4156"/>
    <w:rsid w:val="2F1C152E"/>
    <w:rsid w:val="2F340216"/>
    <w:rsid w:val="2F5E7C47"/>
    <w:rsid w:val="2F790017"/>
    <w:rsid w:val="2F8A2649"/>
    <w:rsid w:val="2F8A44E7"/>
    <w:rsid w:val="2F9E5BCB"/>
    <w:rsid w:val="2FC33EE7"/>
    <w:rsid w:val="2FCB3DA4"/>
    <w:rsid w:val="2FF77EE1"/>
    <w:rsid w:val="306C7492"/>
    <w:rsid w:val="308272AF"/>
    <w:rsid w:val="30AA15DC"/>
    <w:rsid w:val="30BF51C1"/>
    <w:rsid w:val="30CE220C"/>
    <w:rsid w:val="31127F7D"/>
    <w:rsid w:val="31193086"/>
    <w:rsid w:val="312D1779"/>
    <w:rsid w:val="313371FF"/>
    <w:rsid w:val="313A3211"/>
    <w:rsid w:val="313B2FC6"/>
    <w:rsid w:val="31681223"/>
    <w:rsid w:val="31FE04D0"/>
    <w:rsid w:val="325E3BAA"/>
    <w:rsid w:val="328263F9"/>
    <w:rsid w:val="32BE3636"/>
    <w:rsid w:val="32C92F37"/>
    <w:rsid w:val="32CB5DAA"/>
    <w:rsid w:val="32DA3A74"/>
    <w:rsid w:val="3301245C"/>
    <w:rsid w:val="330E23CC"/>
    <w:rsid w:val="3327534E"/>
    <w:rsid w:val="3330459B"/>
    <w:rsid w:val="33BC6FEB"/>
    <w:rsid w:val="33C707E1"/>
    <w:rsid w:val="341C46D8"/>
    <w:rsid w:val="346A408D"/>
    <w:rsid w:val="34777010"/>
    <w:rsid w:val="348007F6"/>
    <w:rsid w:val="34BE3575"/>
    <w:rsid w:val="34E353B5"/>
    <w:rsid w:val="34E82407"/>
    <w:rsid w:val="34FC2AF7"/>
    <w:rsid w:val="353F65D0"/>
    <w:rsid w:val="354A700E"/>
    <w:rsid w:val="354C4A4E"/>
    <w:rsid w:val="359E5283"/>
    <w:rsid w:val="362C39E4"/>
    <w:rsid w:val="367450BC"/>
    <w:rsid w:val="36EE657C"/>
    <w:rsid w:val="373B1E42"/>
    <w:rsid w:val="37692C93"/>
    <w:rsid w:val="377A5F83"/>
    <w:rsid w:val="378F31C1"/>
    <w:rsid w:val="37ED1E4C"/>
    <w:rsid w:val="381B7B84"/>
    <w:rsid w:val="382C4F97"/>
    <w:rsid w:val="38534C95"/>
    <w:rsid w:val="386D00E0"/>
    <w:rsid w:val="387E29A3"/>
    <w:rsid w:val="38A55742"/>
    <w:rsid w:val="38B72CB6"/>
    <w:rsid w:val="38EF2D1E"/>
    <w:rsid w:val="395A5F0C"/>
    <w:rsid w:val="39D918C7"/>
    <w:rsid w:val="3A156597"/>
    <w:rsid w:val="3A9F0A31"/>
    <w:rsid w:val="3ABB5375"/>
    <w:rsid w:val="3AC53EF4"/>
    <w:rsid w:val="3AE802A8"/>
    <w:rsid w:val="3B020188"/>
    <w:rsid w:val="3B18686D"/>
    <w:rsid w:val="3B5B7C6C"/>
    <w:rsid w:val="3B987EF1"/>
    <w:rsid w:val="3BB10C46"/>
    <w:rsid w:val="3C3F463E"/>
    <w:rsid w:val="3C4A51FE"/>
    <w:rsid w:val="3C4F0FAF"/>
    <w:rsid w:val="3C844E58"/>
    <w:rsid w:val="3D280049"/>
    <w:rsid w:val="3D312B40"/>
    <w:rsid w:val="3DA82765"/>
    <w:rsid w:val="3DB95FD2"/>
    <w:rsid w:val="3E7504A0"/>
    <w:rsid w:val="3E7C1763"/>
    <w:rsid w:val="3E8A0713"/>
    <w:rsid w:val="3E8D7AB4"/>
    <w:rsid w:val="3EB204BF"/>
    <w:rsid w:val="3EB729B2"/>
    <w:rsid w:val="3F0656B2"/>
    <w:rsid w:val="3F5A625D"/>
    <w:rsid w:val="3F7169C8"/>
    <w:rsid w:val="3F820E5F"/>
    <w:rsid w:val="3F893C96"/>
    <w:rsid w:val="3F8A16F2"/>
    <w:rsid w:val="3FA9465D"/>
    <w:rsid w:val="402434D4"/>
    <w:rsid w:val="40256B13"/>
    <w:rsid w:val="4066039C"/>
    <w:rsid w:val="406D7904"/>
    <w:rsid w:val="40872293"/>
    <w:rsid w:val="40B15AFF"/>
    <w:rsid w:val="410E7AAB"/>
    <w:rsid w:val="41192A01"/>
    <w:rsid w:val="412237BE"/>
    <w:rsid w:val="412C46C0"/>
    <w:rsid w:val="41345FC8"/>
    <w:rsid w:val="41441EC7"/>
    <w:rsid w:val="41640421"/>
    <w:rsid w:val="418953E1"/>
    <w:rsid w:val="41AD4511"/>
    <w:rsid w:val="41DA0FED"/>
    <w:rsid w:val="42542B10"/>
    <w:rsid w:val="428734AC"/>
    <w:rsid w:val="42A96230"/>
    <w:rsid w:val="42CC2036"/>
    <w:rsid w:val="42F53F19"/>
    <w:rsid w:val="42FD3448"/>
    <w:rsid w:val="4358517F"/>
    <w:rsid w:val="436C6BEF"/>
    <w:rsid w:val="43895D01"/>
    <w:rsid w:val="43977318"/>
    <w:rsid w:val="439A552A"/>
    <w:rsid w:val="44532B69"/>
    <w:rsid w:val="44AB2ED5"/>
    <w:rsid w:val="44B16809"/>
    <w:rsid w:val="44E85BF0"/>
    <w:rsid w:val="44F233AC"/>
    <w:rsid w:val="45250ECF"/>
    <w:rsid w:val="45282A8E"/>
    <w:rsid w:val="454C37EB"/>
    <w:rsid w:val="457D2C1C"/>
    <w:rsid w:val="459154F3"/>
    <w:rsid w:val="45B6749D"/>
    <w:rsid w:val="45F353BD"/>
    <w:rsid w:val="461855D0"/>
    <w:rsid w:val="465B2BB8"/>
    <w:rsid w:val="46805ED6"/>
    <w:rsid w:val="468C5F83"/>
    <w:rsid w:val="469C4F6B"/>
    <w:rsid w:val="46EB62B1"/>
    <w:rsid w:val="4766624A"/>
    <w:rsid w:val="477D3DE0"/>
    <w:rsid w:val="478E1B51"/>
    <w:rsid w:val="48222D72"/>
    <w:rsid w:val="4829683C"/>
    <w:rsid w:val="48370EE6"/>
    <w:rsid w:val="486144E6"/>
    <w:rsid w:val="48797990"/>
    <w:rsid w:val="48B33F8A"/>
    <w:rsid w:val="49883814"/>
    <w:rsid w:val="4990361D"/>
    <w:rsid w:val="49A011E2"/>
    <w:rsid w:val="49DC7DD5"/>
    <w:rsid w:val="49EB1B44"/>
    <w:rsid w:val="4A1E7511"/>
    <w:rsid w:val="4A2518D1"/>
    <w:rsid w:val="4A813AB7"/>
    <w:rsid w:val="4A823E7C"/>
    <w:rsid w:val="4B2C7D30"/>
    <w:rsid w:val="4B656780"/>
    <w:rsid w:val="4B967A5D"/>
    <w:rsid w:val="4BDD752E"/>
    <w:rsid w:val="4C2C1716"/>
    <w:rsid w:val="4C2D1E59"/>
    <w:rsid w:val="4C760505"/>
    <w:rsid w:val="4CAD14BF"/>
    <w:rsid w:val="4CCB4AEA"/>
    <w:rsid w:val="4CD708B6"/>
    <w:rsid w:val="4D103CA4"/>
    <w:rsid w:val="4D171D10"/>
    <w:rsid w:val="4D2622A2"/>
    <w:rsid w:val="4D3F774C"/>
    <w:rsid w:val="4D5509D1"/>
    <w:rsid w:val="4D8307B0"/>
    <w:rsid w:val="4DDE1168"/>
    <w:rsid w:val="4E205AB9"/>
    <w:rsid w:val="4E3A02EB"/>
    <w:rsid w:val="4E596EF0"/>
    <w:rsid w:val="4E7F3934"/>
    <w:rsid w:val="4EA63B62"/>
    <w:rsid w:val="4EB475C2"/>
    <w:rsid w:val="4ED02D8B"/>
    <w:rsid w:val="4F570D13"/>
    <w:rsid w:val="4F5872E6"/>
    <w:rsid w:val="4F7764E8"/>
    <w:rsid w:val="4F986C49"/>
    <w:rsid w:val="4FB30E85"/>
    <w:rsid w:val="4FB83E9A"/>
    <w:rsid w:val="4FBA4DF6"/>
    <w:rsid w:val="4FDD1543"/>
    <w:rsid w:val="4FE81B6F"/>
    <w:rsid w:val="4FEF7BB2"/>
    <w:rsid w:val="4FF91458"/>
    <w:rsid w:val="50412026"/>
    <w:rsid w:val="50453B5C"/>
    <w:rsid w:val="505D38B4"/>
    <w:rsid w:val="506771D4"/>
    <w:rsid w:val="511E6D76"/>
    <w:rsid w:val="512E7B53"/>
    <w:rsid w:val="5159608C"/>
    <w:rsid w:val="515A565B"/>
    <w:rsid w:val="5197061A"/>
    <w:rsid w:val="519B398B"/>
    <w:rsid w:val="51ED0545"/>
    <w:rsid w:val="528B40B7"/>
    <w:rsid w:val="528D6516"/>
    <w:rsid w:val="52FF0AC9"/>
    <w:rsid w:val="5322011F"/>
    <w:rsid w:val="53287DA2"/>
    <w:rsid w:val="53430119"/>
    <w:rsid w:val="53573B63"/>
    <w:rsid w:val="535C7D48"/>
    <w:rsid w:val="539E187C"/>
    <w:rsid w:val="53A37A81"/>
    <w:rsid w:val="53B5285C"/>
    <w:rsid w:val="54680A2C"/>
    <w:rsid w:val="548D7509"/>
    <w:rsid w:val="54901ABD"/>
    <w:rsid w:val="54C25099"/>
    <w:rsid w:val="54CB761D"/>
    <w:rsid w:val="55397EF5"/>
    <w:rsid w:val="5546246F"/>
    <w:rsid w:val="554B3488"/>
    <w:rsid w:val="556107CB"/>
    <w:rsid w:val="55BD2FBF"/>
    <w:rsid w:val="55D51820"/>
    <w:rsid w:val="5616229B"/>
    <w:rsid w:val="5641779C"/>
    <w:rsid w:val="56444FE7"/>
    <w:rsid w:val="564764F6"/>
    <w:rsid w:val="56531613"/>
    <w:rsid w:val="5679374B"/>
    <w:rsid w:val="56FC6D5A"/>
    <w:rsid w:val="56FD7DA3"/>
    <w:rsid w:val="5705338E"/>
    <w:rsid w:val="57254983"/>
    <w:rsid w:val="572A6E15"/>
    <w:rsid w:val="573D6DF7"/>
    <w:rsid w:val="5740142F"/>
    <w:rsid w:val="574E70E5"/>
    <w:rsid w:val="576067CE"/>
    <w:rsid w:val="57672AA3"/>
    <w:rsid w:val="577C0F5E"/>
    <w:rsid w:val="5783764A"/>
    <w:rsid w:val="578404F8"/>
    <w:rsid w:val="57C72EFD"/>
    <w:rsid w:val="57D56DDB"/>
    <w:rsid w:val="581D1228"/>
    <w:rsid w:val="58317B26"/>
    <w:rsid w:val="58363416"/>
    <w:rsid w:val="5846233D"/>
    <w:rsid w:val="58A212D9"/>
    <w:rsid w:val="58E63476"/>
    <w:rsid w:val="58E955C8"/>
    <w:rsid w:val="58EA08F4"/>
    <w:rsid w:val="590527B0"/>
    <w:rsid w:val="591061DE"/>
    <w:rsid w:val="59283850"/>
    <w:rsid w:val="5961647E"/>
    <w:rsid w:val="5984717F"/>
    <w:rsid w:val="598B1245"/>
    <w:rsid w:val="59E420ED"/>
    <w:rsid w:val="59EE0169"/>
    <w:rsid w:val="59F976D3"/>
    <w:rsid w:val="5A0977B1"/>
    <w:rsid w:val="5A0D5C5D"/>
    <w:rsid w:val="5A341751"/>
    <w:rsid w:val="5A6F0905"/>
    <w:rsid w:val="5A7F732B"/>
    <w:rsid w:val="5ACD1255"/>
    <w:rsid w:val="5AEA67E8"/>
    <w:rsid w:val="5B30451D"/>
    <w:rsid w:val="5B39267B"/>
    <w:rsid w:val="5B526BCA"/>
    <w:rsid w:val="5BDF706F"/>
    <w:rsid w:val="5C6D09BD"/>
    <w:rsid w:val="5C722927"/>
    <w:rsid w:val="5C9C5315"/>
    <w:rsid w:val="5CC86889"/>
    <w:rsid w:val="5CD46317"/>
    <w:rsid w:val="5CE16426"/>
    <w:rsid w:val="5CFF7929"/>
    <w:rsid w:val="5D0D076B"/>
    <w:rsid w:val="5D29724F"/>
    <w:rsid w:val="5D4004C0"/>
    <w:rsid w:val="5D507325"/>
    <w:rsid w:val="5E3545BE"/>
    <w:rsid w:val="5E7A0781"/>
    <w:rsid w:val="5EE2661A"/>
    <w:rsid w:val="5F1B7641"/>
    <w:rsid w:val="5F2C1347"/>
    <w:rsid w:val="5FC07888"/>
    <w:rsid w:val="5FD07431"/>
    <w:rsid w:val="5FD50299"/>
    <w:rsid w:val="600A463E"/>
    <w:rsid w:val="60340B05"/>
    <w:rsid w:val="60526464"/>
    <w:rsid w:val="608F7BCA"/>
    <w:rsid w:val="60FA2B3E"/>
    <w:rsid w:val="613B5AB6"/>
    <w:rsid w:val="61552610"/>
    <w:rsid w:val="61755223"/>
    <w:rsid w:val="619F2DF0"/>
    <w:rsid w:val="61A769F5"/>
    <w:rsid w:val="61BD7FE3"/>
    <w:rsid w:val="61FF3426"/>
    <w:rsid w:val="621056B8"/>
    <w:rsid w:val="6232769E"/>
    <w:rsid w:val="623819DB"/>
    <w:rsid w:val="629B74E5"/>
    <w:rsid w:val="62A041F4"/>
    <w:rsid w:val="62D40F98"/>
    <w:rsid w:val="635C09BB"/>
    <w:rsid w:val="63694C2A"/>
    <w:rsid w:val="637629A8"/>
    <w:rsid w:val="63863D61"/>
    <w:rsid w:val="6392615A"/>
    <w:rsid w:val="6437747D"/>
    <w:rsid w:val="644760AE"/>
    <w:rsid w:val="64510CA4"/>
    <w:rsid w:val="646F7A0F"/>
    <w:rsid w:val="64872A1D"/>
    <w:rsid w:val="649534BE"/>
    <w:rsid w:val="64AA2413"/>
    <w:rsid w:val="65201C0C"/>
    <w:rsid w:val="65363B34"/>
    <w:rsid w:val="65A45C0E"/>
    <w:rsid w:val="66610B16"/>
    <w:rsid w:val="66752737"/>
    <w:rsid w:val="66926E2E"/>
    <w:rsid w:val="66A661A8"/>
    <w:rsid w:val="66F7731E"/>
    <w:rsid w:val="66FA46BA"/>
    <w:rsid w:val="67080CFF"/>
    <w:rsid w:val="671349B1"/>
    <w:rsid w:val="675672B4"/>
    <w:rsid w:val="678312BA"/>
    <w:rsid w:val="67992308"/>
    <w:rsid w:val="679D7F50"/>
    <w:rsid w:val="67BE30E9"/>
    <w:rsid w:val="67D23FD4"/>
    <w:rsid w:val="67DE0F1C"/>
    <w:rsid w:val="67F25F5B"/>
    <w:rsid w:val="681670FF"/>
    <w:rsid w:val="68233792"/>
    <w:rsid w:val="68272531"/>
    <w:rsid w:val="689E4B5F"/>
    <w:rsid w:val="68BB4E47"/>
    <w:rsid w:val="68DF75C3"/>
    <w:rsid w:val="69202E48"/>
    <w:rsid w:val="692E41E2"/>
    <w:rsid w:val="69332701"/>
    <w:rsid w:val="69A267CC"/>
    <w:rsid w:val="69C8422D"/>
    <w:rsid w:val="69D26C8B"/>
    <w:rsid w:val="69E24F6C"/>
    <w:rsid w:val="69EC4292"/>
    <w:rsid w:val="6A1D36CD"/>
    <w:rsid w:val="6A375F57"/>
    <w:rsid w:val="6A757BE1"/>
    <w:rsid w:val="6A822888"/>
    <w:rsid w:val="6A9441EC"/>
    <w:rsid w:val="6AB0794D"/>
    <w:rsid w:val="6ABC169E"/>
    <w:rsid w:val="6ACF3AF9"/>
    <w:rsid w:val="6B144D33"/>
    <w:rsid w:val="6B22715A"/>
    <w:rsid w:val="6B2E1BA8"/>
    <w:rsid w:val="6B455083"/>
    <w:rsid w:val="6B46130F"/>
    <w:rsid w:val="6B4A54B2"/>
    <w:rsid w:val="6B662635"/>
    <w:rsid w:val="6B7848F3"/>
    <w:rsid w:val="6BA81AA3"/>
    <w:rsid w:val="6C1F3978"/>
    <w:rsid w:val="6C262AFF"/>
    <w:rsid w:val="6C2A36EC"/>
    <w:rsid w:val="6CC315CD"/>
    <w:rsid w:val="6D0F018C"/>
    <w:rsid w:val="6D62464C"/>
    <w:rsid w:val="6D655BBC"/>
    <w:rsid w:val="6D9D58D4"/>
    <w:rsid w:val="6DA2586B"/>
    <w:rsid w:val="6DA94795"/>
    <w:rsid w:val="6DDD4BFF"/>
    <w:rsid w:val="6E2A4BC9"/>
    <w:rsid w:val="6E384F67"/>
    <w:rsid w:val="6E4864F1"/>
    <w:rsid w:val="6E5F7BBD"/>
    <w:rsid w:val="6EAA1D55"/>
    <w:rsid w:val="6EEF12C6"/>
    <w:rsid w:val="6EF460CA"/>
    <w:rsid w:val="6F355D0C"/>
    <w:rsid w:val="6F4B77A3"/>
    <w:rsid w:val="6F6C41EA"/>
    <w:rsid w:val="6F7F415A"/>
    <w:rsid w:val="6F8246DF"/>
    <w:rsid w:val="6FEC634C"/>
    <w:rsid w:val="6FF0710E"/>
    <w:rsid w:val="7004131A"/>
    <w:rsid w:val="70044322"/>
    <w:rsid w:val="706246B9"/>
    <w:rsid w:val="707D774F"/>
    <w:rsid w:val="70974125"/>
    <w:rsid w:val="713525A5"/>
    <w:rsid w:val="71481438"/>
    <w:rsid w:val="716704EB"/>
    <w:rsid w:val="71880A74"/>
    <w:rsid w:val="71944565"/>
    <w:rsid w:val="71AA3969"/>
    <w:rsid w:val="71CA44A2"/>
    <w:rsid w:val="71F6231A"/>
    <w:rsid w:val="72511284"/>
    <w:rsid w:val="72566F93"/>
    <w:rsid w:val="72715868"/>
    <w:rsid w:val="72CF1E41"/>
    <w:rsid w:val="72E62EFC"/>
    <w:rsid w:val="7319610F"/>
    <w:rsid w:val="733E191E"/>
    <w:rsid w:val="735B5538"/>
    <w:rsid w:val="73DC3BCD"/>
    <w:rsid w:val="744F500B"/>
    <w:rsid w:val="7490798A"/>
    <w:rsid w:val="74A24B87"/>
    <w:rsid w:val="74E126D0"/>
    <w:rsid w:val="75191DB1"/>
    <w:rsid w:val="75321DA0"/>
    <w:rsid w:val="75B31E98"/>
    <w:rsid w:val="75D016DC"/>
    <w:rsid w:val="76613253"/>
    <w:rsid w:val="766A3B6A"/>
    <w:rsid w:val="76AD17A1"/>
    <w:rsid w:val="76B56733"/>
    <w:rsid w:val="76B80581"/>
    <w:rsid w:val="76C0264F"/>
    <w:rsid w:val="76F339F6"/>
    <w:rsid w:val="771C5667"/>
    <w:rsid w:val="773D3CB2"/>
    <w:rsid w:val="77447EC5"/>
    <w:rsid w:val="77837672"/>
    <w:rsid w:val="7796238F"/>
    <w:rsid w:val="77DD35F3"/>
    <w:rsid w:val="77EE792B"/>
    <w:rsid w:val="780B7E08"/>
    <w:rsid w:val="78143E0C"/>
    <w:rsid w:val="789164F0"/>
    <w:rsid w:val="78E76B5B"/>
    <w:rsid w:val="78EC0D6C"/>
    <w:rsid w:val="78F93779"/>
    <w:rsid w:val="790C07B8"/>
    <w:rsid w:val="79A21A2B"/>
    <w:rsid w:val="79B844BA"/>
    <w:rsid w:val="79BB7302"/>
    <w:rsid w:val="7A1E10C5"/>
    <w:rsid w:val="7A2D2C3A"/>
    <w:rsid w:val="7A3133AA"/>
    <w:rsid w:val="7A784FC1"/>
    <w:rsid w:val="7A984DCA"/>
    <w:rsid w:val="7AB0509D"/>
    <w:rsid w:val="7BE8645E"/>
    <w:rsid w:val="7BEA6A9F"/>
    <w:rsid w:val="7C1B74E7"/>
    <w:rsid w:val="7CA17E61"/>
    <w:rsid w:val="7CB0315B"/>
    <w:rsid w:val="7CB92536"/>
    <w:rsid w:val="7D096DCC"/>
    <w:rsid w:val="7D531A0F"/>
    <w:rsid w:val="7D5A6B5D"/>
    <w:rsid w:val="7D6C4ADE"/>
    <w:rsid w:val="7D851ED7"/>
    <w:rsid w:val="7DC951BB"/>
    <w:rsid w:val="7DEF7340"/>
    <w:rsid w:val="7DFB7B5C"/>
    <w:rsid w:val="7E176CEE"/>
    <w:rsid w:val="7EB327F3"/>
    <w:rsid w:val="7EB8067E"/>
    <w:rsid w:val="7EDE1ECF"/>
    <w:rsid w:val="7F17366D"/>
    <w:rsid w:val="7F465DC1"/>
    <w:rsid w:val="7F691857"/>
    <w:rsid w:val="7F6F47FF"/>
    <w:rsid w:val="7FA10F87"/>
    <w:rsid w:val="7FC329E0"/>
    <w:rsid w:val="7FC5044F"/>
    <w:rsid w:val="7FED21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qFormat="1"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qFormat="1" w:unhideWhenUsed="0" w:uiPriority="0" w:semiHidden="0" w:name="line number"/>
    <w:lsdException w:qFormat="1" w:unhideWhenUsed="0" w:uiPriority="0" w:semiHidden="0" w:name="page number"/>
    <w:lsdException w:qFormat="1" w:unhideWhenUsed="0" w:uiPriority="0" w:name="endnote reference"/>
    <w:lsdException w:qFormat="1" w:unhideWhenUsed="0" w:uiPriority="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unhideWhenUsed="0" w:uiPriority="0" w:semiHidden="0" w:name="List 4"/>
    <w:lsdException w:unhideWhenUsed="0" w:uiPriority="0" w:semiHidden="0" w:name="List 5"/>
    <w:lsdException w:qFormat="1" w:unhideWhenUsed="0" w:uiPriority="0" w:semiHidden="0" w:name="List Bullet 2"/>
    <w:lsdException w:qFormat="1" w:unhideWhenUsed="0" w:uiPriority="0" w:semiHidden="0" w:name="List Bullet 3"/>
    <w:lsdException w:unhideWhenUsed="0" w:uiPriority="0" w:semiHidden="0" w:name="List Bullet 4"/>
    <w:lsdException w:qFormat="1" w:unhideWhenUsed="0" w:uiPriority="0" w:semiHidden="0" w:name="List Bullet 5"/>
    <w:lsdException w:unhideWhenUsed="0" w:uiPriority="0" w:semiHidden="0" w:name="List Number 2"/>
    <w:lsdException w:unhideWhenUsed="0" w:uiPriority="0" w:semiHidden="0" w:name="List Number 3"/>
    <w:lsdException w:qFormat="1"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qFormat="1" w:unhideWhenUsed="0" w:uiPriority="0" w:semiHidden="0" w:name="HTML Acronym"/>
    <w:lsdException w:qFormat="1"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qFormat="1" w:unhideWhenUsed="0" w:uiPriority="0" w:semiHidden="0" w:name="HTML Preformatted"/>
    <w:lsdException w:qFormat="1" w:unhideWhenUsed="0" w:uiPriority="0" w:semiHidden="0" w:name="HTML Sample"/>
    <w:lsdException w:unhideWhenUsed="0" w:uiPriority="0" w:semiHidden="0" w:name="HTML Typewriter"/>
    <w:lsdException w:qFormat="1" w:unhideWhenUsed="0" w:uiPriority="0" w:semiHidden="0" w:name="HTML Variable"/>
    <w:lsdException w:qFormat="1" w:uiPriority="99" w:name="Normal Table"/>
    <w:lsdException w:qFormat="1" w:unhideWhenUsed="0" w:uiPriority="0" w:semiHidden="0" w:name="annotation subject"/>
    <w:lsdException w:qFormat="1" w:unhideWhenUsed="0" w:uiPriority="0" w:semiHidden="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qFormat="1" w:unhideWhenUsed="0" w:uiPriority="0" w:semiHidden="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qFormat="1" w:unhideWhenUsed="0" w:uiPriority="0" w:semiHidden="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qFormat="1" w:unhideWhenUsed="0" w:uiPriority="0" w:semiHidden="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qFormat="1" w:unhideWhenUsed="0" w:uiPriority="0" w:semiHidden="0"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qFormat="1" w:unhideWhenUsed="0" w:uiPriority="0" w:semiHidden="0" w:name="Quote"/>
    <w:lsdException w:qFormat="1" w:unhideWhenUsed="0" w:uiPriority="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paragraph" w:styleId="3">
    <w:name w:val="heading 1"/>
    <w:basedOn w:val="1"/>
    <w:next w:val="1"/>
    <w:link w:val="680"/>
    <w:qFormat/>
    <w:uiPriority w:val="0"/>
    <w:pPr>
      <w:keepNext/>
      <w:keepLines/>
      <w:snapToGrid w:val="0"/>
      <w:spacing w:line="360" w:lineRule="auto"/>
      <w:outlineLvl w:val="0"/>
    </w:pPr>
    <w:rPr>
      <w:rFonts w:eastAsia="黑体"/>
      <w:kern w:val="44"/>
      <w:sz w:val="28"/>
    </w:rPr>
  </w:style>
  <w:style w:type="paragraph" w:styleId="4">
    <w:name w:val="heading 2"/>
    <w:basedOn w:val="1"/>
    <w:next w:val="5"/>
    <w:link w:val="663"/>
    <w:qFormat/>
    <w:uiPriority w:val="0"/>
    <w:pPr>
      <w:keepNext/>
      <w:keepLines/>
      <w:numPr>
        <w:ilvl w:val="1"/>
        <w:numId w:val="1"/>
      </w:numPr>
      <w:adjustRightInd w:val="0"/>
      <w:spacing w:before="100" w:after="100" w:line="360" w:lineRule="auto"/>
      <w:jc w:val="left"/>
      <w:textAlignment w:val="baseline"/>
      <w:outlineLvl w:val="1"/>
    </w:pPr>
    <w:rPr>
      <w:rFonts w:ascii="Arial" w:hAnsi="Arial" w:eastAsia="黑体"/>
      <w:b/>
      <w:sz w:val="28"/>
    </w:rPr>
  </w:style>
  <w:style w:type="paragraph" w:styleId="6">
    <w:name w:val="heading 3"/>
    <w:basedOn w:val="1"/>
    <w:next w:val="1"/>
    <w:link w:val="733"/>
    <w:qFormat/>
    <w:uiPriority w:val="0"/>
    <w:pPr>
      <w:keepNext/>
      <w:keepLines/>
      <w:numPr>
        <w:ilvl w:val="2"/>
        <w:numId w:val="1"/>
      </w:numPr>
      <w:spacing w:before="260" w:after="260" w:line="413" w:lineRule="auto"/>
      <w:outlineLvl w:val="2"/>
    </w:pPr>
    <w:rPr>
      <w:b/>
      <w:sz w:val="32"/>
    </w:rPr>
  </w:style>
  <w:style w:type="paragraph" w:styleId="2">
    <w:name w:val="heading 4"/>
    <w:basedOn w:val="1"/>
    <w:next w:val="1"/>
    <w:link w:val="501"/>
    <w:qFormat/>
    <w:uiPriority w:val="0"/>
    <w:pPr>
      <w:keepNext/>
      <w:keepLines/>
      <w:numPr>
        <w:ilvl w:val="3"/>
        <w:numId w:val="1"/>
      </w:numPr>
      <w:spacing w:before="280" w:after="290" w:line="372" w:lineRule="auto"/>
      <w:outlineLvl w:val="3"/>
    </w:pPr>
    <w:rPr>
      <w:rFonts w:ascii="Arial" w:hAnsi="Arial" w:eastAsia="黑体"/>
      <w:b/>
      <w:sz w:val="28"/>
    </w:rPr>
  </w:style>
  <w:style w:type="paragraph" w:styleId="7">
    <w:name w:val="heading 5"/>
    <w:basedOn w:val="1"/>
    <w:next w:val="1"/>
    <w:link w:val="528"/>
    <w:qFormat/>
    <w:uiPriority w:val="0"/>
    <w:pPr>
      <w:keepNext/>
      <w:keepLines/>
      <w:numPr>
        <w:ilvl w:val="4"/>
        <w:numId w:val="1"/>
      </w:numPr>
      <w:spacing w:before="280" w:after="290" w:line="372" w:lineRule="auto"/>
      <w:outlineLvl w:val="4"/>
    </w:pPr>
    <w:rPr>
      <w:b/>
      <w:sz w:val="28"/>
    </w:rPr>
  </w:style>
  <w:style w:type="paragraph" w:styleId="8">
    <w:name w:val="heading 6"/>
    <w:basedOn w:val="1"/>
    <w:next w:val="1"/>
    <w:link w:val="593"/>
    <w:qFormat/>
    <w:uiPriority w:val="0"/>
    <w:pPr>
      <w:keepNext/>
      <w:keepLines/>
      <w:numPr>
        <w:ilvl w:val="5"/>
        <w:numId w:val="1"/>
      </w:numPr>
      <w:spacing w:before="240" w:after="64" w:line="317" w:lineRule="auto"/>
      <w:outlineLvl w:val="5"/>
    </w:pPr>
    <w:rPr>
      <w:rFonts w:ascii="Arial" w:hAnsi="Arial" w:eastAsia="黑体"/>
      <w:b/>
      <w:sz w:val="24"/>
    </w:rPr>
  </w:style>
  <w:style w:type="paragraph" w:styleId="9">
    <w:name w:val="heading 7"/>
    <w:basedOn w:val="1"/>
    <w:next w:val="1"/>
    <w:link w:val="518"/>
    <w:qFormat/>
    <w:uiPriority w:val="0"/>
    <w:pPr>
      <w:keepNext/>
      <w:keepLines/>
      <w:numPr>
        <w:ilvl w:val="6"/>
        <w:numId w:val="1"/>
      </w:numPr>
      <w:spacing w:before="240" w:after="64" w:line="317" w:lineRule="auto"/>
      <w:outlineLvl w:val="6"/>
    </w:pPr>
    <w:rPr>
      <w:b/>
      <w:sz w:val="24"/>
    </w:rPr>
  </w:style>
  <w:style w:type="paragraph" w:styleId="10">
    <w:name w:val="heading 8"/>
    <w:basedOn w:val="1"/>
    <w:next w:val="1"/>
    <w:link w:val="701"/>
    <w:qFormat/>
    <w:uiPriority w:val="0"/>
    <w:pPr>
      <w:keepNext/>
      <w:keepLines/>
      <w:numPr>
        <w:ilvl w:val="7"/>
        <w:numId w:val="1"/>
      </w:numPr>
      <w:spacing w:before="240" w:after="64" w:line="317" w:lineRule="auto"/>
      <w:outlineLvl w:val="7"/>
    </w:pPr>
    <w:rPr>
      <w:rFonts w:ascii="Arial" w:hAnsi="Arial" w:eastAsia="黑体"/>
      <w:sz w:val="24"/>
    </w:rPr>
  </w:style>
  <w:style w:type="paragraph" w:styleId="11">
    <w:name w:val="heading 9"/>
    <w:basedOn w:val="1"/>
    <w:next w:val="1"/>
    <w:link w:val="711"/>
    <w:qFormat/>
    <w:uiPriority w:val="0"/>
    <w:pPr>
      <w:keepNext/>
      <w:keepLines/>
      <w:numPr>
        <w:ilvl w:val="8"/>
        <w:numId w:val="1"/>
      </w:numPr>
      <w:spacing w:before="240" w:after="64" w:line="317" w:lineRule="auto"/>
      <w:outlineLvl w:val="8"/>
    </w:pPr>
    <w:rPr>
      <w:rFonts w:ascii="Arial" w:hAnsi="Arial" w:eastAsia="黑体"/>
    </w:rPr>
  </w:style>
  <w:style w:type="character" w:default="1" w:styleId="63">
    <w:name w:val="Default Paragraph Font"/>
    <w:semiHidden/>
    <w:unhideWhenUsed/>
    <w:qFormat/>
    <w:uiPriority w:val="1"/>
  </w:style>
  <w:style w:type="table" w:default="1" w:styleId="56">
    <w:name w:val="Normal Table"/>
    <w:semiHidden/>
    <w:unhideWhenUsed/>
    <w:qFormat/>
    <w:uiPriority w:val="99"/>
    <w:tblPr>
      <w:tblCellMar>
        <w:top w:w="0" w:type="dxa"/>
        <w:left w:w="108" w:type="dxa"/>
        <w:bottom w:w="0" w:type="dxa"/>
        <w:right w:w="108" w:type="dxa"/>
      </w:tblCellMar>
    </w:tblPr>
  </w:style>
  <w:style w:type="paragraph" w:styleId="5">
    <w:name w:val="Normal Indent"/>
    <w:basedOn w:val="1"/>
    <w:link w:val="560"/>
    <w:qFormat/>
    <w:uiPriority w:val="0"/>
    <w:pPr>
      <w:ind w:firstLine="420" w:firstLineChars="200"/>
    </w:pPr>
  </w:style>
  <w:style w:type="paragraph" w:styleId="12">
    <w:name w:val="List 3"/>
    <w:basedOn w:val="1"/>
    <w:qFormat/>
    <w:uiPriority w:val="0"/>
    <w:pPr>
      <w:widowControl/>
      <w:ind w:left="100" w:leftChars="400" w:hanging="200" w:hangingChars="200"/>
      <w:jc w:val="left"/>
    </w:pPr>
    <w:rPr>
      <w:rFonts w:ascii="Calibri" w:hAnsi="Calibri"/>
      <w:kern w:val="0"/>
      <w:sz w:val="22"/>
    </w:rPr>
  </w:style>
  <w:style w:type="paragraph" w:styleId="13">
    <w:name w:val="toc 7"/>
    <w:basedOn w:val="1"/>
    <w:next w:val="1"/>
    <w:qFormat/>
    <w:uiPriority w:val="0"/>
    <w:pPr>
      <w:widowControl/>
      <w:ind w:left="1260"/>
      <w:jc w:val="left"/>
    </w:pPr>
    <w:rPr>
      <w:rFonts w:ascii="Calibri" w:hAnsi="Calibri"/>
      <w:kern w:val="0"/>
      <w:sz w:val="18"/>
      <w:szCs w:val="18"/>
    </w:rPr>
  </w:style>
  <w:style w:type="paragraph" w:styleId="14">
    <w:name w:val="List Number"/>
    <w:basedOn w:val="1"/>
    <w:qFormat/>
    <w:uiPriority w:val="0"/>
    <w:pPr>
      <w:widowControl/>
      <w:tabs>
        <w:tab w:val="left" w:pos="450"/>
      </w:tabs>
      <w:ind w:left="450" w:hanging="450"/>
      <w:jc w:val="left"/>
    </w:pPr>
    <w:rPr>
      <w:rFonts w:ascii="Calibri" w:hAnsi="Calibri"/>
      <w:kern w:val="0"/>
      <w:sz w:val="22"/>
      <w:szCs w:val="22"/>
    </w:rPr>
  </w:style>
  <w:style w:type="paragraph" w:styleId="15">
    <w:name w:val="caption"/>
    <w:basedOn w:val="1"/>
    <w:next w:val="1"/>
    <w:link w:val="511"/>
    <w:qFormat/>
    <w:uiPriority w:val="0"/>
    <w:pPr>
      <w:widowControl/>
      <w:jc w:val="left"/>
    </w:pPr>
    <w:rPr>
      <w:rFonts w:ascii="Calibri" w:hAnsi="Calibri"/>
      <w:b/>
      <w:bCs/>
      <w:color w:val="2DA2BF"/>
      <w:kern w:val="0"/>
      <w:sz w:val="18"/>
      <w:szCs w:val="18"/>
    </w:rPr>
  </w:style>
  <w:style w:type="paragraph" w:styleId="16">
    <w:name w:val="Document Map"/>
    <w:basedOn w:val="1"/>
    <w:link w:val="513"/>
    <w:qFormat/>
    <w:uiPriority w:val="0"/>
    <w:pPr>
      <w:shd w:val="clear" w:color="auto" w:fill="000080"/>
    </w:pPr>
  </w:style>
  <w:style w:type="paragraph" w:styleId="17">
    <w:name w:val="annotation text"/>
    <w:basedOn w:val="1"/>
    <w:link w:val="640"/>
    <w:qFormat/>
    <w:uiPriority w:val="0"/>
    <w:pPr>
      <w:jc w:val="left"/>
    </w:pPr>
  </w:style>
  <w:style w:type="paragraph" w:styleId="18">
    <w:name w:val="Salutation"/>
    <w:basedOn w:val="1"/>
    <w:next w:val="1"/>
    <w:link w:val="658"/>
    <w:qFormat/>
    <w:uiPriority w:val="0"/>
    <w:rPr>
      <w:rFonts w:ascii="宋体" w:hAnsi="华文宋体"/>
      <w:sz w:val="28"/>
      <w:szCs w:val="24"/>
    </w:rPr>
  </w:style>
  <w:style w:type="paragraph" w:styleId="19">
    <w:name w:val="Body Text 3"/>
    <w:basedOn w:val="1"/>
    <w:qFormat/>
    <w:uiPriority w:val="0"/>
    <w:pPr>
      <w:spacing w:line="360" w:lineRule="auto"/>
    </w:pPr>
    <w:rPr>
      <w:color w:val="FF0000"/>
    </w:rPr>
  </w:style>
  <w:style w:type="paragraph" w:styleId="20">
    <w:name w:val="List Bullet 3"/>
    <w:basedOn w:val="1"/>
    <w:qFormat/>
    <w:uiPriority w:val="0"/>
    <w:pPr>
      <w:widowControl/>
      <w:tabs>
        <w:tab w:val="left" w:pos="1200"/>
      </w:tabs>
      <w:ind w:left="1200" w:leftChars="400" w:hanging="360" w:hangingChars="200"/>
      <w:jc w:val="left"/>
    </w:pPr>
    <w:rPr>
      <w:rFonts w:ascii="Calibri" w:hAnsi="Calibri"/>
      <w:kern w:val="0"/>
      <w:sz w:val="22"/>
      <w:szCs w:val="22"/>
    </w:rPr>
  </w:style>
  <w:style w:type="paragraph" w:styleId="21">
    <w:name w:val="Body Text"/>
    <w:basedOn w:val="1"/>
    <w:next w:val="1"/>
    <w:link w:val="531"/>
    <w:qFormat/>
    <w:uiPriority w:val="0"/>
    <w:pPr>
      <w:spacing w:after="120"/>
    </w:pPr>
  </w:style>
  <w:style w:type="paragraph" w:styleId="22">
    <w:name w:val="Body Text Indent"/>
    <w:basedOn w:val="1"/>
    <w:link w:val="643"/>
    <w:qFormat/>
    <w:uiPriority w:val="0"/>
    <w:pPr>
      <w:snapToGrid w:val="0"/>
      <w:spacing w:before="120" w:line="360" w:lineRule="atLeast"/>
      <w:ind w:firstLine="539"/>
    </w:pPr>
    <w:rPr>
      <w:sz w:val="24"/>
    </w:rPr>
  </w:style>
  <w:style w:type="paragraph" w:styleId="23">
    <w:name w:val="List 2"/>
    <w:basedOn w:val="1"/>
    <w:qFormat/>
    <w:uiPriority w:val="0"/>
    <w:pPr>
      <w:ind w:left="100" w:leftChars="200" w:hanging="200" w:hangingChars="200"/>
    </w:pPr>
    <w:rPr>
      <w:szCs w:val="24"/>
    </w:rPr>
  </w:style>
  <w:style w:type="paragraph" w:styleId="24">
    <w:name w:val="Block Text"/>
    <w:basedOn w:val="1"/>
    <w:qFormat/>
    <w:uiPriority w:val="0"/>
    <w:pPr>
      <w:adjustRightInd w:val="0"/>
      <w:snapToGrid w:val="0"/>
      <w:spacing w:line="490" w:lineRule="atLeast"/>
      <w:ind w:left="10" w:leftChars="5" w:right="-449" w:rightChars="-214" w:firstLine="560" w:firstLineChars="200"/>
    </w:pPr>
    <w:rPr>
      <w:color w:val="000000"/>
      <w:sz w:val="28"/>
      <w:szCs w:val="24"/>
    </w:rPr>
  </w:style>
  <w:style w:type="paragraph" w:styleId="25">
    <w:name w:val="List Bullet 2"/>
    <w:basedOn w:val="1"/>
    <w:qFormat/>
    <w:uiPriority w:val="0"/>
    <w:pPr>
      <w:widowControl/>
      <w:tabs>
        <w:tab w:val="left" w:pos="780"/>
      </w:tabs>
      <w:ind w:left="780" w:leftChars="200" w:hanging="360" w:hangingChars="200"/>
      <w:jc w:val="left"/>
    </w:pPr>
    <w:rPr>
      <w:rFonts w:ascii="Calibri" w:hAnsi="Calibri"/>
      <w:kern w:val="0"/>
      <w:sz w:val="22"/>
      <w:szCs w:val="22"/>
    </w:rPr>
  </w:style>
  <w:style w:type="paragraph" w:styleId="26">
    <w:name w:val="HTML Address"/>
    <w:basedOn w:val="1"/>
    <w:qFormat/>
    <w:uiPriority w:val="0"/>
    <w:pPr>
      <w:spacing w:before="60"/>
      <w:ind w:firstLine="482"/>
    </w:pPr>
    <w:rPr>
      <w:rFonts w:ascii="Arial" w:hAnsi="Arial" w:eastAsia="仿宋_GB2312"/>
      <w:i/>
      <w:iCs/>
      <w:kern w:val="0"/>
      <w:sz w:val="24"/>
    </w:rPr>
  </w:style>
  <w:style w:type="paragraph" w:styleId="27">
    <w:name w:val="toc 5"/>
    <w:basedOn w:val="1"/>
    <w:next w:val="1"/>
    <w:qFormat/>
    <w:uiPriority w:val="0"/>
    <w:pPr>
      <w:widowControl/>
      <w:ind w:left="840"/>
      <w:jc w:val="left"/>
    </w:pPr>
    <w:rPr>
      <w:rFonts w:ascii="Calibri" w:hAnsi="Calibri"/>
      <w:kern w:val="0"/>
      <w:sz w:val="18"/>
      <w:szCs w:val="18"/>
    </w:rPr>
  </w:style>
  <w:style w:type="paragraph" w:styleId="28">
    <w:name w:val="toc 3"/>
    <w:basedOn w:val="1"/>
    <w:next w:val="1"/>
    <w:qFormat/>
    <w:uiPriority w:val="0"/>
    <w:pPr>
      <w:adjustRightInd w:val="0"/>
      <w:snapToGrid w:val="0"/>
      <w:spacing w:line="300" w:lineRule="auto"/>
      <w:ind w:left="560"/>
      <w:jc w:val="left"/>
    </w:pPr>
    <w:rPr>
      <w:rFonts w:eastAsia="仿宋_GB2312"/>
      <w:sz w:val="28"/>
    </w:rPr>
  </w:style>
  <w:style w:type="paragraph" w:styleId="29">
    <w:name w:val="Plain Text"/>
    <w:basedOn w:val="1"/>
    <w:link w:val="671"/>
    <w:qFormat/>
    <w:uiPriority w:val="0"/>
    <w:pPr>
      <w:adjustRightInd w:val="0"/>
      <w:spacing w:before="120" w:line="400" w:lineRule="exact"/>
      <w:textAlignment w:val="baseline"/>
    </w:pPr>
    <w:rPr>
      <w:rFonts w:ascii="宋体" w:hAnsi="Courier New"/>
      <w:spacing w:val="-2"/>
      <w:kern w:val="28"/>
    </w:rPr>
  </w:style>
  <w:style w:type="paragraph" w:styleId="30">
    <w:name w:val="List Bullet 5"/>
    <w:basedOn w:val="1"/>
    <w:qFormat/>
    <w:uiPriority w:val="0"/>
    <w:pPr>
      <w:numPr>
        <w:ilvl w:val="0"/>
        <w:numId w:val="2"/>
      </w:numPr>
    </w:pPr>
  </w:style>
  <w:style w:type="paragraph" w:styleId="31">
    <w:name w:val="List Number 4"/>
    <w:basedOn w:val="1"/>
    <w:qFormat/>
    <w:uiPriority w:val="0"/>
    <w:pPr>
      <w:widowControl/>
      <w:tabs>
        <w:tab w:val="left" w:pos="1620"/>
      </w:tabs>
      <w:ind w:left="1620" w:leftChars="600" w:hanging="360" w:hangingChars="200"/>
      <w:jc w:val="left"/>
    </w:pPr>
    <w:rPr>
      <w:rFonts w:ascii="Calibri" w:hAnsi="Calibri"/>
      <w:kern w:val="0"/>
      <w:sz w:val="22"/>
      <w:szCs w:val="22"/>
    </w:rPr>
  </w:style>
  <w:style w:type="paragraph" w:styleId="32">
    <w:name w:val="toc 8"/>
    <w:basedOn w:val="1"/>
    <w:next w:val="1"/>
    <w:qFormat/>
    <w:uiPriority w:val="0"/>
    <w:pPr>
      <w:widowControl/>
      <w:ind w:left="1470"/>
      <w:jc w:val="left"/>
    </w:pPr>
    <w:rPr>
      <w:rFonts w:ascii="Calibri" w:hAnsi="Calibri"/>
      <w:kern w:val="0"/>
      <w:sz w:val="18"/>
      <w:szCs w:val="18"/>
    </w:rPr>
  </w:style>
  <w:style w:type="paragraph" w:styleId="33">
    <w:name w:val="Date"/>
    <w:basedOn w:val="1"/>
    <w:next w:val="1"/>
    <w:link w:val="591"/>
    <w:qFormat/>
    <w:uiPriority w:val="0"/>
    <w:pPr>
      <w:adjustRightInd w:val="0"/>
      <w:spacing w:before="156" w:beforeLines="50" w:line="312" w:lineRule="atLeast"/>
      <w:textAlignment w:val="baseline"/>
    </w:pPr>
    <w:rPr>
      <w:kern w:val="0"/>
    </w:rPr>
  </w:style>
  <w:style w:type="paragraph" w:styleId="34">
    <w:name w:val="Body Text Indent 2"/>
    <w:basedOn w:val="1"/>
    <w:link w:val="697"/>
    <w:qFormat/>
    <w:uiPriority w:val="0"/>
    <w:pPr>
      <w:spacing w:before="15" w:line="480" w:lineRule="exact"/>
      <w:ind w:firstLine="496" w:firstLineChars="200"/>
    </w:pPr>
    <w:rPr>
      <w:rFonts w:ascii="宋体" w:hAnsi="宋体"/>
      <w:spacing w:val="4"/>
      <w:sz w:val="24"/>
    </w:rPr>
  </w:style>
  <w:style w:type="paragraph" w:styleId="35">
    <w:name w:val="endnote text"/>
    <w:basedOn w:val="1"/>
    <w:semiHidden/>
    <w:qFormat/>
    <w:uiPriority w:val="0"/>
    <w:pPr>
      <w:snapToGrid w:val="0"/>
      <w:jc w:val="left"/>
    </w:pPr>
    <w:rPr>
      <w:rFonts w:ascii="Calibri" w:hAnsi="Calibri"/>
      <w:szCs w:val="22"/>
    </w:rPr>
  </w:style>
  <w:style w:type="paragraph" w:styleId="36">
    <w:name w:val="Balloon Text"/>
    <w:basedOn w:val="1"/>
    <w:link w:val="578"/>
    <w:qFormat/>
    <w:uiPriority w:val="0"/>
    <w:pPr>
      <w:widowControl/>
      <w:autoSpaceDE w:val="0"/>
      <w:autoSpaceDN w:val="0"/>
      <w:adjustRightInd w:val="0"/>
      <w:snapToGrid w:val="0"/>
      <w:spacing w:line="400" w:lineRule="atLeast"/>
      <w:jc w:val="left"/>
      <w:textAlignment w:val="baseline"/>
    </w:pPr>
    <w:rPr>
      <w:rFonts w:ascii="Calibri" w:hAnsi="Calibri"/>
      <w:kern w:val="0"/>
      <w:sz w:val="18"/>
      <w:szCs w:val="18"/>
    </w:rPr>
  </w:style>
  <w:style w:type="paragraph" w:styleId="37">
    <w:name w:val="footer"/>
    <w:basedOn w:val="1"/>
    <w:link w:val="721"/>
    <w:qFormat/>
    <w:uiPriority w:val="0"/>
    <w:pPr>
      <w:tabs>
        <w:tab w:val="center" w:pos="4153"/>
        <w:tab w:val="right" w:pos="8306"/>
      </w:tabs>
      <w:snapToGrid w:val="0"/>
      <w:jc w:val="left"/>
    </w:pPr>
    <w:rPr>
      <w:sz w:val="18"/>
    </w:rPr>
  </w:style>
  <w:style w:type="paragraph" w:styleId="38">
    <w:name w:val="header"/>
    <w:basedOn w:val="1"/>
    <w:next w:val="1"/>
    <w:link w:val="738"/>
    <w:qFormat/>
    <w:uiPriority w:val="0"/>
    <w:pPr>
      <w:pBdr>
        <w:bottom w:val="single" w:color="auto" w:sz="6" w:space="1"/>
      </w:pBdr>
      <w:tabs>
        <w:tab w:val="center" w:pos="4153"/>
        <w:tab w:val="right" w:pos="8306"/>
      </w:tabs>
      <w:snapToGrid w:val="0"/>
      <w:jc w:val="center"/>
    </w:pPr>
    <w:rPr>
      <w:sz w:val="18"/>
    </w:rPr>
  </w:style>
  <w:style w:type="paragraph" w:styleId="39">
    <w:name w:val="toc 1"/>
    <w:basedOn w:val="1"/>
    <w:next w:val="1"/>
    <w:qFormat/>
    <w:uiPriority w:val="0"/>
    <w:pPr>
      <w:widowControl/>
      <w:tabs>
        <w:tab w:val="left" w:pos="630"/>
        <w:tab w:val="right" w:leader="dot" w:pos="8511"/>
      </w:tabs>
      <w:spacing w:before="120" w:after="120" w:line="400" w:lineRule="exact"/>
      <w:jc w:val="center"/>
    </w:pPr>
    <w:rPr>
      <w:rFonts w:ascii="幼圆" w:hAnsi="Calibri" w:eastAsia="幼圆"/>
      <w:b/>
      <w:bCs/>
      <w:caps/>
      <w:kern w:val="0"/>
      <w:sz w:val="24"/>
      <w:szCs w:val="24"/>
      <w:lang w:val="zh-CN"/>
    </w:rPr>
  </w:style>
  <w:style w:type="paragraph" w:styleId="40">
    <w:name w:val="toc 4"/>
    <w:basedOn w:val="1"/>
    <w:next w:val="1"/>
    <w:qFormat/>
    <w:uiPriority w:val="0"/>
    <w:pPr>
      <w:widowControl/>
      <w:ind w:left="630"/>
      <w:jc w:val="left"/>
    </w:pPr>
    <w:rPr>
      <w:rFonts w:ascii="Calibri" w:hAnsi="Calibri"/>
      <w:kern w:val="0"/>
      <w:sz w:val="18"/>
      <w:szCs w:val="18"/>
    </w:rPr>
  </w:style>
  <w:style w:type="paragraph" w:styleId="41">
    <w:name w:val="Subtitle"/>
    <w:basedOn w:val="1"/>
    <w:next w:val="1"/>
    <w:link w:val="672"/>
    <w:qFormat/>
    <w:uiPriority w:val="0"/>
    <w:pPr>
      <w:widowControl/>
      <w:jc w:val="left"/>
    </w:pPr>
    <w:rPr>
      <w:sz w:val="24"/>
    </w:rPr>
  </w:style>
  <w:style w:type="paragraph" w:styleId="42">
    <w:name w:val="List"/>
    <w:basedOn w:val="1"/>
    <w:qFormat/>
    <w:uiPriority w:val="0"/>
    <w:pPr>
      <w:ind w:left="200" w:hanging="200" w:hangingChars="200"/>
    </w:pPr>
  </w:style>
  <w:style w:type="paragraph" w:styleId="43">
    <w:name w:val="toc 6"/>
    <w:basedOn w:val="1"/>
    <w:next w:val="1"/>
    <w:qFormat/>
    <w:uiPriority w:val="0"/>
    <w:pPr>
      <w:widowControl/>
      <w:ind w:left="1050"/>
      <w:jc w:val="left"/>
    </w:pPr>
    <w:rPr>
      <w:rFonts w:ascii="Calibri" w:hAnsi="Calibri"/>
      <w:kern w:val="0"/>
      <w:sz w:val="18"/>
      <w:szCs w:val="18"/>
    </w:rPr>
  </w:style>
  <w:style w:type="paragraph" w:styleId="44">
    <w:name w:val="Body Text Indent 3"/>
    <w:basedOn w:val="1"/>
    <w:link w:val="719"/>
    <w:qFormat/>
    <w:uiPriority w:val="0"/>
    <w:pPr>
      <w:spacing w:before="120" w:line="460" w:lineRule="atLeast"/>
      <w:ind w:firstLine="480" w:firstLineChars="200"/>
    </w:pPr>
    <w:rPr>
      <w:sz w:val="24"/>
    </w:rPr>
  </w:style>
  <w:style w:type="paragraph" w:styleId="45">
    <w:name w:val="table of figures"/>
    <w:basedOn w:val="1"/>
    <w:next w:val="1"/>
    <w:qFormat/>
    <w:uiPriority w:val="0"/>
    <w:pPr>
      <w:widowControl/>
      <w:spacing w:line="500" w:lineRule="atLeast"/>
      <w:jc w:val="center"/>
    </w:pPr>
    <w:rPr>
      <w:rFonts w:hint="eastAsia" w:ascii="仿宋_GB2312" w:hAnsi="Calibri" w:eastAsia="仿宋_GB2312"/>
      <w:kern w:val="0"/>
      <w:sz w:val="28"/>
      <w:szCs w:val="22"/>
    </w:rPr>
  </w:style>
  <w:style w:type="paragraph" w:styleId="46">
    <w:name w:val="toc 2"/>
    <w:basedOn w:val="1"/>
    <w:next w:val="1"/>
    <w:qFormat/>
    <w:uiPriority w:val="0"/>
    <w:pPr>
      <w:widowControl/>
      <w:tabs>
        <w:tab w:val="left" w:pos="840"/>
        <w:tab w:val="right" w:leader="dot" w:pos="8511"/>
      </w:tabs>
      <w:spacing w:line="320" w:lineRule="exact"/>
      <w:ind w:left="210"/>
      <w:jc w:val="left"/>
    </w:pPr>
    <w:rPr>
      <w:rFonts w:ascii="Calibri" w:hAnsi="Calibri"/>
      <w:smallCaps/>
      <w:kern w:val="0"/>
      <w:sz w:val="24"/>
      <w:szCs w:val="22"/>
    </w:rPr>
  </w:style>
  <w:style w:type="paragraph" w:styleId="47">
    <w:name w:val="toc 9"/>
    <w:basedOn w:val="1"/>
    <w:next w:val="1"/>
    <w:qFormat/>
    <w:uiPriority w:val="0"/>
    <w:pPr>
      <w:widowControl/>
      <w:ind w:left="1680"/>
      <w:jc w:val="left"/>
    </w:pPr>
    <w:rPr>
      <w:rFonts w:ascii="Calibri" w:hAnsi="Calibri"/>
      <w:kern w:val="0"/>
      <w:sz w:val="18"/>
      <w:szCs w:val="18"/>
    </w:rPr>
  </w:style>
  <w:style w:type="paragraph" w:styleId="48">
    <w:name w:val="Body Text 2"/>
    <w:basedOn w:val="1"/>
    <w:qFormat/>
    <w:uiPriority w:val="0"/>
    <w:pPr>
      <w:widowControl/>
      <w:spacing w:after="120" w:line="480" w:lineRule="auto"/>
      <w:jc w:val="left"/>
    </w:pPr>
    <w:rPr>
      <w:rFonts w:ascii="Calibri" w:hAnsi="Calibri"/>
      <w:kern w:val="0"/>
      <w:sz w:val="22"/>
      <w:szCs w:val="22"/>
    </w:rPr>
  </w:style>
  <w:style w:type="paragraph" w:styleId="49">
    <w:name w:val="HTML Preformatted"/>
    <w:basedOn w:val="1"/>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szCs w:val="22"/>
    </w:rPr>
  </w:style>
  <w:style w:type="paragraph" w:styleId="50">
    <w:name w:val="Normal (Web)"/>
    <w:basedOn w:val="1"/>
    <w:link w:val="642"/>
    <w:qFormat/>
    <w:uiPriority w:val="99"/>
    <w:pPr>
      <w:widowControl/>
      <w:spacing w:before="150" w:line="312" w:lineRule="auto"/>
      <w:ind w:firstLine="480"/>
      <w:jc w:val="left"/>
    </w:pPr>
    <w:rPr>
      <w:rFonts w:ascii="_x000B__x000C_" w:hAnsi="_x000B__x000C_"/>
      <w:color w:val="000000"/>
      <w:spacing w:val="15"/>
      <w:kern w:val="0"/>
      <w:sz w:val="18"/>
    </w:rPr>
  </w:style>
  <w:style w:type="paragraph" w:styleId="51">
    <w:name w:val="index 1"/>
    <w:basedOn w:val="1"/>
    <w:next w:val="1"/>
    <w:qFormat/>
    <w:uiPriority w:val="0"/>
    <w:pPr>
      <w:widowControl/>
      <w:spacing w:line="330" w:lineRule="exact"/>
      <w:jc w:val="center"/>
    </w:pPr>
    <w:rPr>
      <w:rFonts w:ascii="宋体" w:hAnsi="Calibri"/>
      <w:kern w:val="0"/>
      <w:sz w:val="18"/>
      <w:szCs w:val="21"/>
    </w:rPr>
  </w:style>
  <w:style w:type="paragraph" w:styleId="52">
    <w:name w:val="Title"/>
    <w:basedOn w:val="1"/>
    <w:link w:val="706"/>
    <w:qFormat/>
    <w:uiPriority w:val="0"/>
    <w:pPr>
      <w:adjustRightInd w:val="0"/>
      <w:snapToGrid w:val="0"/>
      <w:spacing w:before="240" w:after="240" w:line="300" w:lineRule="auto"/>
      <w:jc w:val="left"/>
      <w:outlineLvl w:val="0"/>
    </w:pPr>
    <w:rPr>
      <w:rFonts w:ascii="仿宋_GB2312" w:hAnsi="Arial" w:eastAsia="仿宋_GB2312"/>
      <w:b/>
      <w:sz w:val="32"/>
    </w:rPr>
  </w:style>
  <w:style w:type="paragraph" w:styleId="53">
    <w:name w:val="annotation subject"/>
    <w:basedOn w:val="17"/>
    <w:next w:val="17"/>
    <w:link w:val="565"/>
    <w:qFormat/>
    <w:uiPriority w:val="0"/>
    <w:pPr>
      <w:widowControl/>
    </w:pPr>
    <w:rPr>
      <w:rFonts w:ascii="Calibri" w:hAnsi="Calibri"/>
      <w:b/>
      <w:bCs/>
      <w:sz w:val="22"/>
      <w:szCs w:val="22"/>
    </w:rPr>
  </w:style>
  <w:style w:type="paragraph" w:styleId="54">
    <w:name w:val="Body Text First Indent"/>
    <w:qFormat/>
    <w:uiPriority w:val="0"/>
    <w:pPr>
      <w:widowControl w:val="0"/>
      <w:adjustRightInd w:val="0"/>
      <w:snapToGrid w:val="0"/>
      <w:spacing w:after="200" w:line="360" w:lineRule="auto"/>
      <w:ind w:firstLine="505"/>
    </w:pPr>
    <w:rPr>
      <w:rFonts w:ascii="Calibri" w:hAnsi="Calibri" w:eastAsia="宋体" w:cs="Times New Roman"/>
      <w:snapToGrid w:val="0"/>
      <w:kern w:val="28"/>
      <w:sz w:val="24"/>
      <w:szCs w:val="28"/>
      <w:lang w:val="en-US" w:eastAsia="zh-CN" w:bidi="ar-SA"/>
    </w:rPr>
  </w:style>
  <w:style w:type="paragraph" w:styleId="55">
    <w:name w:val="Body Text First Indent 2"/>
    <w:basedOn w:val="22"/>
    <w:link w:val="602"/>
    <w:qFormat/>
    <w:uiPriority w:val="0"/>
    <w:pPr>
      <w:snapToGrid/>
      <w:spacing w:before="0" w:after="120" w:line="240" w:lineRule="auto"/>
      <w:ind w:left="420" w:leftChars="200" w:firstLine="420" w:firstLineChars="200"/>
    </w:pPr>
    <w:rPr>
      <w:sz w:val="21"/>
      <w:szCs w:val="24"/>
    </w:rPr>
  </w:style>
  <w:style w:type="table" w:styleId="57">
    <w:name w:val="Table Grid"/>
    <w:basedOn w:val="5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58">
    <w:name w:val="Table Theme"/>
    <w:basedOn w:val="5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59">
    <w:name w:val="Table Elegant"/>
    <w:basedOn w:val="56"/>
    <w:qFormat/>
    <w:uiPriority w:val="0"/>
    <w:pPr>
      <w:widowControl w:val="0"/>
      <w:jc w:val="both"/>
    </w:p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60">
    <w:name w:val="Table Simple 1"/>
    <w:basedOn w:val="56"/>
    <w:qFormat/>
    <w:uiPriority w:val="0"/>
    <w:pPr>
      <w:widowControl w:val="0"/>
      <w:jc w:val="both"/>
    </w:pPr>
    <w:tblPr>
      <w:tblBorders>
        <w:top w:val="single" w:color="008000" w:sz="12" w:space="0"/>
        <w:bottom w:val="single" w:color="008000" w:sz="12" w:space="0"/>
      </w:tblBorders>
    </w:tblPr>
    <w:tcPr>
      <w:shd w:val="clear" w:color="auto" w:fill="auto"/>
    </w:tcPr>
    <w:tblStylePr w:type="firstRow">
      <w:tblPr/>
      <w:tcPr>
        <w:tcBorders>
          <w:top w:val="nil"/>
          <w:left w:val="single" w:color="008000" w:sz="6" w:space="0"/>
          <w:bottom w:val="nil"/>
          <w:right w:val="nil"/>
          <w:insideH w:val="nil"/>
          <w:insideV w:val="nil"/>
          <w:tl2br w:val="nil"/>
          <w:tr2bl w:val="nil"/>
        </w:tcBorders>
      </w:tcPr>
    </w:tblStylePr>
    <w:tblStylePr w:type="lastRow">
      <w:tblPr/>
      <w:tcPr>
        <w:tcBorders>
          <w:top w:val="single" w:color="008000" w:sz="6" w:space="0"/>
          <w:left w:val="nil"/>
          <w:bottom w:val="nil"/>
          <w:right w:val="nil"/>
          <w:insideH w:val="nil"/>
          <w:insideV w:val="nil"/>
          <w:tl2br w:val="nil"/>
          <w:tr2bl w:val="nil"/>
        </w:tcBorders>
      </w:tcPr>
    </w:tblStylePr>
  </w:style>
  <w:style w:type="table" w:styleId="61">
    <w:name w:val="Table Columns 1"/>
    <w:basedOn w:val="56"/>
    <w:qFormat/>
    <w:uiPriority w:val="0"/>
    <w:pPr>
      <w:widowControl w:val="0"/>
      <w:jc w:val="both"/>
    </w:pPr>
    <w:rPr>
      <w:b/>
      <w:bCs/>
    </w:rPr>
    <w:tblPr>
      <w:tblBorders>
        <w:top w:val="single" w:color="000000" w:sz="12" w:space="0"/>
        <w:left w:val="single" w:color="000000" w:sz="12" w:space="0"/>
        <w:bottom w:val="single" w:color="000000" w:sz="12" w:space="0"/>
        <w:right w:val="single" w:color="000000" w:sz="12" w:space="0"/>
      </w:tblBorders>
    </w:tblPr>
    <w:tblStylePr w:type="firstRow">
      <w:rPr>
        <w:b w:val="0"/>
        <w:bCs w:val="0"/>
      </w:rPr>
      <w:tblPr/>
      <w:tcPr>
        <w:tcBorders>
          <w:top w:val="nil"/>
          <w:left w:val="double" w:color="000000" w:sz="6" w:space="0"/>
          <w:bottom w:val="nil"/>
          <w:right w:val="nil"/>
          <w:insideH w:val="nil"/>
          <w:insideV w:val="nil"/>
          <w:tl2br w:val="nil"/>
          <w:tr2bl w:val="nil"/>
        </w:tcBorders>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62">
    <w:name w:val="Table Grid 5"/>
    <w:basedOn w:val="56"/>
    <w:qFormat/>
    <w:uiPriority w:val="0"/>
    <w:pPr>
      <w:widowControl w:val="0"/>
      <w:jc w:val="both"/>
    </w:p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top w:val="nil"/>
          <w:left w:val="single" w:color="000000" w:sz="12" w:space="0"/>
          <w:bottom w:val="nil"/>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character" w:styleId="64">
    <w:name w:val="Strong"/>
    <w:qFormat/>
    <w:uiPriority w:val="0"/>
    <w:rPr>
      <w:b/>
      <w:bCs/>
    </w:rPr>
  </w:style>
  <w:style w:type="character" w:styleId="65">
    <w:name w:val="endnote reference"/>
    <w:semiHidden/>
    <w:qFormat/>
    <w:uiPriority w:val="0"/>
    <w:rPr>
      <w:vertAlign w:val="superscript"/>
    </w:rPr>
  </w:style>
  <w:style w:type="character" w:styleId="66">
    <w:name w:val="page number"/>
    <w:basedOn w:val="63"/>
    <w:qFormat/>
    <w:uiPriority w:val="0"/>
  </w:style>
  <w:style w:type="character" w:styleId="67">
    <w:name w:val="FollowedHyperlink"/>
    <w:qFormat/>
    <w:uiPriority w:val="0"/>
    <w:rPr>
      <w:color w:val="800080"/>
      <w:u w:val="single"/>
    </w:rPr>
  </w:style>
  <w:style w:type="character" w:styleId="68">
    <w:name w:val="Emphasis"/>
    <w:qFormat/>
    <w:uiPriority w:val="20"/>
    <w:rPr>
      <w:i/>
      <w:iCs/>
    </w:rPr>
  </w:style>
  <w:style w:type="character" w:styleId="69">
    <w:name w:val="line number"/>
    <w:basedOn w:val="63"/>
    <w:qFormat/>
    <w:uiPriority w:val="0"/>
  </w:style>
  <w:style w:type="character" w:styleId="70">
    <w:name w:val="HTML Definition"/>
    <w:basedOn w:val="63"/>
    <w:qFormat/>
    <w:uiPriority w:val="0"/>
  </w:style>
  <w:style w:type="character" w:styleId="71">
    <w:name w:val="HTML Acronym"/>
    <w:qFormat/>
    <w:uiPriority w:val="0"/>
  </w:style>
  <w:style w:type="character" w:styleId="72">
    <w:name w:val="HTML Variable"/>
    <w:basedOn w:val="63"/>
    <w:qFormat/>
    <w:uiPriority w:val="0"/>
  </w:style>
  <w:style w:type="character" w:styleId="73">
    <w:name w:val="Hyperlink"/>
    <w:qFormat/>
    <w:uiPriority w:val="99"/>
    <w:rPr>
      <w:color w:val="0000FF"/>
      <w:u w:val="single"/>
    </w:rPr>
  </w:style>
  <w:style w:type="character" w:styleId="74">
    <w:name w:val="HTML Code"/>
    <w:basedOn w:val="63"/>
    <w:qFormat/>
    <w:uiPriority w:val="0"/>
    <w:rPr>
      <w:rFonts w:hint="default" w:ascii="serif" w:hAnsi="serif" w:eastAsia="serif" w:cs="serif"/>
      <w:sz w:val="21"/>
      <w:szCs w:val="21"/>
    </w:rPr>
  </w:style>
  <w:style w:type="character" w:styleId="75">
    <w:name w:val="annotation reference"/>
    <w:qFormat/>
    <w:uiPriority w:val="0"/>
    <w:rPr>
      <w:sz w:val="21"/>
    </w:rPr>
  </w:style>
  <w:style w:type="character" w:styleId="76">
    <w:name w:val="HTML Cite"/>
    <w:basedOn w:val="63"/>
    <w:qFormat/>
    <w:uiPriority w:val="0"/>
  </w:style>
  <w:style w:type="character" w:styleId="77">
    <w:name w:val="HTML Keyboard"/>
    <w:basedOn w:val="63"/>
    <w:qFormat/>
    <w:uiPriority w:val="0"/>
    <w:rPr>
      <w:rFonts w:hint="default" w:ascii="serif" w:hAnsi="serif" w:eastAsia="serif" w:cs="serif"/>
      <w:sz w:val="21"/>
      <w:szCs w:val="21"/>
    </w:rPr>
  </w:style>
  <w:style w:type="character" w:styleId="78">
    <w:name w:val="HTML Sample"/>
    <w:basedOn w:val="63"/>
    <w:qFormat/>
    <w:uiPriority w:val="0"/>
    <w:rPr>
      <w:rFonts w:ascii="serif" w:hAnsi="serif" w:eastAsia="serif" w:cs="serif"/>
      <w:sz w:val="21"/>
      <w:szCs w:val="21"/>
    </w:rPr>
  </w:style>
  <w:style w:type="paragraph" w:customStyle="1" w:styleId="79">
    <w:name w:val="Default"/>
    <w:qFormat/>
    <w:uiPriority w:val="0"/>
    <w:pPr>
      <w:widowControl w:val="0"/>
      <w:autoSpaceDE w:val="0"/>
      <w:autoSpaceDN w:val="0"/>
      <w:adjustRightInd w:val="0"/>
      <w:spacing w:after="200" w:line="276" w:lineRule="auto"/>
    </w:pPr>
    <w:rPr>
      <w:rFonts w:ascii="宋体" w:hAnsi="Calibri" w:eastAsia="宋体" w:cs="宋体"/>
      <w:color w:val="000000"/>
      <w:sz w:val="24"/>
      <w:szCs w:val="24"/>
      <w:lang w:val="en-US" w:eastAsia="zh-CN" w:bidi="ar-SA"/>
    </w:rPr>
  </w:style>
  <w:style w:type="paragraph" w:customStyle="1" w:styleId="80">
    <w:name w:val="列出段落1"/>
    <w:basedOn w:val="1"/>
    <w:qFormat/>
    <w:uiPriority w:val="34"/>
    <w:pPr>
      <w:ind w:firstLine="420" w:firstLineChars="200"/>
    </w:pPr>
    <w:rPr>
      <w:szCs w:val="24"/>
    </w:rPr>
  </w:style>
  <w:style w:type="paragraph" w:customStyle="1" w:styleId="81">
    <w:name w:val="样式1－王鹏"/>
    <w:basedOn w:val="1"/>
    <w:qFormat/>
    <w:uiPriority w:val="0"/>
    <w:pPr>
      <w:adjustRightInd w:val="0"/>
      <w:snapToGrid w:val="0"/>
      <w:spacing w:before="120" w:beforeLines="50" w:after="120" w:afterLines="50" w:line="336" w:lineRule="auto"/>
      <w:ind w:firstLine="504" w:firstLineChars="200"/>
    </w:pPr>
    <w:rPr>
      <w:bCs/>
      <w:snapToGrid w:val="0"/>
      <w:spacing w:val="6"/>
      <w:kern w:val="0"/>
      <w:sz w:val="24"/>
      <w:szCs w:val="24"/>
    </w:rPr>
  </w:style>
  <w:style w:type="paragraph" w:customStyle="1" w:styleId="82">
    <w:name w:val="样式 样式 首行缩进:  2 字符2 + 首行缩进:  2 字符"/>
    <w:basedOn w:val="83"/>
    <w:qFormat/>
    <w:uiPriority w:val="0"/>
    <w:pPr>
      <w:spacing w:line="360" w:lineRule="auto"/>
    </w:pPr>
  </w:style>
  <w:style w:type="paragraph" w:customStyle="1" w:styleId="83">
    <w:name w:val="样式 首行缩进:  2 字符2"/>
    <w:basedOn w:val="1"/>
    <w:qFormat/>
    <w:uiPriority w:val="0"/>
    <w:pPr>
      <w:widowControl/>
      <w:ind w:firstLine="200" w:firstLineChars="200"/>
      <w:jc w:val="left"/>
    </w:pPr>
    <w:rPr>
      <w:rFonts w:ascii="Calibri" w:hAnsi="Calibri" w:cs="宋体"/>
      <w:kern w:val="0"/>
      <w:sz w:val="24"/>
    </w:rPr>
  </w:style>
  <w:style w:type="paragraph" w:customStyle="1" w:styleId="84">
    <w:name w:val="Char Char9 Char Char Char Char Char Char"/>
    <w:basedOn w:val="1"/>
    <w:qFormat/>
    <w:uiPriority w:val="0"/>
    <w:pPr>
      <w:spacing w:before="100" w:beforeLines="100" w:after="50" w:afterLines="50" w:line="600" w:lineRule="exact"/>
      <w:ind w:firstLine="200" w:firstLineChars="200"/>
    </w:pPr>
    <w:rPr>
      <w:rFonts w:eastAsia="黑体"/>
      <w:sz w:val="28"/>
      <w:szCs w:val="24"/>
    </w:rPr>
  </w:style>
  <w:style w:type="paragraph" w:customStyle="1" w:styleId="85">
    <w:name w:val="Char Char Char1 Char Char Char Char Char Char Char Char Char Char Char Char Char"/>
    <w:basedOn w:val="1"/>
    <w:qFormat/>
    <w:uiPriority w:val="0"/>
    <w:pPr>
      <w:widowControl/>
      <w:jc w:val="left"/>
    </w:pPr>
    <w:rPr>
      <w:rFonts w:ascii="Calibri" w:hAnsi="Calibri"/>
      <w:kern w:val="0"/>
      <w:sz w:val="22"/>
      <w:szCs w:val="21"/>
    </w:rPr>
  </w:style>
  <w:style w:type="paragraph" w:customStyle="1" w:styleId="86">
    <w:name w:val="G 标题 2"/>
    <w:basedOn w:val="4"/>
    <w:qFormat/>
    <w:uiPriority w:val="0"/>
    <w:pPr>
      <w:numPr>
        <w:ilvl w:val="0"/>
        <w:numId w:val="0"/>
      </w:numPr>
      <w:tabs>
        <w:tab w:val="clear" w:pos="1276"/>
      </w:tabs>
      <w:adjustRightInd/>
      <w:spacing w:before="0" w:after="0" w:line="480" w:lineRule="exact"/>
      <w:ind w:left="-25" w:leftChars="-25" w:firstLine="200" w:firstLineChars="200"/>
      <w:jc w:val="both"/>
      <w:textAlignment w:val="auto"/>
    </w:pPr>
    <w:rPr>
      <w:rFonts w:ascii="Times New Roman" w:hAnsi="Times New Roman" w:eastAsia="宋体"/>
      <w:bCs/>
      <w:color w:val="000000"/>
      <w:sz w:val="30"/>
      <w:szCs w:val="32"/>
    </w:rPr>
  </w:style>
  <w:style w:type="paragraph" w:customStyle="1" w:styleId="87">
    <w:name w:val="正文-1"/>
    <w:basedOn w:val="1"/>
    <w:qFormat/>
    <w:uiPriority w:val="0"/>
    <w:pPr>
      <w:widowControl/>
      <w:adjustRightInd w:val="0"/>
      <w:spacing w:line="440" w:lineRule="exact"/>
      <w:ind w:firstLine="200" w:firstLineChars="200"/>
      <w:jc w:val="left"/>
    </w:pPr>
    <w:rPr>
      <w:rFonts w:ascii="Calibri" w:hAnsi="Calibri"/>
      <w:kern w:val="0"/>
      <w:sz w:val="24"/>
    </w:rPr>
  </w:style>
  <w:style w:type="paragraph" w:customStyle="1" w:styleId="88">
    <w:name w:val="myformat_content Char"/>
    <w:basedOn w:val="1"/>
    <w:qFormat/>
    <w:uiPriority w:val="0"/>
    <w:pPr>
      <w:spacing w:before="156" w:beforeLines="50" w:after="156" w:afterLines="50" w:line="360" w:lineRule="exact"/>
      <w:ind w:firstLine="480" w:firstLineChars="200"/>
    </w:pPr>
    <w:rPr>
      <w:sz w:val="24"/>
    </w:rPr>
  </w:style>
  <w:style w:type="paragraph" w:customStyle="1" w:styleId="89">
    <w:name w:val="正文(首行缩进)"/>
    <w:basedOn w:val="1"/>
    <w:qFormat/>
    <w:uiPriority w:val="0"/>
    <w:pPr>
      <w:widowControl/>
      <w:adjustRightInd w:val="0"/>
      <w:spacing w:line="360" w:lineRule="auto"/>
      <w:ind w:firstLine="540" w:firstLineChars="225"/>
      <w:jc w:val="left"/>
      <w:textAlignment w:val="baseline"/>
    </w:pPr>
    <w:rPr>
      <w:rFonts w:ascii="Calibri" w:hAnsi="Calibri"/>
      <w:color w:val="000000"/>
      <w:kern w:val="0"/>
      <w:sz w:val="24"/>
      <w:szCs w:val="22"/>
    </w:rPr>
  </w:style>
  <w:style w:type="paragraph" w:customStyle="1" w:styleId="90">
    <w:name w:val="表格填充1"/>
    <w:basedOn w:val="1"/>
    <w:qFormat/>
    <w:uiPriority w:val="0"/>
    <w:pPr>
      <w:widowControl/>
      <w:adjustRightInd w:val="0"/>
      <w:spacing w:line="400" w:lineRule="exact"/>
      <w:jc w:val="center"/>
    </w:pPr>
    <w:rPr>
      <w:rFonts w:ascii="Calibri" w:hAnsi="Calibri"/>
      <w:kern w:val="0"/>
      <w:sz w:val="24"/>
      <w:szCs w:val="24"/>
    </w:rPr>
  </w:style>
  <w:style w:type="paragraph" w:customStyle="1" w:styleId="91">
    <w:name w:val="样式 标题 2二处标题 2节标题 1.11.1标题2b2ParagrafoH22nd levelh2Heade...1"/>
    <w:basedOn w:val="4"/>
    <w:link w:val="709"/>
    <w:qFormat/>
    <w:uiPriority w:val="0"/>
    <w:pPr>
      <w:keepNext w:val="0"/>
      <w:keepLines w:val="0"/>
      <w:numPr>
        <w:ilvl w:val="0"/>
        <w:numId w:val="0"/>
      </w:numPr>
      <w:tabs>
        <w:tab w:val="clear" w:pos="1276"/>
      </w:tabs>
      <w:snapToGrid w:val="0"/>
      <w:spacing w:before="0" w:after="0" w:line="480" w:lineRule="exact"/>
      <w:ind w:firstLine="602" w:firstLineChars="200"/>
      <w:textAlignment w:val="auto"/>
    </w:pPr>
    <w:rPr>
      <w:rFonts w:ascii="Times New Roman" w:hAnsi="Times New Roman" w:eastAsia="宋体"/>
      <w:bCs/>
      <w:color w:val="000000"/>
      <w:sz w:val="30"/>
      <w:szCs w:val="30"/>
    </w:rPr>
  </w:style>
  <w:style w:type="paragraph" w:customStyle="1" w:styleId="92">
    <w:name w:val="Char4 Char Char Char"/>
    <w:basedOn w:val="1"/>
    <w:qFormat/>
    <w:uiPriority w:val="0"/>
    <w:pPr>
      <w:adjustRightInd w:val="0"/>
      <w:snapToGrid w:val="0"/>
      <w:spacing w:line="360" w:lineRule="auto"/>
      <w:ind w:firstLine="200" w:firstLineChars="200"/>
    </w:pPr>
  </w:style>
  <w:style w:type="paragraph" w:customStyle="1" w:styleId="93">
    <w:name w:val="Char Char Char Char Char Char Char Char Char"/>
    <w:basedOn w:val="1"/>
    <w:qFormat/>
    <w:uiPriority w:val="0"/>
  </w:style>
  <w:style w:type="paragraph" w:customStyle="1" w:styleId="94">
    <w:name w:val="表头1"/>
    <w:basedOn w:val="1"/>
    <w:link w:val="616"/>
    <w:qFormat/>
    <w:uiPriority w:val="0"/>
    <w:pPr>
      <w:tabs>
        <w:tab w:val="left" w:pos="5280"/>
      </w:tabs>
      <w:adjustRightInd w:val="0"/>
      <w:spacing w:before="120" w:line="300" w:lineRule="auto"/>
      <w:ind w:firstLine="1000" w:firstLineChars="500"/>
      <w:textAlignment w:val="baseline"/>
    </w:pPr>
    <w:rPr>
      <w:rFonts w:ascii="黑体" w:eastAsia="黑体"/>
      <w:spacing w:val="-20"/>
      <w:kern w:val="16"/>
      <w:sz w:val="24"/>
    </w:rPr>
  </w:style>
  <w:style w:type="paragraph" w:customStyle="1" w:styleId="95">
    <w:name w:val="文本"/>
    <w:basedOn w:val="5"/>
    <w:link w:val="736"/>
    <w:qFormat/>
    <w:uiPriority w:val="0"/>
    <w:pPr>
      <w:widowControl/>
      <w:spacing w:line="480" w:lineRule="exact"/>
      <w:ind w:firstLine="480"/>
      <w:jc w:val="left"/>
    </w:pPr>
    <w:rPr>
      <w:rFonts w:ascii="宋体" w:hAnsi="宋体" w:cs="宋体"/>
      <w:kern w:val="0"/>
      <w:sz w:val="24"/>
    </w:rPr>
  </w:style>
  <w:style w:type="paragraph" w:customStyle="1" w:styleId="96">
    <w:name w:val="样式 样式 行距: 1.5 倍行距 + 首行缩进:  2 字符"/>
    <w:basedOn w:val="97"/>
    <w:qFormat/>
    <w:uiPriority w:val="0"/>
    <w:pPr>
      <w:textAlignment w:val="center"/>
    </w:pPr>
  </w:style>
  <w:style w:type="paragraph" w:customStyle="1" w:styleId="97">
    <w:name w:val="样式 行距: 1.5 倍行距"/>
    <w:basedOn w:val="1"/>
    <w:qFormat/>
    <w:uiPriority w:val="0"/>
    <w:pPr>
      <w:widowControl/>
      <w:spacing w:line="360" w:lineRule="auto"/>
      <w:ind w:firstLine="200" w:firstLineChars="200"/>
      <w:jc w:val="left"/>
    </w:pPr>
    <w:rPr>
      <w:rFonts w:ascii="Calibri" w:hAnsi="Calibri" w:cs="宋体"/>
      <w:kern w:val="0"/>
      <w:sz w:val="24"/>
    </w:rPr>
  </w:style>
  <w:style w:type="paragraph" w:customStyle="1" w:styleId="98">
    <w:name w:val="正文zy"/>
    <w:basedOn w:val="1"/>
    <w:link w:val="699"/>
    <w:qFormat/>
    <w:uiPriority w:val="0"/>
    <w:pPr>
      <w:snapToGrid w:val="0"/>
      <w:spacing w:line="360" w:lineRule="auto"/>
      <w:ind w:firstLine="480" w:firstLineChars="200"/>
    </w:pPr>
    <w:rPr>
      <w:color w:val="000000"/>
      <w:sz w:val="24"/>
    </w:rPr>
  </w:style>
  <w:style w:type="paragraph" w:customStyle="1" w:styleId="99">
    <w:name w:val="正文王"/>
    <w:basedOn w:val="29"/>
    <w:qFormat/>
    <w:uiPriority w:val="0"/>
    <w:pPr>
      <w:widowControl/>
      <w:adjustRightInd/>
      <w:spacing w:before="0" w:line="440" w:lineRule="exact"/>
      <w:jc w:val="left"/>
      <w:textAlignment w:val="auto"/>
    </w:pPr>
    <w:rPr>
      <w:rFonts w:ascii="Arial" w:hAnsi="Arial"/>
      <w:snapToGrid w:val="0"/>
      <w:spacing w:val="0"/>
      <w:kern w:val="0"/>
      <w:sz w:val="24"/>
    </w:rPr>
  </w:style>
  <w:style w:type="paragraph" w:customStyle="1" w:styleId="100">
    <w:name w:val="表格标题标题"/>
    <w:basedOn w:val="101"/>
    <w:link w:val="655"/>
    <w:qFormat/>
    <w:uiPriority w:val="0"/>
    <w:pPr>
      <w:ind w:firstLine="0" w:firstLineChars="0"/>
      <w:jc w:val="center"/>
    </w:pPr>
    <w:rPr>
      <w:b/>
    </w:rPr>
  </w:style>
  <w:style w:type="paragraph" w:customStyle="1" w:styleId="101">
    <w:name w:val="正本文字"/>
    <w:basedOn w:val="1"/>
    <w:link w:val="590"/>
    <w:qFormat/>
    <w:uiPriority w:val="0"/>
    <w:pPr>
      <w:adjustRightInd w:val="0"/>
      <w:snapToGrid w:val="0"/>
      <w:spacing w:line="360" w:lineRule="auto"/>
      <w:ind w:firstLine="480" w:firstLineChars="200"/>
      <w:jc w:val="left"/>
    </w:pPr>
    <w:rPr>
      <w:kern w:val="18"/>
      <w:sz w:val="24"/>
    </w:rPr>
  </w:style>
  <w:style w:type="paragraph" w:customStyle="1" w:styleId="102">
    <w:name w:val="图、表内容"/>
    <w:basedOn w:val="1"/>
    <w:qFormat/>
    <w:uiPriority w:val="0"/>
    <w:pPr>
      <w:jc w:val="center"/>
    </w:pPr>
    <w:rPr>
      <w:szCs w:val="24"/>
    </w:rPr>
  </w:style>
  <w:style w:type="paragraph" w:customStyle="1" w:styleId="103">
    <w:name w:val="xl26"/>
    <w:basedOn w:val="1"/>
    <w:qFormat/>
    <w:uiPriority w:val="0"/>
    <w:pPr>
      <w:widowControl/>
      <w:pBdr>
        <w:top w:val="single" w:color="auto" w:sz="8" w:space="0"/>
        <w:left w:val="single" w:color="auto" w:sz="4" w:space="0"/>
        <w:right w:val="single" w:color="auto" w:sz="4" w:space="0"/>
      </w:pBdr>
      <w:spacing w:before="100" w:beforeAutospacing="1" w:after="100" w:afterAutospacing="1"/>
      <w:jc w:val="center"/>
      <w:textAlignment w:val="center"/>
    </w:pPr>
    <w:rPr>
      <w:rFonts w:ascii="宋体" w:hAnsi="宋体"/>
      <w:kern w:val="0"/>
      <w:sz w:val="20"/>
    </w:rPr>
  </w:style>
  <w:style w:type="paragraph" w:customStyle="1" w:styleId="104">
    <w:name w:val="Char Char1"/>
    <w:basedOn w:val="1"/>
    <w:next w:val="1"/>
    <w:qFormat/>
    <w:uiPriority w:val="0"/>
    <w:pPr>
      <w:widowControl/>
      <w:spacing w:line="360" w:lineRule="auto"/>
      <w:jc w:val="left"/>
    </w:pPr>
    <w:rPr>
      <w:rFonts w:ascii="仿宋_GB2312" w:eastAsia="仿宋_GB2312"/>
      <w:sz w:val="24"/>
    </w:rPr>
  </w:style>
  <w:style w:type="paragraph" w:customStyle="1" w:styleId="105">
    <w:name w:val="样式 标题 1 Char标题 1-王鹏 Char + 宋体 四号 非加粗"/>
    <w:basedOn w:val="3"/>
    <w:qFormat/>
    <w:uiPriority w:val="0"/>
    <w:pPr>
      <w:keepLines w:val="0"/>
      <w:snapToGrid/>
      <w:spacing w:before="50" w:beforeLines="50" w:after="50" w:afterLines="50" w:line="240" w:lineRule="auto"/>
      <w:jc w:val="center"/>
    </w:pPr>
    <w:rPr>
      <w:rFonts w:eastAsia="宋体"/>
      <w:kern w:val="2"/>
      <w:sz w:val="32"/>
      <w:szCs w:val="32"/>
    </w:rPr>
  </w:style>
  <w:style w:type="paragraph" w:customStyle="1" w:styleId="106">
    <w:name w:val="项目点符号"/>
    <w:basedOn w:val="1"/>
    <w:qFormat/>
    <w:uiPriority w:val="0"/>
    <w:pPr>
      <w:tabs>
        <w:tab w:val="left" w:pos="840"/>
      </w:tabs>
      <w:spacing w:before="163" w:line="300" w:lineRule="auto"/>
      <w:ind w:firstLine="504"/>
    </w:pPr>
    <w:rPr>
      <w:spacing w:val="6"/>
      <w:sz w:val="24"/>
      <w:szCs w:val="24"/>
    </w:rPr>
  </w:style>
  <w:style w:type="paragraph" w:customStyle="1" w:styleId="107">
    <w:name w:val="表格-lcc"/>
    <w:basedOn w:val="1"/>
    <w:next w:val="1"/>
    <w:qFormat/>
    <w:uiPriority w:val="99"/>
    <w:pPr>
      <w:snapToGrid w:val="0"/>
      <w:spacing w:line="276" w:lineRule="auto"/>
      <w:jc w:val="center"/>
    </w:pPr>
    <w:rPr>
      <w:rFonts w:ascii="Calibri" w:hAnsi="Calibri"/>
      <w:szCs w:val="22"/>
    </w:rPr>
  </w:style>
  <w:style w:type="paragraph" w:customStyle="1" w:styleId="108">
    <w:name w:val="Pa9"/>
    <w:basedOn w:val="1"/>
    <w:next w:val="1"/>
    <w:qFormat/>
    <w:uiPriority w:val="0"/>
    <w:pPr>
      <w:widowControl/>
      <w:autoSpaceDE w:val="0"/>
      <w:autoSpaceDN w:val="0"/>
      <w:adjustRightInd w:val="0"/>
      <w:spacing w:line="241" w:lineRule="atLeast"/>
      <w:jc w:val="left"/>
    </w:pPr>
    <w:rPr>
      <w:rFonts w:ascii="宋体" w:hAnsi="Calibri"/>
      <w:kern w:val="0"/>
      <w:sz w:val="24"/>
      <w:szCs w:val="22"/>
    </w:rPr>
  </w:style>
  <w:style w:type="paragraph" w:customStyle="1" w:styleId="109">
    <w:name w:val="正文加粗-lcc"/>
    <w:basedOn w:val="110"/>
    <w:qFormat/>
    <w:uiPriority w:val="0"/>
    <w:pPr>
      <w:ind w:firstLine="200"/>
    </w:pPr>
    <w:rPr>
      <w:color w:val="000000"/>
    </w:rPr>
  </w:style>
  <w:style w:type="paragraph" w:customStyle="1" w:styleId="110">
    <w:name w:val="Z加粗"/>
    <w:basedOn w:val="1"/>
    <w:qFormat/>
    <w:uiPriority w:val="0"/>
    <w:pPr>
      <w:ind w:firstLine="482"/>
    </w:pPr>
    <w:rPr>
      <w:b/>
      <w:bCs/>
      <w:szCs w:val="24"/>
    </w:rPr>
  </w:style>
  <w:style w:type="paragraph" w:customStyle="1" w:styleId="111">
    <w:name w:val="样式4.1.1.1"/>
    <w:basedOn w:val="1"/>
    <w:qFormat/>
    <w:uiPriority w:val="0"/>
    <w:pPr>
      <w:tabs>
        <w:tab w:val="left" w:pos="0"/>
      </w:tabs>
      <w:spacing w:before="50" w:beforeLines="50" w:line="360" w:lineRule="auto"/>
      <w:outlineLvl w:val="3"/>
    </w:pPr>
    <w:rPr>
      <w:b/>
      <w:bCs/>
      <w:sz w:val="24"/>
      <w:szCs w:val="24"/>
    </w:rPr>
  </w:style>
  <w:style w:type="paragraph" w:customStyle="1" w:styleId="112">
    <w:name w:val="一级标题"/>
    <w:basedOn w:val="1"/>
    <w:qFormat/>
    <w:uiPriority w:val="0"/>
    <w:pPr>
      <w:keepNext/>
      <w:widowControl/>
      <w:tabs>
        <w:tab w:val="left" w:pos="454"/>
      </w:tabs>
      <w:spacing w:before="194" w:after="194"/>
      <w:ind w:left="454" w:hanging="397"/>
      <w:jc w:val="left"/>
      <w:outlineLvl w:val="0"/>
    </w:pPr>
    <w:rPr>
      <w:rFonts w:ascii="黑体" w:hAnsi="Calibri" w:eastAsia="黑体"/>
      <w:b/>
      <w:kern w:val="0"/>
      <w:sz w:val="44"/>
      <w:szCs w:val="44"/>
    </w:rPr>
  </w:style>
  <w:style w:type="paragraph" w:customStyle="1" w:styleId="113">
    <w:name w:val="Body Text 21"/>
    <w:basedOn w:val="1"/>
    <w:qFormat/>
    <w:uiPriority w:val="0"/>
    <w:pPr>
      <w:widowControl/>
      <w:jc w:val="center"/>
      <w:textAlignment w:val="baseline"/>
    </w:pPr>
    <w:rPr>
      <w:rFonts w:ascii="Calibri" w:hAnsi="Calibri"/>
      <w:kern w:val="0"/>
      <w:sz w:val="24"/>
    </w:rPr>
  </w:style>
  <w:style w:type="paragraph" w:customStyle="1" w:styleId="114">
    <w:name w:val="样式 正文居中五号 + 行距: 单倍行距"/>
    <w:basedOn w:val="115"/>
    <w:qFormat/>
    <w:uiPriority w:val="0"/>
    <w:pPr>
      <w:spacing w:line="240" w:lineRule="auto"/>
    </w:pPr>
  </w:style>
  <w:style w:type="paragraph" w:customStyle="1" w:styleId="115">
    <w:name w:val="正文居中五号"/>
    <w:basedOn w:val="1"/>
    <w:qFormat/>
    <w:uiPriority w:val="0"/>
    <w:pPr>
      <w:widowControl/>
      <w:spacing w:line="400" w:lineRule="exact"/>
      <w:jc w:val="center"/>
    </w:pPr>
    <w:rPr>
      <w:rFonts w:ascii="Calibri" w:hAnsi="Calibri" w:cs="宋体"/>
      <w:kern w:val="0"/>
      <w:sz w:val="22"/>
    </w:rPr>
  </w:style>
  <w:style w:type="paragraph" w:customStyle="1" w:styleId="116">
    <w:name w:val="Char1 Char Char Char"/>
    <w:basedOn w:val="1"/>
    <w:qFormat/>
    <w:uiPriority w:val="0"/>
    <w:pPr>
      <w:spacing w:line="360" w:lineRule="auto"/>
      <w:ind w:firstLine="200" w:firstLineChars="200"/>
    </w:pPr>
    <w:rPr>
      <w:rFonts w:ascii="宋体" w:hAnsi="宋体" w:cs="宋体"/>
      <w:sz w:val="24"/>
      <w:szCs w:val="24"/>
    </w:rPr>
  </w:style>
  <w:style w:type="paragraph" w:customStyle="1" w:styleId="117">
    <w:name w:val="表格文本 五号 居中 单倍行距 Char Char"/>
    <w:basedOn w:val="1"/>
    <w:qFormat/>
    <w:uiPriority w:val="0"/>
    <w:pPr>
      <w:keepNext/>
      <w:widowControl/>
      <w:adjustRightInd w:val="0"/>
      <w:snapToGrid w:val="0"/>
      <w:jc w:val="left"/>
      <w:textAlignment w:val="baseline"/>
    </w:pPr>
    <w:rPr>
      <w:rFonts w:ascii="Calibri" w:hAnsi="Calibri" w:cs="宋体"/>
      <w:kern w:val="0"/>
      <w:sz w:val="22"/>
      <w:szCs w:val="21"/>
    </w:rPr>
  </w:style>
  <w:style w:type="paragraph" w:customStyle="1" w:styleId="118">
    <w:name w:val="wtext"/>
    <w:basedOn w:val="1"/>
    <w:qFormat/>
    <w:uiPriority w:val="0"/>
    <w:pPr>
      <w:widowControl/>
      <w:spacing w:before="100" w:beforeAutospacing="1" w:after="100" w:afterAutospacing="1"/>
      <w:jc w:val="left"/>
    </w:pPr>
    <w:rPr>
      <w:rFonts w:ascii="宋体" w:hAnsi="宋体"/>
      <w:color w:val="000000"/>
      <w:kern w:val="0"/>
      <w:sz w:val="20"/>
    </w:rPr>
  </w:style>
  <w:style w:type="paragraph" w:customStyle="1" w:styleId="119">
    <w:name w:val="表、图名"/>
    <w:basedOn w:val="1"/>
    <w:qFormat/>
    <w:uiPriority w:val="0"/>
    <w:pPr>
      <w:widowControl/>
      <w:adjustRightInd w:val="0"/>
      <w:snapToGrid w:val="0"/>
      <w:ind w:left="-6" w:firstLine="4" w:firstLineChars="2"/>
      <w:jc w:val="center"/>
    </w:pPr>
    <w:rPr>
      <w:rFonts w:ascii="黑体" w:hAnsi="宋体" w:eastAsia="黑体"/>
      <w:color w:val="000000"/>
      <w:kern w:val="0"/>
      <w:sz w:val="22"/>
      <w:szCs w:val="18"/>
    </w:rPr>
  </w:style>
  <w:style w:type="paragraph" w:customStyle="1" w:styleId="120">
    <w:name w:val="Char Char Char Char1"/>
    <w:basedOn w:val="1"/>
    <w:qFormat/>
    <w:uiPriority w:val="0"/>
    <w:pPr>
      <w:widowControl/>
      <w:jc w:val="left"/>
    </w:pPr>
    <w:rPr>
      <w:rFonts w:ascii="Calibri" w:hAnsi="Calibri"/>
      <w:kern w:val="0"/>
      <w:sz w:val="22"/>
      <w:szCs w:val="21"/>
    </w:rPr>
  </w:style>
  <w:style w:type="paragraph" w:customStyle="1" w:styleId="121">
    <w:name w:val="文本123-II"/>
    <w:basedOn w:val="2"/>
    <w:qFormat/>
    <w:uiPriority w:val="0"/>
    <w:pPr>
      <w:keepNext w:val="0"/>
      <w:keepLines w:val="0"/>
      <w:widowControl/>
      <w:numPr>
        <w:ilvl w:val="0"/>
        <w:numId w:val="0"/>
      </w:numPr>
      <w:tabs>
        <w:tab w:val="left" w:pos="780"/>
        <w:tab w:val="clear" w:pos="2976"/>
      </w:tabs>
      <w:spacing w:before="156" w:beforeLines="50" w:after="0" w:line="240" w:lineRule="auto"/>
      <w:ind w:left="780" w:hanging="360"/>
      <w:jc w:val="left"/>
    </w:pPr>
    <w:rPr>
      <w:rFonts w:ascii="Cambria" w:hAnsi="Cambria" w:eastAsia="宋体"/>
      <w:bCs/>
      <w:i/>
      <w:iCs/>
      <w:color w:val="2DA2BF"/>
      <w:sz w:val="22"/>
      <w:szCs w:val="22"/>
    </w:rPr>
  </w:style>
  <w:style w:type="paragraph" w:customStyle="1" w:styleId="122">
    <w:name w:val="第一标题"/>
    <w:basedOn w:val="1"/>
    <w:qFormat/>
    <w:uiPriority w:val="0"/>
    <w:pPr>
      <w:widowControl/>
      <w:jc w:val="center"/>
    </w:pPr>
    <w:rPr>
      <w:rFonts w:ascii="Calibri" w:hAnsi="Calibri" w:cs="宋体"/>
      <w:kern w:val="0"/>
      <w:sz w:val="44"/>
    </w:rPr>
  </w:style>
  <w:style w:type="paragraph" w:customStyle="1" w:styleId="123">
    <w:name w:val="表格中文字"/>
    <w:basedOn w:val="1"/>
    <w:link w:val="535"/>
    <w:qFormat/>
    <w:uiPriority w:val="0"/>
    <w:pPr>
      <w:adjustRightInd w:val="0"/>
      <w:snapToGrid w:val="0"/>
      <w:jc w:val="center"/>
    </w:pPr>
    <w:rPr>
      <w:kern w:val="18"/>
      <w:szCs w:val="21"/>
    </w:rPr>
  </w:style>
  <w:style w:type="paragraph" w:customStyle="1" w:styleId="124">
    <w:name w:val="样1"/>
    <w:basedOn w:val="1"/>
    <w:qFormat/>
    <w:uiPriority w:val="0"/>
    <w:pPr>
      <w:autoSpaceDE w:val="0"/>
      <w:autoSpaceDN w:val="0"/>
      <w:adjustRightInd w:val="0"/>
      <w:ind w:right="232" w:firstLine="420" w:firstLineChars="199"/>
      <w:jc w:val="center"/>
      <w:textAlignment w:val="bottom"/>
    </w:pPr>
    <w:rPr>
      <w:b/>
      <w:bCs/>
      <w:kern w:val="0"/>
      <w:szCs w:val="21"/>
    </w:rPr>
  </w:style>
  <w:style w:type="paragraph" w:customStyle="1" w:styleId="125">
    <w:name w:val="Char Char Char Char"/>
    <w:basedOn w:val="1"/>
    <w:qFormat/>
    <w:uiPriority w:val="0"/>
    <w:rPr>
      <w:sz w:val="24"/>
    </w:rPr>
  </w:style>
  <w:style w:type="paragraph" w:customStyle="1" w:styleId="126">
    <w:name w:val="样式 标题 2二处标题 2节标题 1.11.1标题2b2ParagrafoH22nd levelh2Heade...2"/>
    <w:basedOn w:val="4"/>
    <w:qFormat/>
    <w:uiPriority w:val="0"/>
    <w:pPr>
      <w:keepNext w:val="0"/>
      <w:keepLines w:val="0"/>
      <w:numPr>
        <w:ilvl w:val="0"/>
        <w:numId w:val="0"/>
      </w:numPr>
      <w:tabs>
        <w:tab w:val="clear" w:pos="1276"/>
      </w:tabs>
      <w:snapToGrid w:val="0"/>
      <w:spacing w:before="0" w:after="0" w:line="480" w:lineRule="exact"/>
      <w:ind w:firstLine="600" w:firstLineChars="200"/>
      <w:textAlignment w:val="auto"/>
    </w:pPr>
    <w:rPr>
      <w:rFonts w:ascii="Times New Roman" w:hAnsi="Times New Roman" w:eastAsia="Times New Roman" w:cs="宋体"/>
      <w:color w:val="000000"/>
      <w:sz w:val="30"/>
    </w:rPr>
  </w:style>
  <w:style w:type="paragraph" w:customStyle="1" w:styleId="127">
    <w:name w:val="样式 宋体 四号 行距: 固定值 24 磅"/>
    <w:basedOn w:val="1"/>
    <w:qFormat/>
    <w:uiPriority w:val="0"/>
    <w:pPr>
      <w:spacing w:line="480" w:lineRule="exact"/>
      <w:ind w:firstLine="200" w:firstLineChars="200"/>
    </w:pPr>
    <w:rPr>
      <w:rFonts w:cs="宋体"/>
      <w:sz w:val="28"/>
    </w:rPr>
  </w:style>
  <w:style w:type="paragraph" w:customStyle="1" w:styleId="128">
    <w:name w:val="BT2"/>
    <w:basedOn w:val="4"/>
    <w:qFormat/>
    <w:uiPriority w:val="0"/>
    <w:pPr>
      <w:widowControl/>
      <w:numPr>
        <w:ilvl w:val="0"/>
        <w:numId w:val="0"/>
      </w:numPr>
      <w:tabs>
        <w:tab w:val="clear" w:pos="1276"/>
      </w:tabs>
      <w:adjustRightInd/>
      <w:spacing w:before="0" w:after="0" w:line="240" w:lineRule="auto"/>
      <w:textAlignment w:val="auto"/>
    </w:pPr>
    <w:rPr>
      <w:rFonts w:ascii="Times New Roman" w:hAnsi="Times New Roman" w:eastAsia="宋体"/>
      <w:bCs/>
      <w:color w:val="2DA2BF"/>
      <w:kern w:val="0"/>
      <w:sz w:val="26"/>
      <w:szCs w:val="26"/>
    </w:rPr>
  </w:style>
  <w:style w:type="paragraph" w:customStyle="1" w:styleId="129">
    <w:name w:val="Char Char1 Char"/>
    <w:basedOn w:val="1"/>
    <w:qFormat/>
    <w:uiPriority w:val="0"/>
    <w:rPr>
      <w:sz w:val="24"/>
      <w:szCs w:val="24"/>
    </w:rPr>
  </w:style>
  <w:style w:type="paragraph" w:customStyle="1" w:styleId="130">
    <w:name w:val="标题3李程程、"/>
    <w:basedOn w:val="79"/>
    <w:qFormat/>
    <w:uiPriority w:val="0"/>
    <w:pPr>
      <w:spacing w:after="0" w:line="360" w:lineRule="auto"/>
      <w:jc w:val="both"/>
    </w:pPr>
    <w:rPr>
      <w:rFonts w:hint="eastAsia" w:cs="Times New Roman"/>
      <w:b/>
      <w:kern w:val="2"/>
    </w:rPr>
  </w:style>
  <w:style w:type="paragraph" w:customStyle="1" w:styleId="131">
    <w:name w:val="Char Char Char Char1 Char Char"/>
    <w:basedOn w:val="2"/>
    <w:qFormat/>
    <w:uiPriority w:val="0"/>
    <w:pPr>
      <w:keepLines w:val="0"/>
      <w:widowControl/>
      <w:numPr>
        <w:ilvl w:val="0"/>
        <w:numId w:val="0"/>
      </w:numPr>
      <w:tabs>
        <w:tab w:val="left" w:pos="0"/>
        <w:tab w:val="clear" w:pos="2976"/>
      </w:tabs>
      <w:overflowPunct w:val="0"/>
      <w:autoSpaceDE w:val="0"/>
      <w:autoSpaceDN w:val="0"/>
      <w:adjustRightInd w:val="0"/>
      <w:snapToGrid w:val="0"/>
      <w:spacing w:before="120" w:after="0" w:line="360" w:lineRule="auto"/>
      <w:jc w:val="center"/>
      <w:textAlignment w:val="baseline"/>
    </w:pPr>
    <w:rPr>
      <w:rFonts w:ascii="宋体" w:eastAsia="宋体"/>
      <w:i/>
      <w:color w:val="000000"/>
      <w:kern w:val="28"/>
      <w:sz w:val="24"/>
    </w:rPr>
  </w:style>
  <w:style w:type="paragraph" w:customStyle="1" w:styleId="132">
    <w:name w:val="表格居中 Char"/>
    <w:basedOn w:val="1"/>
    <w:qFormat/>
    <w:uiPriority w:val="0"/>
    <w:pPr>
      <w:widowControl/>
      <w:jc w:val="center"/>
    </w:pPr>
    <w:rPr>
      <w:rFonts w:ascii="宋体" w:hAnsi="宋体"/>
      <w:w w:val="90"/>
      <w:kern w:val="0"/>
      <w:sz w:val="24"/>
      <w:szCs w:val="22"/>
    </w:rPr>
  </w:style>
  <w:style w:type="paragraph" w:customStyle="1" w:styleId="133">
    <w:name w:val="样式 标题 4 + (西文) Times New Roman (中文) 宋体 小四"/>
    <w:basedOn w:val="2"/>
    <w:qFormat/>
    <w:uiPriority w:val="0"/>
    <w:pPr>
      <w:widowControl/>
      <w:numPr>
        <w:ilvl w:val="0"/>
        <w:numId w:val="0"/>
      </w:numPr>
      <w:tabs>
        <w:tab w:val="left" w:pos="1397"/>
        <w:tab w:val="clear" w:pos="2976"/>
      </w:tabs>
      <w:snapToGrid w:val="0"/>
      <w:spacing w:before="78" w:beforeLines="25" w:after="78" w:afterLines="25" w:line="360" w:lineRule="auto"/>
      <w:ind w:left="1114" w:hanging="964"/>
      <w:jc w:val="left"/>
    </w:pPr>
    <w:rPr>
      <w:rFonts w:ascii="Times New Roman" w:hAnsi="Times New Roman" w:eastAsia="宋体"/>
      <w:bCs/>
      <w:iCs/>
      <w:sz w:val="24"/>
      <w:szCs w:val="24"/>
    </w:rPr>
  </w:style>
  <w:style w:type="paragraph" w:customStyle="1" w:styleId="134">
    <w:name w:val="文本123"/>
    <w:basedOn w:val="5"/>
    <w:qFormat/>
    <w:uiPriority w:val="0"/>
    <w:pPr>
      <w:widowControl/>
      <w:tabs>
        <w:tab w:val="left" w:pos="780"/>
      </w:tabs>
      <w:snapToGrid w:val="0"/>
      <w:spacing w:before="62" w:beforeLines="20" w:line="480" w:lineRule="exact"/>
      <w:ind w:left="780" w:hanging="360" w:firstLineChars="0"/>
      <w:jc w:val="left"/>
      <w:outlineLvl w:val="7"/>
    </w:pPr>
    <w:rPr>
      <w:rFonts w:ascii="Calibri" w:hAnsi="Calibri"/>
      <w:kern w:val="0"/>
      <w:sz w:val="24"/>
      <w:szCs w:val="24"/>
    </w:rPr>
  </w:style>
  <w:style w:type="paragraph" w:customStyle="1" w:styleId="135">
    <w:name w:val="正文01"/>
    <w:basedOn w:val="1"/>
    <w:qFormat/>
    <w:uiPriority w:val="0"/>
    <w:pPr>
      <w:spacing w:line="360" w:lineRule="auto"/>
      <w:ind w:firstLine="482"/>
    </w:pPr>
    <w:rPr>
      <w:sz w:val="24"/>
    </w:rPr>
  </w:style>
  <w:style w:type="paragraph" w:customStyle="1" w:styleId="136">
    <w:name w:val="谏壁正文chen"/>
    <w:basedOn w:val="1"/>
    <w:link w:val="599"/>
    <w:qFormat/>
    <w:uiPriority w:val="0"/>
    <w:pPr>
      <w:spacing w:line="360" w:lineRule="auto"/>
      <w:ind w:firstLine="200" w:firstLineChars="200"/>
    </w:pPr>
    <w:rPr>
      <w:sz w:val="24"/>
      <w:szCs w:val="24"/>
    </w:rPr>
  </w:style>
  <w:style w:type="paragraph" w:customStyle="1" w:styleId="137">
    <w:name w:val="表头zy"/>
    <w:basedOn w:val="1"/>
    <w:link w:val="594"/>
    <w:qFormat/>
    <w:uiPriority w:val="0"/>
    <w:pPr>
      <w:jc w:val="center"/>
    </w:pPr>
    <w:rPr>
      <w:b/>
      <w:kern w:val="0"/>
    </w:rPr>
  </w:style>
  <w:style w:type="paragraph" w:customStyle="1" w:styleId="138">
    <w:name w:val="排版正文"/>
    <w:basedOn w:val="1"/>
    <w:next w:val="1"/>
    <w:link w:val="739"/>
    <w:qFormat/>
    <w:uiPriority w:val="0"/>
    <w:pPr>
      <w:adjustRightInd w:val="0"/>
      <w:snapToGrid w:val="0"/>
      <w:spacing w:line="460" w:lineRule="exact"/>
      <w:ind w:firstLine="510"/>
    </w:pPr>
    <w:rPr>
      <w:rFonts w:eastAsia="黑体"/>
      <w:sz w:val="26"/>
      <w:szCs w:val="22"/>
    </w:rPr>
  </w:style>
  <w:style w:type="paragraph" w:customStyle="1" w:styleId="139">
    <w:name w:val="标准文本 首行缩进:2 字符 行距1倍 Char Char"/>
    <w:basedOn w:val="1"/>
    <w:link w:val="692"/>
    <w:qFormat/>
    <w:uiPriority w:val="0"/>
    <w:pPr>
      <w:widowControl/>
      <w:adjustRightInd w:val="0"/>
      <w:snapToGrid w:val="0"/>
      <w:ind w:firstLine="200" w:firstLineChars="200"/>
      <w:jc w:val="left"/>
      <w:textAlignment w:val="center"/>
    </w:pPr>
    <w:rPr>
      <w:rFonts w:cs="宋体"/>
      <w:sz w:val="24"/>
      <w:szCs w:val="24"/>
    </w:rPr>
  </w:style>
  <w:style w:type="paragraph" w:customStyle="1" w:styleId="140">
    <w:name w:val="中文报告书样式"/>
    <w:basedOn w:val="1"/>
    <w:qFormat/>
    <w:uiPriority w:val="0"/>
    <w:pPr>
      <w:adjustRightInd w:val="0"/>
      <w:spacing w:before="30" w:beforeLines="30" w:line="480" w:lineRule="atLeast"/>
      <w:ind w:firstLine="482"/>
    </w:pPr>
    <w:rPr>
      <w:kern w:val="24"/>
      <w:sz w:val="24"/>
    </w:rPr>
  </w:style>
  <w:style w:type="paragraph" w:customStyle="1" w:styleId="141">
    <w:name w:val="Char Char Char Char Char Char Char"/>
    <w:basedOn w:val="1"/>
    <w:qFormat/>
    <w:uiPriority w:val="0"/>
    <w:rPr>
      <w:sz w:val="24"/>
    </w:rPr>
  </w:style>
  <w:style w:type="paragraph" w:customStyle="1" w:styleId="142">
    <w:name w:val="小四+首行缩进"/>
    <w:basedOn w:val="1"/>
    <w:link w:val="715"/>
    <w:qFormat/>
    <w:uiPriority w:val="0"/>
    <w:pPr>
      <w:spacing w:line="360" w:lineRule="auto"/>
      <w:ind w:firstLine="482"/>
    </w:pPr>
    <w:rPr>
      <w:rFonts w:ascii="宋体" w:hAnsi="宋体"/>
      <w:sz w:val="24"/>
    </w:rPr>
  </w:style>
  <w:style w:type="paragraph" w:customStyle="1" w:styleId="143">
    <w:name w:val="标题1 Char Char Char"/>
    <w:basedOn w:val="1"/>
    <w:next w:val="1"/>
    <w:qFormat/>
    <w:uiPriority w:val="0"/>
    <w:pPr>
      <w:spacing w:before="50" w:beforeLines="50" w:after="50" w:afterLines="50"/>
      <w:jc w:val="center"/>
    </w:pPr>
    <w:rPr>
      <w:rFonts w:eastAsia="黑体"/>
      <w:kern w:val="0"/>
      <w:sz w:val="32"/>
      <w:szCs w:val="32"/>
    </w:rPr>
  </w:style>
  <w:style w:type="paragraph" w:customStyle="1" w:styleId="144">
    <w:name w:val="表头样式1"/>
    <w:basedOn w:val="1"/>
    <w:link w:val="617"/>
    <w:qFormat/>
    <w:uiPriority w:val="0"/>
    <w:pPr>
      <w:spacing w:before="156" w:beforeLines="50"/>
      <w:jc w:val="center"/>
    </w:pPr>
    <w:rPr>
      <w:rFonts w:eastAsia="黑体"/>
      <w:b/>
      <w:sz w:val="24"/>
    </w:rPr>
  </w:style>
  <w:style w:type="paragraph" w:customStyle="1" w:styleId="145">
    <w:name w:val="标准符号 行距1倍"/>
    <w:basedOn w:val="1"/>
    <w:qFormat/>
    <w:uiPriority w:val="0"/>
    <w:pPr>
      <w:widowControl/>
      <w:tabs>
        <w:tab w:val="left" w:pos="900"/>
      </w:tabs>
      <w:adjustRightInd w:val="0"/>
      <w:snapToGrid w:val="0"/>
      <w:spacing w:line="480" w:lineRule="exact"/>
      <w:ind w:left="902" w:hanging="362"/>
      <w:jc w:val="left"/>
      <w:textAlignment w:val="center"/>
    </w:pPr>
    <w:rPr>
      <w:rFonts w:ascii="Calibri" w:hAnsi="Calibri" w:cs="宋体"/>
      <w:kern w:val="0"/>
      <w:sz w:val="24"/>
      <w:szCs w:val="22"/>
    </w:rPr>
  </w:style>
  <w:style w:type="paragraph" w:customStyle="1" w:styleId="146">
    <w:name w:val="gao"/>
    <w:basedOn w:val="1"/>
    <w:qFormat/>
    <w:uiPriority w:val="0"/>
    <w:pPr>
      <w:autoSpaceDE w:val="0"/>
      <w:autoSpaceDN w:val="0"/>
      <w:adjustRightInd w:val="0"/>
      <w:spacing w:line="360" w:lineRule="auto"/>
    </w:pPr>
    <w:rPr>
      <w:rFonts w:ascii="宋体"/>
      <w:spacing w:val="-20"/>
      <w:kern w:val="0"/>
      <w:sz w:val="28"/>
      <w:szCs w:val="24"/>
    </w:rPr>
  </w:style>
  <w:style w:type="paragraph" w:customStyle="1" w:styleId="147">
    <w:name w:val="Pa12"/>
    <w:basedOn w:val="1"/>
    <w:next w:val="1"/>
    <w:qFormat/>
    <w:uiPriority w:val="0"/>
    <w:pPr>
      <w:widowControl/>
      <w:autoSpaceDE w:val="0"/>
      <w:autoSpaceDN w:val="0"/>
      <w:adjustRightInd w:val="0"/>
      <w:spacing w:before="60" w:after="60" w:line="211" w:lineRule="atLeast"/>
      <w:jc w:val="left"/>
    </w:pPr>
    <w:rPr>
      <w:rFonts w:ascii="Wingdings" w:hAnsi="Wingdings"/>
      <w:kern w:val="0"/>
      <w:sz w:val="24"/>
      <w:szCs w:val="22"/>
    </w:rPr>
  </w:style>
  <w:style w:type="paragraph" w:customStyle="1" w:styleId="148">
    <w:name w:val="条题"/>
    <w:basedOn w:val="1"/>
    <w:qFormat/>
    <w:uiPriority w:val="0"/>
    <w:pPr>
      <w:widowControl/>
      <w:tabs>
        <w:tab w:val="left" w:pos="1278"/>
      </w:tabs>
      <w:spacing w:line="420" w:lineRule="exact"/>
      <w:ind w:firstLine="560" w:firstLineChars="200"/>
      <w:jc w:val="left"/>
    </w:pPr>
    <w:rPr>
      <w:rFonts w:ascii="Calibri" w:hAnsi="Calibri"/>
      <w:kern w:val="0"/>
      <w:sz w:val="24"/>
      <w:szCs w:val="22"/>
    </w:rPr>
  </w:style>
  <w:style w:type="paragraph" w:customStyle="1" w:styleId="149">
    <w:name w:val="样式 样式 宋体 小四 行距: 1.5 倍行距 + 首行缩进:  2 字符 段前: 7.8 磅 段后: 7.8 磅"/>
    <w:basedOn w:val="1"/>
    <w:qFormat/>
    <w:uiPriority w:val="0"/>
    <w:pPr>
      <w:widowControl/>
      <w:snapToGrid w:val="0"/>
      <w:spacing w:before="156" w:beforeLines="50" w:after="156" w:afterLines="50" w:line="360" w:lineRule="auto"/>
      <w:ind w:firstLine="200" w:firstLineChars="200"/>
      <w:jc w:val="left"/>
    </w:pPr>
    <w:rPr>
      <w:rFonts w:ascii="宋体" w:hAnsi="宋体"/>
      <w:kern w:val="0"/>
      <w:sz w:val="24"/>
    </w:rPr>
  </w:style>
  <w:style w:type="paragraph" w:customStyle="1" w:styleId="150">
    <w:name w:val="标准文本 首行缩进:2 字符 行距1倍 Char Char Char"/>
    <w:basedOn w:val="1"/>
    <w:qFormat/>
    <w:uiPriority w:val="0"/>
    <w:pPr>
      <w:adjustRightInd w:val="0"/>
      <w:snapToGrid w:val="0"/>
      <w:spacing w:before="120" w:beforeLines="50" w:line="480" w:lineRule="exact"/>
      <w:ind w:right="62" w:firstLine="470" w:firstLineChars="196"/>
      <w:textAlignment w:val="center"/>
    </w:pPr>
    <w:rPr>
      <w:rFonts w:cs="宋体"/>
      <w:color w:val="000000"/>
      <w:sz w:val="24"/>
      <w:szCs w:val="24"/>
    </w:rPr>
  </w:style>
  <w:style w:type="paragraph" w:customStyle="1" w:styleId="151">
    <w:name w:val="样式3wf"/>
    <w:basedOn w:val="1"/>
    <w:qFormat/>
    <w:uiPriority w:val="0"/>
    <w:pPr>
      <w:autoSpaceDE w:val="0"/>
      <w:autoSpaceDN w:val="0"/>
      <w:adjustRightInd w:val="0"/>
      <w:snapToGrid w:val="0"/>
      <w:spacing w:before="120"/>
      <w:jc w:val="center"/>
      <w:textAlignment w:val="baseline"/>
    </w:pPr>
    <w:rPr>
      <w:szCs w:val="21"/>
    </w:rPr>
  </w:style>
  <w:style w:type="paragraph" w:customStyle="1" w:styleId="152">
    <w:name w:val="纯文本1"/>
    <w:basedOn w:val="1"/>
    <w:qFormat/>
    <w:uiPriority w:val="0"/>
    <w:pPr>
      <w:adjustRightInd w:val="0"/>
      <w:textAlignment w:val="baseline"/>
    </w:pPr>
    <w:rPr>
      <w:rFonts w:ascii="宋体" w:hAnsi="Courier New"/>
    </w:rPr>
  </w:style>
  <w:style w:type="paragraph" w:customStyle="1" w:styleId="153">
    <w:name w:val="样式 标题 2二处标题 2节标题 1.11.1标题2b2ParagrafoH22nd levelh2Heade...4"/>
    <w:basedOn w:val="4"/>
    <w:qFormat/>
    <w:uiPriority w:val="0"/>
    <w:pPr>
      <w:keepNext w:val="0"/>
      <w:keepLines w:val="0"/>
      <w:numPr>
        <w:ilvl w:val="0"/>
        <w:numId w:val="0"/>
      </w:numPr>
      <w:tabs>
        <w:tab w:val="clear" w:pos="1276"/>
      </w:tabs>
      <w:snapToGrid w:val="0"/>
      <w:spacing w:before="0" w:after="0" w:line="480" w:lineRule="exact"/>
      <w:ind w:firstLine="600" w:firstLineChars="200"/>
      <w:textAlignment w:val="auto"/>
    </w:pPr>
    <w:rPr>
      <w:rFonts w:ascii="Times New Roman" w:hAnsi="Times New Roman" w:eastAsia="Times New Roman" w:cs="宋体"/>
      <w:color w:val="000000"/>
      <w:sz w:val="30"/>
    </w:rPr>
  </w:style>
  <w:style w:type="paragraph" w:customStyle="1" w:styleId="154">
    <w:name w:val="样式 标题 1二处标题 11标题 1 Char章标题章节H1Otsikko 1标题 1 Char Char Ch...1"/>
    <w:basedOn w:val="3"/>
    <w:qFormat/>
    <w:uiPriority w:val="0"/>
    <w:pPr>
      <w:snapToGrid/>
      <w:spacing w:line="480" w:lineRule="exact"/>
      <w:ind w:firstLine="200" w:firstLineChars="200"/>
    </w:pPr>
    <w:rPr>
      <w:rFonts w:eastAsia="Times New Roman" w:cs="宋体"/>
      <w:b/>
      <w:bCs/>
      <w:sz w:val="32"/>
    </w:rPr>
  </w:style>
  <w:style w:type="paragraph" w:customStyle="1" w:styleId="155">
    <w:name w:val="表名"/>
    <w:basedOn w:val="1"/>
    <w:qFormat/>
    <w:uiPriority w:val="0"/>
    <w:pPr>
      <w:spacing w:before="120" w:after="120" w:line="440" w:lineRule="exact"/>
      <w:jc w:val="center"/>
    </w:pPr>
    <w:rPr>
      <w:rFonts w:ascii="黑体" w:hAnsi="宋体" w:eastAsia="黑体"/>
    </w:rPr>
  </w:style>
  <w:style w:type="paragraph" w:customStyle="1" w:styleId="156">
    <w:name w:val="Pa21"/>
    <w:basedOn w:val="1"/>
    <w:next w:val="1"/>
    <w:qFormat/>
    <w:uiPriority w:val="0"/>
    <w:pPr>
      <w:widowControl/>
      <w:autoSpaceDE w:val="0"/>
      <w:autoSpaceDN w:val="0"/>
      <w:adjustRightInd w:val="0"/>
      <w:spacing w:before="140" w:after="140" w:line="211" w:lineRule="atLeast"/>
      <w:jc w:val="left"/>
    </w:pPr>
    <w:rPr>
      <w:rFonts w:ascii="宋体" w:hAnsi="Calibri"/>
      <w:kern w:val="0"/>
      <w:sz w:val="24"/>
      <w:szCs w:val="22"/>
    </w:rPr>
  </w:style>
  <w:style w:type="paragraph" w:customStyle="1" w:styleId="157">
    <w:name w:val="样式 文本123 + 段前: 0.2 行1"/>
    <w:basedOn w:val="134"/>
    <w:qFormat/>
    <w:uiPriority w:val="0"/>
    <w:pPr>
      <w:ind w:left="0" w:firstLine="510"/>
    </w:pPr>
    <w:rPr>
      <w:szCs w:val="20"/>
    </w:rPr>
  </w:style>
  <w:style w:type="paragraph" w:customStyle="1" w:styleId="158">
    <w:name w:val="标准文本 首行缩进:2 字符 行距1.5倍"/>
    <w:basedOn w:val="1"/>
    <w:qFormat/>
    <w:uiPriority w:val="0"/>
    <w:pPr>
      <w:widowControl/>
      <w:adjustRightInd w:val="0"/>
      <w:snapToGrid w:val="0"/>
      <w:spacing w:line="360" w:lineRule="auto"/>
      <w:ind w:firstLine="200" w:firstLineChars="200"/>
      <w:jc w:val="left"/>
      <w:textAlignment w:val="center"/>
    </w:pPr>
    <w:rPr>
      <w:rFonts w:ascii="Calibri" w:hAnsi="Calibri" w:cs="宋体"/>
      <w:kern w:val="0"/>
      <w:sz w:val="24"/>
      <w:szCs w:val="22"/>
    </w:rPr>
  </w:style>
  <w:style w:type="paragraph" w:customStyle="1" w:styleId="159">
    <w:name w:val="目录标题"/>
    <w:basedOn w:val="3"/>
    <w:qFormat/>
    <w:uiPriority w:val="0"/>
    <w:pPr>
      <w:keepNext w:val="0"/>
      <w:keepLines w:val="0"/>
      <w:widowControl/>
      <w:snapToGrid/>
      <w:spacing w:line="0" w:lineRule="atLeast"/>
      <w:jc w:val="left"/>
      <w:outlineLvl w:val="9"/>
    </w:pPr>
    <w:rPr>
      <w:rFonts w:ascii="宋体" w:hAnsi="宋体" w:eastAsia="宋体"/>
      <w:color w:val="21798E"/>
      <w:kern w:val="2"/>
      <w:sz w:val="32"/>
      <w:szCs w:val="24"/>
    </w:rPr>
  </w:style>
  <w:style w:type="paragraph" w:customStyle="1" w:styleId="160">
    <w:name w:val="注释"/>
    <w:basedOn w:val="1"/>
    <w:link w:val="734"/>
    <w:qFormat/>
    <w:uiPriority w:val="0"/>
    <w:pPr>
      <w:spacing w:line="480" w:lineRule="exact"/>
      <w:ind w:firstLine="420" w:firstLineChars="200"/>
      <w:jc w:val="left"/>
    </w:pPr>
    <w:rPr>
      <w:rFonts w:cs="宋体"/>
    </w:rPr>
  </w:style>
  <w:style w:type="paragraph" w:customStyle="1" w:styleId="161">
    <w:name w:val="表格文本 五号 居中 单倍行距"/>
    <w:basedOn w:val="1"/>
    <w:qFormat/>
    <w:uiPriority w:val="0"/>
    <w:pPr>
      <w:keepNext/>
      <w:widowControl/>
      <w:snapToGrid w:val="0"/>
      <w:ind w:firstLine="420"/>
      <w:jc w:val="center"/>
      <w:textAlignment w:val="baseline"/>
    </w:pPr>
    <w:rPr>
      <w:color w:val="FF0000"/>
      <w:kern w:val="0"/>
      <w:szCs w:val="21"/>
    </w:rPr>
  </w:style>
  <w:style w:type="paragraph" w:customStyle="1" w:styleId="162">
    <w:name w:val="二级无标题条"/>
    <w:basedOn w:val="1"/>
    <w:qFormat/>
    <w:uiPriority w:val="0"/>
    <w:rPr>
      <w:szCs w:val="24"/>
    </w:rPr>
  </w:style>
  <w:style w:type="paragraph" w:customStyle="1" w:styleId="163">
    <w:name w:val="正文lcc1"/>
    <w:basedOn w:val="1"/>
    <w:qFormat/>
    <w:uiPriority w:val="0"/>
    <w:rPr>
      <w:color w:val="000000"/>
    </w:rPr>
  </w:style>
  <w:style w:type="paragraph" w:customStyle="1" w:styleId="164">
    <w:name w:val="小二宋顶格1.5行"/>
    <w:qFormat/>
    <w:uiPriority w:val="0"/>
    <w:pPr>
      <w:spacing w:after="200" w:line="360" w:lineRule="auto"/>
      <w:ind w:firstLine="454"/>
    </w:pPr>
    <w:rPr>
      <w:rFonts w:ascii="宋体" w:hAnsi="宋体" w:eastAsia="宋体" w:cs="Times New Roman"/>
      <w:sz w:val="24"/>
      <w:szCs w:val="22"/>
      <w:lang w:val="en-US" w:eastAsia="zh-CN" w:bidi="ar-SA"/>
    </w:rPr>
  </w:style>
  <w:style w:type="paragraph" w:customStyle="1" w:styleId="165">
    <w:name w:val="_Style 1"/>
    <w:basedOn w:val="1"/>
    <w:next w:val="5"/>
    <w:qFormat/>
    <w:uiPriority w:val="0"/>
    <w:pPr>
      <w:adjustRightInd w:val="0"/>
      <w:spacing w:line="288" w:lineRule="auto"/>
      <w:ind w:firstLine="480"/>
      <w:textAlignment w:val="baseline"/>
    </w:pPr>
    <w:rPr>
      <w:rFonts w:ascii="宋体" w:hAnsi="宋体" w:cs="宋体"/>
      <w:sz w:val="24"/>
      <w:szCs w:val="24"/>
    </w:rPr>
  </w:style>
  <w:style w:type="paragraph" w:customStyle="1" w:styleId="166">
    <w:name w:val="表格文字1"/>
    <w:basedOn w:val="1"/>
    <w:link w:val="545"/>
    <w:qFormat/>
    <w:uiPriority w:val="0"/>
    <w:pPr>
      <w:jc w:val="center"/>
    </w:pPr>
    <w:rPr>
      <w:kern w:val="18"/>
      <w:szCs w:val="21"/>
    </w:rPr>
  </w:style>
  <w:style w:type="paragraph" w:customStyle="1" w:styleId="167">
    <w:name w:val="样式 样式 标题 3 + (西文) Times New Roman (中文) 宋体 小四 加粗 + (符号) 宋体"/>
    <w:basedOn w:val="168"/>
    <w:next w:val="169"/>
    <w:link w:val="712"/>
    <w:qFormat/>
    <w:uiPriority w:val="0"/>
    <w:pPr>
      <w:tabs>
        <w:tab w:val="left" w:pos="1021"/>
        <w:tab w:val="left" w:pos="1304"/>
      </w:tabs>
      <w:spacing w:after="0" w:afterLines="0" w:line="360" w:lineRule="auto"/>
      <w:ind w:left="0" w:firstLine="0"/>
    </w:pPr>
    <w:rPr>
      <w:rFonts w:hAnsi="Times New Roman"/>
    </w:rPr>
  </w:style>
  <w:style w:type="paragraph" w:customStyle="1" w:styleId="168">
    <w:name w:val="样式 标题 3 + (西文) Times New Roman (中文) 宋体 小四 加粗"/>
    <w:basedOn w:val="6"/>
    <w:link w:val="702"/>
    <w:qFormat/>
    <w:uiPriority w:val="0"/>
    <w:pPr>
      <w:numPr>
        <w:ilvl w:val="0"/>
        <w:numId w:val="0"/>
      </w:numPr>
      <w:tabs>
        <w:tab w:val="left" w:pos="1304"/>
        <w:tab w:val="clear" w:pos="2126"/>
      </w:tabs>
      <w:adjustRightInd w:val="0"/>
      <w:snapToGrid w:val="0"/>
      <w:spacing w:before="156" w:beforeLines="50" w:after="156" w:afterLines="50" w:line="240" w:lineRule="auto"/>
      <w:ind w:left="227" w:hanging="227"/>
      <w:jc w:val="left"/>
    </w:pPr>
    <w:rPr>
      <w:rFonts w:hAnsi="宋体"/>
      <w:bCs/>
      <w:snapToGrid w:val="0"/>
      <w:sz w:val="28"/>
      <w:szCs w:val="28"/>
    </w:rPr>
  </w:style>
  <w:style w:type="paragraph" w:customStyle="1" w:styleId="169">
    <w:name w:val="样式 标题 1 + (中文) 宋体 小三 行距: 多倍行距 1.35 字行"/>
    <w:basedOn w:val="3"/>
    <w:qFormat/>
    <w:uiPriority w:val="0"/>
    <w:pPr>
      <w:numPr>
        <w:ilvl w:val="0"/>
        <w:numId w:val="3"/>
      </w:numPr>
      <w:adjustRightInd w:val="0"/>
      <w:spacing w:before="468" w:beforeLines="150" w:after="468" w:afterLines="150" w:line="240" w:lineRule="auto"/>
    </w:pPr>
    <w:rPr>
      <w:rFonts w:hAnsi="宋体" w:eastAsia="宋体"/>
      <w:b/>
      <w:bCs/>
      <w:kern w:val="0"/>
      <w:sz w:val="32"/>
      <w:szCs w:val="32"/>
    </w:rPr>
  </w:style>
  <w:style w:type="paragraph" w:customStyle="1" w:styleId="170">
    <w:name w:val="pic-info"/>
    <w:basedOn w:val="1"/>
    <w:qFormat/>
    <w:uiPriority w:val="0"/>
    <w:pPr>
      <w:widowControl/>
      <w:spacing w:before="100" w:beforeAutospacing="1" w:after="100" w:afterAutospacing="1"/>
      <w:jc w:val="left"/>
    </w:pPr>
    <w:rPr>
      <w:rFonts w:ascii="宋体" w:hAnsi="宋体" w:cs="宋体"/>
      <w:kern w:val="0"/>
      <w:sz w:val="24"/>
      <w:szCs w:val="24"/>
    </w:rPr>
  </w:style>
  <w:style w:type="paragraph" w:customStyle="1" w:styleId="171">
    <w:name w:val="Char Char Char Char2"/>
    <w:basedOn w:val="1"/>
    <w:next w:val="1"/>
    <w:semiHidden/>
    <w:qFormat/>
    <w:uiPriority w:val="0"/>
    <w:pPr>
      <w:spacing w:line="360" w:lineRule="auto"/>
      <w:ind w:firstLine="200" w:firstLineChars="200"/>
    </w:pPr>
    <w:rPr>
      <w:rFonts w:ascii="宋体" w:hAnsi="宋体" w:cs="宋体"/>
      <w:sz w:val="24"/>
      <w:szCs w:val="24"/>
    </w:rPr>
  </w:style>
  <w:style w:type="paragraph" w:customStyle="1" w:styleId="172">
    <w:name w:val="表格标题博泵"/>
    <w:basedOn w:val="1"/>
    <w:link w:val="696"/>
    <w:qFormat/>
    <w:uiPriority w:val="0"/>
    <w:pPr>
      <w:adjustRightInd w:val="0"/>
      <w:snapToGrid w:val="0"/>
      <w:jc w:val="center"/>
      <w:textAlignment w:val="baseline"/>
    </w:pPr>
    <w:rPr>
      <w:b/>
      <w:color w:val="000000"/>
    </w:rPr>
  </w:style>
  <w:style w:type="paragraph" w:customStyle="1" w:styleId="173">
    <w:name w:val="样式 样式 类别2 + 段后: 7.05 磅 + 段前: 1 行"/>
    <w:basedOn w:val="1"/>
    <w:qFormat/>
    <w:uiPriority w:val="0"/>
    <w:pPr>
      <w:adjustRightInd w:val="0"/>
      <w:snapToGrid w:val="0"/>
      <w:spacing w:before="249" w:beforeLines="80" w:after="240" w:line="400" w:lineRule="exact"/>
      <w:jc w:val="right"/>
    </w:pPr>
    <w:rPr>
      <w:rFonts w:ascii="Arial" w:hAnsi="Arial" w:eastAsia="楷体_GB2312"/>
      <w:b/>
      <w:bCs/>
      <w:snapToGrid w:val="0"/>
      <w:kern w:val="0"/>
    </w:rPr>
  </w:style>
  <w:style w:type="paragraph" w:customStyle="1" w:styleId="174">
    <w:name w:val="表蕊"/>
    <w:basedOn w:val="1"/>
    <w:link w:val="689"/>
    <w:qFormat/>
    <w:uiPriority w:val="0"/>
    <w:pPr>
      <w:adjustRightInd w:val="0"/>
      <w:spacing w:line="320" w:lineRule="atLeast"/>
      <w:jc w:val="left"/>
      <w:textAlignment w:val="baseline"/>
    </w:pPr>
    <w:rPr>
      <w:rFonts w:eastAsia="楷体_GB2312"/>
      <w:spacing w:val="-10"/>
      <w:kern w:val="0"/>
    </w:rPr>
  </w:style>
  <w:style w:type="paragraph" w:customStyle="1" w:styleId="175">
    <w:name w:val="样式 正文文本缩进 2 + 加粗 首行缩进:  2 字符 行距: 固定值 24 磅1"/>
    <w:basedOn w:val="34"/>
    <w:qFormat/>
    <w:uiPriority w:val="0"/>
    <w:pPr>
      <w:spacing w:before="0"/>
      <w:ind w:firstLine="562"/>
    </w:pPr>
    <w:rPr>
      <w:rFonts w:ascii="Times New Roman" w:hAnsi="Times New Roman" w:cs="宋体"/>
      <w:bCs/>
      <w:spacing w:val="0"/>
      <w:sz w:val="28"/>
    </w:rPr>
  </w:style>
  <w:style w:type="paragraph" w:customStyle="1" w:styleId="176">
    <w:name w:val="样式3-王鹏"/>
    <w:basedOn w:val="1"/>
    <w:qFormat/>
    <w:uiPriority w:val="0"/>
    <w:pPr>
      <w:adjustRightInd w:val="0"/>
      <w:snapToGrid w:val="0"/>
      <w:spacing w:before="100" w:after="120" w:afterLines="50" w:line="336" w:lineRule="auto"/>
      <w:ind w:firstLine="420" w:firstLineChars="200"/>
    </w:pPr>
    <w:rPr>
      <w:snapToGrid w:val="0"/>
      <w:kern w:val="0"/>
    </w:rPr>
  </w:style>
  <w:style w:type="paragraph" w:customStyle="1" w:styleId="177">
    <w:name w:val="样式 黑色 行距: 固定值 15 磅"/>
    <w:basedOn w:val="1"/>
    <w:qFormat/>
    <w:uiPriority w:val="0"/>
    <w:pPr>
      <w:spacing w:line="480" w:lineRule="exact"/>
      <w:ind w:firstLine="200" w:firstLineChars="200"/>
    </w:pPr>
    <w:rPr>
      <w:rFonts w:cs="宋体"/>
      <w:color w:val="000000"/>
      <w:sz w:val="28"/>
    </w:rPr>
  </w:style>
  <w:style w:type="paragraph" w:customStyle="1" w:styleId="178">
    <w:name w:val="标准文本 居中 单倍行距 Char Char"/>
    <w:basedOn w:val="1"/>
    <w:qFormat/>
    <w:uiPriority w:val="0"/>
    <w:pPr>
      <w:adjustRightInd w:val="0"/>
      <w:snapToGrid w:val="0"/>
      <w:jc w:val="center"/>
      <w:textAlignment w:val="center"/>
    </w:pPr>
    <w:rPr>
      <w:rFonts w:cs="宋体"/>
      <w:sz w:val="24"/>
      <w:szCs w:val="24"/>
    </w:rPr>
  </w:style>
  <w:style w:type="paragraph" w:customStyle="1" w:styleId="179">
    <w:name w:val="标准文本 首行缩进:2 字符 行距1倍 Char"/>
    <w:basedOn w:val="1"/>
    <w:qFormat/>
    <w:uiPriority w:val="0"/>
    <w:pPr>
      <w:adjustRightInd w:val="0"/>
      <w:snapToGrid w:val="0"/>
      <w:spacing w:line="480" w:lineRule="exact"/>
      <w:ind w:firstLine="480" w:firstLineChars="200"/>
      <w:jc w:val="center"/>
      <w:textAlignment w:val="center"/>
    </w:pPr>
    <w:rPr>
      <w:color w:val="FF0000"/>
      <w:sz w:val="24"/>
      <w:szCs w:val="24"/>
    </w:rPr>
  </w:style>
  <w:style w:type="paragraph" w:customStyle="1" w:styleId="180">
    <w:name w:val="简单回函地址"/>
    <w:basedOn w:val="1"/>
    <w:qFormat/>
    <w:uiPriority w:val="0"/>
    <w:pPr>
      <w:widowControl/>
      <w:jc w:val="left"/>
    </w:pPr>
    <w:rPr>
      <w:rFonts w:ascii="Calibri" w:hAnsi="Calibri"/>
      <w:kern w:val="0"/>
      <w:sz w:val="22"/>
    </w:rPr>
  </w:style>
  <w:style w:type="paragraph" w:customStyle="1" w:styleId="181">
    <w:name w:val="标题正4"/>
    <w:basedOn w:val="1"/>
    <w:qFormat/>
    <w:uiPriority w:val="0"/>
    <w:pPr>
      <w:widowControl/>
      <w:spacing w:line="300" w:lineRule="exact"/>
      <w:jc w:val="center"/>
    </w:pPr>
    <w:rPr>
      <w:rFonts w:ascii="宋体" w:hAnsi="宋体"/>
      <w:color w:val="000000"/>
      <w:kern w:val="0"/>
      <w:sz w:val="22"/>
      <w:szCs w:val="22"/>
    </w:rPr>
  </w:style>
  <w:style w:type="paragraph" w:customStyle="1" w:styleId="182">
    <w:name w:val="样2"/>
    <w:basedOn w:val="1"/>
    <w:next w:val="1"/>
    <w:qFormat/>
    <w:uiPriority w:val="0"/>
    <w:pPr>
      <w:adjustRightInd w:val="0"/>
      <w:snapToGrid w:val="0"/>
      <w:jc w:val="center"/>
      <w:textAlignment w:val="baseline"/>
    </w:pPr>
    <w:rPr>
      <w:kern w:val="0"/>
    </w:rPr>
  </w:style>
  <w:style w:type="paragraph" w:customStyle="1" w:styleId="183">
    <w:name w:val="Char Char Char1 Char Char Char Char Char Char Char Char Char Char Char Char Char1"/>
    <w:basedOn w:val="1"/>
    <w:qFormat/>
    <w:uiPriority w:val="0"/>
    <w:rPr>
      <w:szCs w:val="21"/>
    </w:rPr>
  </w:style>
  <w:style w:type="paragraph" w:customStyle="1" w:styleId="184">
    <w:name w:val="表内字"/>
    <w:basedOn w:val="1"/>
    <w:qFormat/>
    <w:uiPriority w:val="0"/>
    <w:pPr>
      <w:spacing w:line="360" w:lineRule="exact"/>
      <w:ind w:right="-94"/>
      <w:jc w:val="center"/>
    </w:pPr>
    <w:rPr>
      <w:rFonts w:ascii="宋体" w:hAnsi="宋体"/>
      <w:color w:val="000000"/>
      <w:szCs w:val="21"/>
    </w:rPr>
  </w:style>
  <w:style w:type="paragraph" w:customStyle="1" w:styleId="185">
    <w:name w:val="表标题"/>
    <w:basedOn w:val="1"/>
    <w:link w:val="637"/>
    <w:qFormat/>
    <w:uiPriority w:val="0"/>
    <w:pPr>
      <w:spacing w:line="500" w:lineRule="exact"/>
      <w:ind w:firstLine="482" w:firstLineChars="200"/>
      <w:jc w:val="center"/>
    </w:pPr>
    <w:rPr>
      <w:rFonts w:ascii="仿宋_GB2312" w:eastAsia="仿宋_GB2312"/>
      <w:b/>
      <w:bCs/>
      <w:sz w:val="24"/>
      <w:szCs w:val="24"/>
    </w:rPr>
  </w:style>
  <w:style w:type="paragraph" w:customStyle="1" w:styleId="186">
    <w:name w:val="xl3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color w:val="000000"/>
      <w:kern w:val="0"/>
      <w:sz w:val="20"/>
    </w:rPr>
  </w:style>
  <w:style w:type="paragraph" w:customStyle="1" w:styleId="187">
    <w:name w:val="Default1"/>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188">
    <w:name w:val="正文小五居中"/>
    <w:basedOn w:val="1"/>
    <w:qFormat/>
    <w:uiPriority w:val="0"/>
    <w:pPr>
      <w:widowControl/>
      <w:jc w:val="center"/>
    </w:pPr>
    <w:rPr>
      <w:rFonts w:ascii="Calibri" w:hAnsi="Calibri" w:cs="宋体"/>
      <w:kern w:val="0"/>
      <w:sz w:val="18"/>
    </w:rPr>
  </w:style>
  <w:style w:type="paragraph" w:customStyle="1" w:styleId="189">
    <w:name w:val="样式 正文缩进正文（首行缩进两字）文本条款 + 段前: 0.4 行"/>
    <w:basedOn w:val="5"/>
    <w:qFormat/>
    <w:uiPriority w:val="0"/>
    <w:pPr>
      <w:widowControl/>
      <w:spacing w:before="93" w:beforeLines="30" w:line="288" w:lineRule="auto"/>
      <w:ind w:firstLine="0" w:firstLineChars="0"/>
      <w:jc w:val="left"/>
      <w:outlineLvl w:val="6"/>
    </w:pPr>
    <w:rPr>
      <w:rFonts w:ascii="Calibri" w:hAnsi="Calibri" w:eastAsia="黑体"/>
      <w:b/>
      <w:kern w:val="0"/>
      <w:sz w:val="28"/>
    </w:rPr>
  </w:style>
  <w:style w:type="paragraph" w:customStyle="1" w:styleId="190">
    <w:name w:val="正文一"/>
    <w:basedOn w:val="1"/>
    <w:link w:val="685"/>
    <w:unhideWhenUsed/>
    <w:qFormat/>
    <w:uiPriority w:val="0"/>
    <w:pPr>
      <w:widowControl/>
      <w:ind w:firstLine="480"/>
      <w:jc w:val="left"/>
    </w:pPr>
    <w:rPr>
      <w:rFonts w:ascii="宋体"/>
      <w:kern w:val="0"/>
      <w:sz w:val="20"/>
      <w:lang w:val="zh-CN"/>
    </w:rPr>
  </w:style>
  <w:style w:type="paragraph" w:customStyle="1" w:styleId="191">
    <w:name w:val="样式 标题 1-*+章标题 11.标题 1h11st levelSection Headl1b1H1Head..."/>
    <w:basedOn w:val="3"/>
    <w:qFormat/>
    <w:uiPriority w:val="0"/>
    <w:pPr>
      <w:tabs>
        <w:tab w:val="left" w:pos="432"/>
      </w:tabs>
      <w:snapToGrid/>
      <w:ind w:left="432" w:hanging="432"/>
      <w:jc w:val="left"/>
    </w:pPr>
    <w:rPr>
      <w:rFonts w:ascii="宋体" w:hAnsi="宋体" w:eastAsia="宋体" w:cs="宋体"/>
      <w:b/>
      <w:bCs/>
      <w:color w:val="000000"/>
      <w:kern w:val="2"/>
      <w:sz w:val="32"/>
    </w:rPr>
  </w:style>
  <w:style w:type="paragraph" w:customStyle="1" w:styleId="192">
    <w:name w:val="标题2"/>
    <w:basedOn w:val="1"/>
    <w:qFormat/>
    <w:uiPriority w:val="0"/>
    <w:rPr>
      <w:rFonts w:ascii="宋体" w:hAnsi="宋体"/>
      <w:b/>
      <w:kern w:val="0"/>
      <w:sz w:val="24"/>
      <w:szCs w:val="24"/>
    </w:rPr>
  </w:style>
  <w:style w:type="paragraph" w:customStyle="1" w:styleId="193">
    <w:name w:val="标准文本 居中 行距1.5倍"/>
    <w:basedOn w:val="1"/>
    <w:qFormat/>
    <w:uiPriority w:val="0"/>
    <w:pPr>
      <w:widowControl/>
      <w:spacing w:line="360" w:lineRule="auto"/>
      <w:jc w:val="center"/>
      <w:textAlignment w:val="center"/>
    </w:pPr>
    <w:rPr>
      <w:rFonts w:ascii="Calibri" w:hAnsi="Calibri" w:cs="宋体"/>
      <w:kern w:val="0"/>
      <w:sz w:val="24"/>
      <w:szCs w:val="22"/>
    </w:rPr>
  </w:style>
  <w:style w:type="paragraph" w:customStyle="1" w:styleId="194">
    <w:name w:val="公式 首行缩进:  2 字符"/>
    <w:basedOn w:val="1"/>
    <w:qFormat/>
    <w:uiPriority w:val="0"/>
    <w:pPr>
      <w:widowControl/>
      <w:ind w:firstLine="200" w:firstLineChars="200"/>
      <w:jc w:val="left"/>
      <w:textAlignment w:val="center"/>
    </w:pPr>
    <w:rPr>
      <w:rFonts w:ascii="Calibri" w:hAnsi="Calibri" w:cs="宋体"/>
      <w:kern w:val="0"/>
      <w:sz w:val="24"/>
      <w:szCs w:val="22"/>
    </w:rPr>
  </w:style>
  <w:style w:type="paragraph" w:customStyle="1" w:styleId="195">
    <w:name w:val="五号表格"/>
    <w:basedOn w:val="1"/>
    <w:qFormat/>
    <w:uiPriority w:val="0"/>
    <w:pPr>
      <w:jc w:val="center"/>
    </w:pPr>
    <w:rPr>
      <w:szCs w:val="24"/>
    </w:rPr>
  </w:style>
  <w:style w:type="paragraph" w:customStyle="1" w:styleId="196">
    <w:name w:val="xl24"/>
    <w:basedOn w:val="1"/>
    <w:qFormat/>
    <w:uiPriority w:val="0"/>
    <w:pPr>
      <w:widowControl/>
      <w:spacing w:before="100" w:beforeAutospacing="1" w:after="100" w:afterAutospacing="1"/>
      <w:jc w:val="center"/>
      <w:textAlignment w:val="center"/>
    </w:pPr>
    <w:rPr>
      <w:rFonts w:hint="eastAsia" w:ascii="仿宋_GB2312" w:hAnsi="Arial Unicode MS" w:eastAsia="仿宋_GB2312"/>
      <w:kern w:val="0"/>
      <w:sz w:val="20"/>
    </w:rPr>
  </w:style>
  <w:style w:type="paragraph" w:customStyle="1" w:styleId="197">
    <w:name w:val="四级标题"/>
    <w:basedOn w:val="1"/>
    <w:qFormat/>
    <w:uiPriority w:val="0"/>
    <w:pPr>
      <w:keepNext/>
      <w:widowControl/>
      <w:tabs>
        <w:tab w:val="left" w:pos="360"/>
        <w:tab w:val="left" w:pos="1005"/>
      </w:tabs>
      <w:spacing w:before="194" w:after="194"/>
      <w:ind w:left="1005" w:hanging="435"/>
      <w:jc w:val="center"/>
      <w:outlineLvl w:val="3"/>
    </w:pPr>
    <w:rPr>
      <w:rFonts w:ascii="Calibri" w:hAnsi="Calibri"/>
      <w:b/>
      <w:spacing w:val="16"/>
      <w:kern w:val="0"/>
      <w:sz w:val="24"/>
      <w:szCs w:val="32"/>
    </w:rPr>
  </w:style>
  <w:style w:type="paragraph" w:customStyle="1" w:styleId="198">
    <w:name w:val="Char1"/>
    <w:basedOn w:val="1"/>
    <w:qFormat/>
    <w:uiPriority w:val="0"/>
    <w:pPr>
      <w:widowControl/>
      <w:snapToGrid w:val="0"/>
      <w:spacing w:line="360" w:lineRule="auto"/>
      <w:ind w:firstLine="200" w:firstLineChars="200"/>
      <w:jc w:val="left"/>
    </w:pPr>
    <w:rPr>
      <w:rFonts w:ascii="Calibri" w:hAnsi="Calibri" w:eastAsia="仿宋_GB2312"/>
      <w:kern w:val="0"/>
      <w:sz w:val="24"/>
      <w:szCs w:val="22"/>
    </w:rPr>
  </w:style>
  <w:style w:type="paragraph" w:customStyle="1" w:styleId="199">
    <w:name w:val="文字"/>
    <w:basedOn w:val="1"/>
    <w:link w:val="742"/>
    <w:qFormat/>
    <w:uiPriority w:val="0"/>
    <w:pPr>
      <w:widowControl/>
      <w:spacing w:before="50" w:beforeLines="50" w:after="50" w:afterLines="50" w:line="360" w:lineRule="auto"/>
      <w:ind w:firstLine="200" w:firstLineChars="200"/>
    </w:pPr>
    <w:rPr>
      <w:sz w:val="24"/>
      <w:szCs w:val="24"/>
    </w:rPr>
  </w:style>
  <w:style w:type="paragraph" w:customStyle="1" w:styleId="200">
    <w:name w:val="表头小4-lcc"/>
    <w:basedOn w:val="201"/>
    <w:qFormat/>
    <w:uiPriority w:val="0"/>
    <w:rPr>
      <w:sz w:val="24"/>
    </w:rPr>
  </w:style>
  <w:style w:type="paragraph" w:customStyle="1" w:styleId="201">
    <w:name w:val="表头lcc"/>
    <w:basedOn w:val="202"/>
    <w:qFormat/>
    <w:uiPriority w:val="0"/>
    <w:rPr>
      <w:rFonts w:ascii="Calibri" w:hAnsi="Calibri"/>
      <w:szCs w:val="22"/>
    </w:rPr>
  </w:style>
  <w:style w:type="paragraph" w:customStyle="1" w:styleId="202">
    <w:name w:val="已有表格"/>
    <w:basedOn w:val="1"/>
    <w:qFormat/>
    <w:uiPriority w:val="0"/>
    <w:pPr>
      <w:adjustRightInd w:val="0"/>
      <w:spacing w:before="40" w:after="40"/>
      <w:jc w:val="center"/>
      <w:textAlignment w:val="baseline"/>
    </w:pPr>
    <w:rPr>
      <w:b/>
      <w:kern w:val="0"/>
    </w:rPr>
  </w:style>
  <w:style w:type="paragraph" w:customStyle="1" w:styleId="203">
    <w:name w:val="Char Char Char Char Char Char Char Char Char1 Char Char Char Char"/>
    <w:basedOn w:val="1"/>
    <w:qFormat/>
    <w:uiPriority w:val="0"/>
    <w:rPr>
      <w:szCs w:val="21"/>
    </w:rPr>
  </w:style>
  <w:style w:type="paragraph" w:customStyle="1" w:styleId="204">
    <w:name w:val="样式 列表 + 左侧:  0 厘米 悬挂缩进: 2 字符"/>
    <w:basedOn w:val="42"/>
    <w:qFormat/>
    <w:uiPriority w:val="0"/>
    <w:pPr>
      <w:keepNext/>
      <w:tabs>
        <w:tab w:val="center" w:pos="4153"/>
        <w:tab w:val="right" w:pos="8306"/>
      </w:tabs>
      <w:adjustRightInd w:val="0"/>
      <w:snapToGrid w:val="0"/>
      <w:spacing w:before="240" w:line="240" w:lineRule="exact"/>
      <w:ind w:left="0" w:firstLine="0" w:firstLineChars="0"/>
      <w:jc w:val="center"/>
      <w:textAlignment w:val="baseline"/>
    </w:pPr>
    <w:rPr>
      <w:rFonts w:ascii="宋体" w:hAnsi="宋体"/>
      <w:bCs/>
      <w:kern w:val="0"/>
      <w:sz w:val="24"/>
      <w:szCs w:val="21"/>
    </w:rPr>
  </w:style>
  <w:style w:type="paragraph" w:customStyle="1" w:styleId="205">
    <w:name w:val="Char"/>
    <w:basedOn w:val="1"/>
    <w:qFormat/>
    <w:uiPriority w:val="0"/>
    <w:rPr>
      <w:sz w:val="24"/>
    </w:rPr>
  </w:style>
  <w:style w:type="paragraph" w:customStyle="1" w:styleId="206">
    <w:name w:val="标题四最终"/>
    <w:basedOn w:val="207"/>
    <w:qFormat/>
    <w:uiPriority w:val="0"/>
    <w:pPr>
      <w:tabs>
        <w:tab w:val="left" w:pos="864"/>
        <w:tab w:val="left" w:pos="1800"/>
      </w:tabs>
      <w:spacing w:before="156"/>
      <w:ind w:left="864" w:hanging="864"/>
      <w:outlineLvl w:val="3"/>
    </w:pPr>
    <w:rPr>
      <w:rFonts w:hAnsi="Times New Roman"/>
    </w:rPr>
  </w:style>
  <w:style w:type="paragraph" w:customStyle="1" w:styleId="207">
    <w:name w:val="标题三最终"/>
    <w:basedOn w:val="1"/>
    <w:qFormat/>
    <w:uiPriority w:val="0"/>
    <w:pPr>
      <w:keepNext/>
      <w:keepLines/>
      <w:tabs>
        <w:tab w:val="left" w:pos="1800"/>
      </w:tabs>
      <w:adjustRightInd w:val="0"/>
      <w:snapToGrid w:val="0"/>
      <w:spacing w:before="50" w:beforeLines="50" w:line="360" w:lineRule="auto"/>
      <w:ind w:left="1800" w:hanging="720"/>
      <w:jc w:val="left"/>
      <w:outlineLvl w:val="2"/>
    </w:pPr>
    <w:rPr>
      <w:rFonts w:hAnsi="宋体"/>
      <w:b/>
      <w:bCs/>
      <w:snapToGrid w:val="0"/>
      <w:sz w:val="28"/>
      <w:szCs w:val="28"/>
    </w:rPr>
  </w:style>
  <w:style w:type="paragraph" w:customStyle="1" w:styleId="208">
    <w:name w:val="表格"/>
    <w:basedOn w:val="1"/>
    <w:link w:val="650"/>
    <w:qFormat/>
    <w:uiPriority w:val="0"/>
    <w:pPr>
      <w:widowControl/>
      <w:adjustRightInd w:val="0"/>
      <w:spacing w:line="320" w:lineRule="atLeast"/>
      <w:ind w:right="-102" w:hanging="108"/>
      <w:jc w:val="center"/>
      <w:textAlignment w:val="baseline"/>
    </w:pPr>
    <w:rPr>
      <w:rFonts w:ascii="Calibri" w:hAnsi="Calibri"/>
      <w:kern w:val="0"/>
      <w:sz w:val="24"/>
    </w:rPr>
  </w:style>
  <w:style w:type="paragraph" w:customStyle="1" w:styleId="209">
    <w:name w:val="样式 样式 正文缩进正文（首行缩进两字）文本条款 + 段前: 0.4 行 + 非加粗"/>
    <w:basedOn w:val="189"/>
    <w:qFormat/>
    <w:uiPriority w:val="0"/>
    <w:pPr>
      <w:tabs>
        <w:tab w:val="left" w:pos="780"/>
      </w:tabs>
      <w:ind w:left="780" w:hanging="360"/>
    </w:pPr>
    <w:rPr>
      <w:rFonts w:eastAsia="宋体"/>
      <w:b w:val="0"/>
      <w:sz w:val="24"/>
      <w:szCs w:val="24"/>
    </w:rPr>
  </w:style>
  <w:style w:type="paragraph" w:customStyle="1" w:styleId="210">
    <w:name w:val="图表"/>
    <w:basedOn w:val="1"/>
    <w:link w:val="564"/>
    <w:qFormat/>
    <w:uiPriority w:val="0"/>
    <w:pPr>
      <w:adjustRightInd w:val="0"/>
      <w:snapToGrid w:val="0"/>
      <w:jc w:val="center"/>
    </w:pPr>
    <w:rPr>
      <w:color w:val="000000"/>
      <w:szCs w:val="22"/>
      <w:lang w:val="zh-CN"/>
    </w:rPr>
  </w:style>
  <w:style w:type="paragraph" w:customStyle="1" w:styleId="211">
    <w:name w:val="文本框"/>
    <w:basedOn w:val="1"/>
    <w:qFormat/>
    <w:uiPriority w:val="0"/>
    <w:pPr>
      <w:spacing w:line="240" w:lineRule="atLeast"/>
    </w:pPr>
    <w:rPr>
      <w:rFonts w:ascii="宋体"/>
    </w:rPr>
  </w:style>
  <w:style w:type="paragraph" w:customStyle="1" w:styleId="212">
    <w:name w:val="默认段落字体 Para Char Char Char Char Char Char Char Char Char Char Char Char Char"/>
    <w:basedOn w:val="1"/>
    <w:qFormat/>
    <w:uiPriority w:val="0"/>
    <w:rPr>
      <w:sz w:val="24"/>
    </w:rPr>
  </w:style>
  <w:style w:type="paragraph" w:customStyle="1" w:styleId="213">
    <w:name w:val="样式 报告正文 + 首行缩进:  2 字符"/>
    <w:basedOn w:val="1"/>
    <w:link w:val="626"/>
    <w:qFormat/>
    <w:uiPriority w:val="0"/>
    <w:pPr>
      <w:widowControl/>
      <w:autoSpaceDE w:val="0"/>
      <w:autoSpaceDN w:val="0"/>
      <w:spacing w:line="360" w:lineRule="auto"/>
      <w:ind w:firstLine="200" w:firstLineChars="200"/>
      <w:jc w:val="left"/>
    </w:pPr>
    <w:rPr>
      <w:rFonts w:cs="宋体"/>
      <w:sz w:val="24"/>
    </w:rPr>
  </w:style>
  <w:style w:type="paragraph" w:customStyle="1" w:styleId="214">
    <w:name w:val="表格文字"/>
    <w:basedOn w:val="1"/>
    <w:link w:val="580"/>
    <w:qFormat/>
    <w:uiPriority w:val="0"/>
    <w:pPr>
      <w:adjustRightInd w:val="0"/>
      <w:snapToGrid w:val="0"/>
      <w:jc w:val="center"/>
    </w:pPr>
    <w:rPr>
      <w:rFonts w:ascii="仿宋_GB2312" w:hAnsi="Arial Black" w:eastAsia="仿宋_GB2312"/>
      <w:kern w:val="44"/>
      <w:sz w:val="24"/>
    </w:rPr>
  </w:style>
  <w:style w:type="paragraph" w:customStyle="1" w:styleId="215">
    <w:name w:val="样式 目录 1 + 首行缩进:  2 字符"/>
    <w:basedOn w:val="39"/>
    <w:qFormat/>
    <w:uiPriority w:val="0"/>
    <w:pPr>
      <w:adjustRightInd w:val="0"/>
      <w:snapToGrid w:val="0"/>
      <w:spacing w:line="360" w:lineRule="auto"/>
    </w:pPr>
    <w:rPr>
      <w:rFonts w:cs="宋体"/>
      <w:b w:val="0"/>
      <w:bCs w:val="0"/>
      <w:caps w:val="0"/>
      <w:sz w:val="20"/>
      <w:szCs w:val="20"/>
    </w:rPr>
  </w:style>
  <w:style w:type="paragraph" w:customStyle="1" w:styleId="216">
    <w:name w:val="样式 黑体 三号 居中 行距: 单倍行距"/>
    <w:basedOn w:val="1"/>
    <w:qFormat/>
    <w:uiPriority w:val="0"/>
    <w:pPr>
      <w:widowControl/>
      <w:jc w:val="center"/>
    </w:pPr>
    <w:rPr>
      <w:rFonts w:ascii="黑体" w:hAnsi="Calibri" w:eastAsia="黑体" w:cs="宋体"/>
      <w:kern w:val="0"/>
      <w:sz w:val="32"/>
    </w:rPr>
  </w:style>
  <w:style w:type="paragraph" w:customStyle="1" w:styleId="217">
    <w:name w:val="报告表格"/>
    <w:basedOn w:val="1"/>
    <w:qFormat/>
    <w:uiPriority w:val="0"/>
    <w:pPr>
      <w:autoSpaceDE w:val="0"/>
      <w:autoSpaceDN w:val="0"/>
      <w:adjustRightInd w:val="0"/>
      <w:spacing w:before="40" w:after="40"/>
      <w:jc w:val="center"/>
    </w:pPr>
    <w:rPr>
      <w:kern w:val="0"/>
    </w:rPr>
  </w:style>
  <w:style w:type="paragraph" w:customStyle="1" w:styleId="218">
    <w:name w:val="xl23"/>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eastAsia="Arial Unicode MS"/>
      <w:kern w:val="0"/>
      <w:sz w:val="24"/>
      <w:szCs w:val="22"/>
    </w:rPr>
  </w:style>
  <w:style w:type="paragraph" w:customStyle="1" w:styleId="219">
    <w:name w:val="三级条标题"/>
    <w:basedOn w:val="1"/>
    <w:next w:val="1"/>
    <w:qFormat/>
    <w:uiPriority w:val="0"/>
    <w:pPr>
      <w:widowControl/>
      <w:tabs>
        <w:tab w:val="left" w:pos="360"/>
        <w:tab w:val="left" w:pos="1820"/>
        <w:tab w:val="left" w:pos="2100"/>
        <w:tab w:val="left" w:pos="2240"/>
        <w:tab w:val="left" w:pos="2660"/>
      </w:tabs>
      <w:ind w:left="2660" w:hanging="420"/>
      <w:jc w:val="left"/>
      <w:outlineLvl w:val="4"/>
    </w:pPr>
    <w:rPr>
      <w:rFonts w:ascii="黑体" w:hAnsi="Calibri" w:eastAsia="黑体"/>
      <w:kern w:val="0"/>
      <w:sz w:val="22"/>
    </w:rPr>
  </w:style>
  <w:style w:type="paragraph" w:customStyle="1" w:styleId="220">
    <w:name w:val="Char2 Char Char Char Char Char Char Char Char Char Char Char Char Char Char Char Char Char Char Char Char Char"/>
    <w:basedOn w:val="1"/>
    <w:qFormat/>
    <w:uiPriority w:val="0"/>
    <w:pPr>
      <w:snapToGrid w:val="0"/>
      <w:spacing w:line="360" w:lineRule="auto"/>
      <w:ind w:firstLine="200" w:firstLineChars="200"/>
    </w:pPr>
    <w:rPr>
      <w:rFonts w:eastAsia="仿宋_GB2312"/>
      <w:sz w:val="24"/>
      <w:szCs w:val="24"/>
    </w:rPr>
  </w:style>
  <w:style w:type="paragraph" w:customStyle="1" w:styleId="221">
    <w:name w:val="样式 首行缩进:  2 字符1"/>
    <w:basedOn w:val="1"/>
    <w:qFormat/>
    <w:uiPriority w:val="0"/>
    <w:pPr>
      <w:widowControl/>
      <w:spacing w:line="400" w:lineRule="exact"/>
      <w:ind w:firstLine="200" w:firstLineChars="200"/>
      <w:jc w:val="left"/>
      <w:textAlignment w:val="center"/>
    </w:pPr>
    <w:rPr>
      <w:rFonts w:ascii="Calibri" w:hAnsi="Calibri" w:cs="宋体"/>
      <w:kern w:val="0"/>
      <w:sz w:val="24"/>
    </w:rPr>
  </w:style>
  <w:style w:type="paragraph" w:customStyle="1" w:styleId="222">
    <w:name w:val="项目编号"/>
    <w:basedOn w:val="1"/>
    <w:next w:val="1"/>
    <w:qFormat/>
    <w:uiPriority w:val="0"/>
    <w:pPr>
      <w:widowControl/>
      <w:spacing w:before="120" w:after="120" w:line="360" w:lineRule="auto"/>
      <w:jc w:val="left"/>
    </w:pPr>
    <w:rPr>
      <w:rFonts w:ascii="Calibri" w:hAnsi="Calibri"/>
      <w:kern w:val="0"/>
      <w:sz w:val="24"/>
    </w:rPr>
  </w:style>
  <w:style w:type="paragraph" w:customStyle="1" w:styleId="223">
    <w:name w:val="表格 首行：0字符"/>
    <w:basedOn w:val="1"/>
    <w:qFormat/>
    <w:uiPriority w:val="0"/>
    <w:pPr>
      <w:keepNext/>
      <w:widowControl/>
      <w:adjustRightInd w:val="0"/>
      <w:snapToGrid w:val="0"/>
      <w:jc w:val="left"/>
      <w:textAlignment w:val="baseline"/>
    </w:pPr>
    <w:rPr>
      <w:rFonts w:ascii="Calibri" w:hAnsi="Calibri" w:cs="宋体"/>
      <w:kern w:val="0"/>
      <w:sz w:val="22"/>
      <w:szCs w:val="21"/>
    </w:rPr>
  </w:style>
  <w:style w:type="paragraph" w:customStyle="1" w:styleId="224">
    <w:name w:val="环评副标题"/>
    <w:basedOn w:val="1"/>
    <w:qFormat/>
    <w:uiPriority w:val="0"/>
    <w:pPr>
      <w:widowControl/>
      <w:jc w:val="center"/>
    </w:pPr>
    <w:rPr>
      <w:rFonts w:ascii="Calibri" w:hAnsi="Calibri" w:cs="宋体"/>
      <w:kern w:val="0"/>
      <w:sz w:val="44"/>
    </w:rPr>
  </w:style>
  <w:style w:type="paragraph" w:customStyle="1" w:styleId="225">
    <w:name w:val="my1"/>
    <w:basedOn w:val="39"/>
    <w:qFormat/>
    <w:uiPriority w:val="0"/>
    <w:pPr>
      <w:tabs>
        <w:tab w:val="left" w:pos="360"/>
        <w:tab w:val="right" w:leader="dot" w:pos="9061"/>
        <w:tab w:val="clear" w:pos="630"/>
        <w:tab w:val="clear" w:pos="8511"/>
      </w:tabs>
      <w:spacing w:line="300" w:lineRule="auto"/>
    </w:pPr>
    <w:rPr>
      <w:rFonts w:ascii="仿宋_GB2312" w:hAnsi="华文细黑" w:eastAsia="仿宋_GB2312"/>
      <w:bCs w:val="0"/>
      <w:sz w:val="20"/>
    </w:rPr>
  </w:style>
  <w:style w:type="paragraph" w:customStyle="1" w:styleId="226">
    <w:name w:val="tt1"/>
    <w:basedOn w:val="1"/>
    <w:qFormat/>
    <w:uiPriority w:val="0"/>
    <w:pPr>
      <w:widowControl/>
      <w:spacing w:before="100" w:beforeAutospacing="1" w:after="100" w:afterAutospacing="1"/>
      <w:jc w:val="left"/>
    </w:pPr>
    <w:rPr>
      <w:rFonts w:ascii="宋体" w:hAnsi="宋体"/>
      <w:kern w:val="0"/>
      <w:sz w:val="24"/>
      <w:szCs w:val="24"/>
    </w:rPr>
  </w:style>
  <w:style w:type="paragraph" w:customStyle="1" w:styleId="227">
    <w:name w:val="font5"/>
    <w:basedOn w:val="1"/>
    <w:qFormat/>
    <w:uiPriority w:val="0"/>
    <w:pPr>
      <w:widowControl/>
      <w:spacing w:before="100" w:beforeAutospacing="1" w:after="100" w:afterAutospacing="1"/>
      <w:jc w:val="left"/>
    </w:pPr>
    <w:rPr>
      <w:rFonts w:hint="eastAsia" w:ascii="宋体" w:hAnsi="宋体"/>
      <w:kern w:val="0"/>
      <w:sz w:val="18"/>
      <w:szCs w:val="18"/>
    </w:rPr>
  </w:style>
  <w:style w:type="paragraph" w:customStyle="1" w:styleId="228">
    <w:name w:val="表中文字"/>
    <w:basedOn w:val="229"/>
    <w:qFormat/>
    <w:uiPriority w:val="0"/>
    <w:pPr>
      <w:keepNext/>
      <w:keepLines/>
      <w:spacing w:before="0" w:after="0" w:line="360" w:lineRule="exact"/>
      <w:ind w:firstLine="0" w:firstLineChars="0"/>
      <w:jc w:val="center"/>
    </w:pPr>
    <w:rPr>
      <w:sz w:val="21"/>
      <w:szCs w:val="44"/>
    </w:rPr>
  </w:style>
  <w:style w:type="paragraph" w:customStyle="1" w:styleId="229">
    <w:name w:val="环评正文"/>
    <w:basedOn w:val="3"/>
    <w:qFormat/>
    <w:uiPriority w:val="0"/>
    <w:pPr>
      <w:keepNext w:val="0"/>
      <w:keepLines w:val="0"/>
      <w:widowControl/>
      <w:snapToGrid/>
      <w:spacing w:before="60" w:after="60" w:line="400" w:lineRule="exact"/>
      <w:ind w:firstLine="480" w:firstLineChars="200"/>
      <w:jc w:val="left"/>
      <w:outlineLvl w:val="9"/>
    </w:pPr>
    <w:rPr>
      <w:rFonts w:ascii="Cambria" w:hAnsi="Cambria" w:eastAsia="宋体"/>
      <w:bCs/>
      <w:color w:val="21798E"/>
      <w:kern w:val="0"/>
      <w:sz w:val="24"/>
      <w:szCs w:val="24"/>
    </w:rPr>
  </w:style>
  <w:style w:type="paragraph" w:customStyle="1" w:styleId="230">
    <w:name w:val="xl28"/>
    <w:basedOn w:val="1"/>
    <w:qFormat/>
    <w:uiPriority w:val="0"/>
    <w:pPr>
      <w:widowControl/>
      <w:pBdr>
        <w:top w:val="single" w:color="auto" w:sz="8" w:space="0"/>
        <w:left w:val="single" w:color="auto" w:sz="8" w:space="0"/>
        <w:bottom w:val="single" w:color="auto" w:sz="8" w:space="0"/>
        <w:right w:val="single" w:color="auto" w:sz="8" w:space="0"/>
      </w:pBdr>
      <w:spacing w:before="100" w:beforeAutospacing="1" w:after="100" w:afterAutospacing="1"/>
      <w:jc w:val="center"/>
    </w:pPr>
    <w:rPr>
      <w:rFonts w:ascii="Calibri" w:hAnsi="Calibri"/>
      <w:kern w:val="0"/>
      <w:sz w:val="20"/>
    </w:rPr>
  </w:style>
  <w:style w:type="paragraph" w:customStyle="1" w:styleId="231">
    <w:name w:val="0"/>
    <w:basedOn w:val="1"/>
    <w:qFormat/>
    <w:uiPriority w:val="0"/>
    <w:pPr>
      <w:widowControl/>
      <w:spacing w:before="100" w:beforeAutospacing="1" w:after="100" w:afterAutospacing="1"/>
      <w:jc w:val="left"/>
    </w:pPr>
    <w:rPr>
      <w:rFonts w:ascii="宋体" w:hAnsi="宋体" w:cs="宋体"/>
      <w:kern w:val="0"/>
      <w:sz w:val="24"/>
      <w:szCs w:val="24"/>
    </w:rPr>
  </w:style>
  <w:style w:type="paragraph" w:customStyle="1" w:styleId="232">
    <w:name w:val="Char Char Char Char Char Char Char Char Char Char"/>
    <w:basedOn w:val="1"/>
    <w:qFormat/>
    <w:uiPriority w:val="0"/>
  </w:style>
  <w:style w:type="paragraph" w:customStyle="1" w:styleId="233">
    <w:name w:val="文"/>
    <w:basedOn w:val="6"/>
    <w:qFormat/>
    <w:uiPriority w:val="0"/>
    <w:pPr>
      <w:keepNext w:val="0"/>
      <w:keepLines w:val="0"/>
      <w:numPr>
        <w:ilvl w:val="0"/>
        <w:numId w:val="0"/>
      </w:numPr>
      <w:tabs>
        <w:tab w:val="clear" w:pos="2126"/>
      </w:tabs>
      <w:spacing w:before="0" w:after="0" w:line="360" w:lineRule="auto"/>
      <w:ind w:firstLine="480" w:firstLineChars="200"/>
      <w:outlineLvl w:val="9"/>
    </w:pPr>
    <w:rPr>
      <w:b w:val="0"/>
      <w:sz w:val="24"/>
      <w:szCs w:val="24"/>
    </w:rPr>
  </w:style>
  <w:style w:type="paragraph" w:customStyle="1" w:styleId="234">
    <w:name w:val="Char Char Char Char Char Char Char Char Char Char Char Char Char Char Char2 Char Char Char Char"/>
    <w:basedOn w:val="1"/>
    <w:qFormat/>
    <w:uiPriority w:val="0"/>
    <w:rPr>
      <w:szCs w:val="24"/>
    </w:rPr>
  </w:style>
  <w:style w:type="paragraph" w:customStyle="1" w:styleId="235">
    <w:name w:val="A正文"/>
    <w:basedOn w:val="1"/>
    <w:link w:val="737"/>
    <w:qFormat/>
    <w:uiPriority w:val="0"/>
    <w:pPr>
      <w:widowControl/>
      <w:spacing w:line="360" w:lineRule="auto"/>
      <w:ind w:firstLine="480" w:firstLineChars="200"/>
      <w:jc w:val="left"/>
    </w:pPr>
    <w:rPr>
      <w:kern w:val="0"/>
      <w:sz w:val="24"/>
      <w:szCs w:val="24"/>
    </w:rPr>
  </w:style>
  <w:style w:type="paragraph" w:customStyle="1" w:styleId="236">
    <w:name w:val="样式 目录 2 + 首行缩进:  2 字符"/>
    <w:basedOn w:val="46"/>
    <w:qFormat/>
    <w:uiPriority w:val="0"/>
    <w:pPr>
      <w:tabs>
        <w:tab w:val="left" w:pos="1200"/>
        <w:tab w:val="clear" w:pos="840"/>
        <w:tab w:val="clear" w:pos="8511"/>
      </w:tabs>
    </w:pPr>
    <w:rPr>
      <w:rFonts w:cs="宋体"/>
      <w:smallCaps w:val="0"/>
      <w:sz w:val="20"/>
      <w:szCs w:val="20"/>
    </w:rPr>
  </w:style>
  <w:style w:type="paragraph" w:customStyle="1" w:styleId="237">
    <w:name w:val="表内式样"/>
    <w:qFormat/>
    <w:uiPriority w:val="0"/>
    <w:pPr>
      <w:widowControl w:val="0"/>
      <w:adjustRightInd w:val="0"/>
      <w:spacing w:after="200" w:line="276" w:lineRule="auto"/>
      <w:jc w:val="center"/>
      <w:textAlignment w:val="baseline"/>
    </w:pPr>
    <w:rPr>
      <w:rFonts w:ascii="宋体" w:hAnsi="宋体" w:eastAsia="宋体" w:cs="Times New Roman"/>
      <w:kern w:val="2"/>
      <w:sz w:val="21"/>
      <w:szCs w:val="21"/>
      <w:lang w:val="en-US" w:eastAsia="zh-CN" w:bidi="ar-SA"/>
    </w:rPr>
  </w:style>
  <w:style w:type="paragraph" w:customStyle="1" w:styleId="238">
    <w:name w:val="样式 标题 1标题 1 Char Char Char标题 1 Char Char Char Char标题 11 Char...2"/>
    <w:basedOn w:val="3"/>
    <w:qFormat/>
    <w:uiPriority w:val="0"/>
    <w:pPr>
      <w:keepLines w:val="0"/>
      <w:snapToGrid/>
      <w:spacing w:line="480" w:lineRule="exact"/>
      <w:ind w:firstLine="200" w:firstLineChars="200"/>
      <w:jc w:val="center"/>
    </w:pPr>
    <w:rPr>
      <w:rFonts w:ascii="宋体" w:hAnsi="宋体" w:eastAsia="宋体" w:cs="宋体"/>
      <w:b/>
      <w:bCs/>
      <w:kern w:val="2"/>
      <w:sz w:val="32"/>
    </w:rPr>
  </w:style>
  <w:style w:type="paragraph" w:customStyle="1" w:styleId="239">
    <w:name w:val="xl30"/>
    <w:basedOn w:val="1"/>
    <w:qFormat/>
    <w:uiPriority w:val="0"/>
    <w:pPr>
      <w:widowControl/>
      <w:pBdr>
        <w:top w:val="single" w:color="auto" w:sz="8" w:space="0"/>
        <w:left w:val="single" w:color="auto" w:sz="8" w:space="0"/>
        <w:bottom w:val="single" w:color="auto" w:sz="8" w:space="0"/>
        <w:right w:val="single" w:color="auto" w:sz="8" w:space="0"/>
      </w:pBdr>
      <w:spacing w:before="100" w:beforeAutospacing="1" w:after="100" w:afterAutospacing="1"/>
      <w:jc w:val="center"/>
    </w:pPr>
    <w:rPr>
      <w:rFonts w:ascii="宋体" w:hAnsi="宋体"/>
      <w:kern w:val="0"/>
      <w:sz w:val="20"/>
    </w:rPr>
  </w:style>
  <w:style w:type="paragraph" w:customStyle="1" w:styleId="240">
    <w:name w:val="CM75"/>
    <w:basedOn w:val="1"/>
    <w:next w:val="1"/>
    <w:qFormat/>
    <w:uiPriority w:val="0"/>
    <w:pPr>
      <w:autoSpaceDE w:val="0"/>
      <w:autoSpaceDN w:val="0"/>
      <w:adjustRightInd w:val="0"/>
      <w:spacing w:after="60"/>
      <w:jc w:val="left"/>
    </w:pPr>
    <w:rPr>
      <w:rFonts w:ascii="Sim Sun+ 2" w:eastAsia="Sim Sun+ 2" w:cs="Sim Sun+ 2"/>
      <w:kern w:val="0"/>
      <w:sz w:val="24"/>
      <w:szCs w:val="24"/>
    </w:rPr>
  </w:style>
  <w:style w:type="paragraph" w:customStyle="1" w:styleId="241">
    <w:name w:val="Pa10"/>
    <w:basedOn w:val="1"/>
    <w:next w:val="1"/>
    <w:qFormat/>
    <w:uiPriority w:val="0"/>
    <w:pPr>
      <w:widowControl/>
      <w:autoSpaceDE w:val="0"/>
      <w:autoSpaceDN w:val="0"/>
      <w:adjustRightInd w:val="0"/>
      <w:spacing w:before="60" w:after="60" w:line="211" w:lineRule="atLeast"/>
      <w:jc w:val="left"/>
    </w:pPr>
    <w:rPr>
      <w:rFonts w:ascii="Wingdings" w:hAnsi="Wingdings"/>
      <w:kern w:val="0"/>
      <w:sz w:val="24"/>
      <w:szCs w:val="22"/>
    </w:rPr>
  </w:style>
  <w:style w:type="paragraph" w:customStyle="1" w:styleId="242">
    <w:name w:val="xl35"/>
    <w:basedOn w:val="1"/>
    <w:qFormat/>
    <w:uiPriority w:val="0"/>
    <w:pPr>
      <w:widowControl/>
      <w:pBdr>
        <w:top w:val="single" w:color="auto" w:sz="8" w:space="0"/>
        <w:left w:val="single" w:color="auto" w:sz="8" w:space="0"/>
        <w:bottom w:val="single" w:color="auto" w:sz="8" w:space="0"/>
        <w:right w:val="single" w:color="auto" w:sz="8" w:space="0"/>
      </w:pBdr>
      <w:spacing w:before="100" w:beforeAutospacing="1" w:after="100" w:afterAutospacing="1"/>
      <w:jc w:val="center"/>
    </w:pPr>
    <w:rPr>
      <w:rFonts w:ascii="宋体" w:hAnsi="宋体"/>
      <w:kern w:val="0"/>
      <w:sz w:val="20"/>
    </w:rPr>
  </w:style>
  <w:style w:type="paragraph" w:customStyle="1" w:styleId="243">
    <w:name w:val="_Style 235"/>
    <w:basedOn w:val="3"/>
    <w:next w:val="1"/>
    <w:qFormat/>
    <w:uiPriority w:val="0"/>
    <w:pPr>
      <w:widowControl/>
      <w:snapToGrid/>
      <w:spacing w:before="480" w:line="240" w:lineRule="auto"/>
      <w:jc w:val="left"/>
      <w:outlineLvl w:val="9"/>
    </w:pPr>
    <w:rPr>
      <w:rFonts w:ascii="Cambria" w:hAnsi="Cambria" w:eastAsia="宋体"/>
      <w:b/>
      <w:bCs/>
      <w:color w:val="21798E"/>
      <w:kern w:val="0"/>
      <w:szCs w:val="28"/>
    </w:rPr>
  </w:style>
  <w:style w:type="paragraph" w:customStyle="1" w:styleId="244">
    <w:name w:val="表格文字2"/>
    <w:basedOn w:val="1"/>
    <w:qFormat/>
    <w:uiPriority w:val="0"/>
    <w:pPr>
      <w:widowControl/>
      <w:adjustRightInd w:val="0"/>
      <w:snapToGrid w:val="0"/>
      <w:spacing w:before="20"/>
      <w:jc w:val="center"/>
      <w:textAlignment w:val="baseline"/>
    </w:pPr>
    <w:rPr>
      <w:rFonts w:ascii="Arial" w:hAnsi="Arial"/>
      <w:kern w:val="0"/>
      <w:sz w:val="22"/>
      <w:szCs w:val="21"/>
    </w:rPr>
  </w:style>
  <w:style w:type="paragraph" w:customStyle="1" w:styleId="245">
    <w:name w:val="Char Char3 Char"/>
    <w:basedOn w:val="1"/>
    <w:next w:val="1"/>
    <w:qFormat/>
    <w:uiPriority w:val="0"/>
    <w:pPr>
      <w:spacing w:line="360" w:lineRule="auto"/>
      <w:ind w:firstLine="200" w:firstLineChars="200"/>
    </w:pPr>
    <w:rPr>
      <w:rFonts w:ascii="宋体" w:hAnsi="宋体" w:cs="宋体"/>
      <w:sz w:val="24"/>
      <w:szCs w:val="24"/>
    </w:rPr>
  </w:style>
  <w:style w:type="paragraph" w:customStyle="1" w:styleId="246">
    <w:name w:val="图文字"/>
    <w:basedOn w:val="1"/>
    <w:qFormat/>
    <w:uiPriority w:val="0"/>
    <w:pPr>
      <w:widowControl/>
      <w:spacing w:line="280" w:lineRule="exact"/>
      <w:jc w:val="center"/>
    </w:pPr>
    <w:rPr>
      <w:rFonts w:ascii="宋体" w:hAnsi="宋体"/>
      <w:kern w:val="0"/>
      <w:sz w:val="22"/>
      <w:szCs w:val="22"/>
    </w:rPr>
  </w:style>
  <w:style w:type="paragraph" w:customStyle="1" w:styleId="247">
    <w:name w:val="编写日期"/>
    <w:basedOn w:val="1"/>
    <w:qFormat/>
    <w:uiPriority w:val="0"/>
    <w:pPr>
      <w:widowControl/>
      <w:spacing w:line="360" w:lineRule="exact"/>
      <w:jc w:val="center"/>
    </w:pPr>
    <w:rPr>
      <w:rFonts w:ascii="Calibri" w:hAnsi="Calibri" w:cs="宋体"/>
      <w:kern w:val="0"/>
      <w:sz w:val="32"/>
    </w:rPr>
  </w:style>
  <w:style w:type="paragraph" w:customStyle="1" w:styleId="248">
    <w:name w:val="样式 正文居中五号 +"/>
    <w:basedOn w:val="115"/>
    <w:qFormat/>
    <w:uiPriority w:val="0"/>
    <w:pPr>
      <w:textAlignment w:val="center"/>
    </w:pPr>
  </w:style>
  <w:style w:type="paragraph" w:customStyle="1" w:styleId="249">
    <w:name w:val="表头5-lcc"/>
    <w:basedOn w:val="250"/>
    <w:qFormat/>
    <w:uiPriority w:val="0"/>
    <w:rPr>
      <w:b/>
    </w:rPr>
  </w:style>
  <w:style w:type="paragraph" w:customStyle="1" w:styleId="250">
    <w:name w:val="表文-lcc"/>
    <w:basedOn w:val="251"/>
    <w:qFormat/>
    <w:uiPriority w:val="0"/>
    <w:pPr>
      <w:spacing w:line="240" w:lineRule="auto"/>
      <w:jc w:val="center"/>
    </w:pPr>
    <w:rPr>
      <w:rFonts w:ascii="Calibri" w:hAnsi="Calibri"/>
      <w:szCs w:val="21"/>
    </w:rPr>
  </w:style>
  <w:style w:type="paragraph" w:customStyle="1" w:styleId="251">
    <w:name w:val="正文-lcc"/>
    <w:basedOn w:val="1"/>
    <w:qFormat/>
    <w:uiPriority w:val="0"/>
    <w:pPr>
      <w:snapToGrid w:val="0"/>
      <w:spacing w:line="360" w:lineRule="auto"/>
      <w:ind w:firstLine="200" w:firstLineChars="200"/>
    </w:pPr>
    <w:rPr>
      <w:rFonts w:eastAsia="仿宋"/>
      <w:color w:val="000000"/>
      <w:sz w:val="24"/>
      <w:szCs w:val="24"/>
    </w:rPr>
  </w:style>
  <w:style w:type="paragraph" w:customStyle="1" w:styleId="252">
    <w:name w:val="MFS正文 Char"/>
    <w:basedOn w:val="54"/>
    <w:qFormat/>
    <w:uiPriority w:val="0"/>
    <w:pPr>
      <w:spacing w:before="93" w:after="120"/>
      <w:ind w:firstLine="200" w:firstLineChars="200"/>
      <w:jc w:val="both"/>
    </w:pPr>
    <w:rPr>
      <w:rFonts w:eastAsia="楷体_GB2312"/>
      <w:snapToGrid/>
      <w:kern w:val="2"/>
      <w:szCs w:val="24"/>
    </w:rPr>
  </w:style>
  <w:style w:type="paragraph" w:customStyle="1" w:styleId="253">
    <w:name w:val="标题9"/>
    <w:next w:val="1"/>
    <w:qFormat/>
    <w:uiPriority w:val="0"/>
    <w:pPr>
      <w:adjustRightInd w:val="0"/>
      <w:snapToGrid w:val="0"/>
      <w:spacing w:line="360" w:lineRule="auto"/>
      <w:jc w:val="center"/>
    </w:pPr>
    <w:rPr>
      <w:rFonts w:ascii="Times New Roman" w:hAnsi="Times New Roman" w:eastAsia="黑体" w:cs="Times New Roman"/>
      <w:sz w:val="21"/>
      <w:lang w:val="en-US" w:eastAsia="zh-CN" w:bidi="ar-SA"/>
    </w:rPr>
  </w:style>
  <w:style w:type="paragraph" w:customStyle="1" w:styleId="254">
    <w:name w:val="WPS Plain"/>
    <w:qFormat/>
    <w:uiPriority w:val="0"/>
    <w:pPr>
      <w:spacing w:after="200" w:line="276" w:lineRule="auto"/>
    </w:pPr>
    <w:rPr>
      <w:rFonts w:ascii="Calibri" w:hAnsi="Calibri" w:eastAsia="宋体" w:cs="Times New Roman"/>
      <w:sz w:val="22"/>
      <w:szCs w:val="22"/>
      <w:lang w:val="en-US" w:eastAsia="zh-CN" w:bidi="ar-SA"/>
    </w:rPr>
  </w:style>
  <w:style w:type="paragraph" w:customStyle="1" w:styleId="255">
    <w:name w:val="标准文本 首行缩进:2 字符 行距1倍"/>
    <w:basedOn w:val="1"/>
    <w:qFormat/>
    <w:uiPriority w:val="0"/>
    <w:pPr>
      <w:widowControl/>
      <w:ind w:firstLine="480" w:firstLineChars="200"/>
      <w:jc w:val="left"/>
      <w:textAlignment w:val="center"/>
    </w:pPr>
    <w:rPr>
      <w:rFonts w:ascii="宋体" w:hAnsi="宋体"/>
      <w:kern w:val="0"/>
      <w:sz w:val="24"/>
    </w:rPr>
  </w:style>
  <w:style w:type="paragraph" w:customStyle="1" w:styleId="256">
    <w:name w:val="dandan6-13正文 Char Char Char"/>
    <w:basedOn w:val="1"/>
    <w:next w:val="1"/>
    <w:qFormat/>
    <w:uiPriority w:val="0"/>
    <w:pPr>
      <w:keepNext/>
      <w:keepLines/>
      <w:widowControl/>
      <w:adjustRightInd w:val="0"/>
      <w:spacing w:before="40" w:after="40" w:line="360" w:lineRule="auto"/>
      <w:ind w:firstLine="200" w:firstLineChars="200"/>
      <w:jc w:val="left"/>
      <w:textAlignment w:val="baseline"/>
    </w:pPr>
    <w:rPr>
      <w:rFonts w:ascii="Calibri" w:hAnsi="Calibri" w:cs="宋体"/>
      <w:kern w:val="0"/>
      <w:sz w:val="24"/>
      <w:szCs w:val="28"/>
    </w:rPr>
  </w:style>
  <w:style w:type="paragraph" w:customStyle="1" w:styleId="257">
    <w:name w:val="样式2"/>
    <w:basedOn w:val="1"/>
    <w:qFormat/>
    <w:uiPriority w:val="0"/>
    <w:pPr>
      <w:widowControl/>
      <w:spacing w:line="360" w:lineRule="auto"/>
      <w:jc w:val="left"/>
    </w:pPr>
    <w:rPr>
      <w:rFonts w:ascii="Calibri" w:hAnsi="Calibri"/>
      <w:bCs/>
      <w:color w:val="000000"/>
      <w:kern w:val="0"/>
      <w:sz w:val="24"/>
    </w:rPr>
  </w:style>
  <w:style w:type="paragraph" w:customStyle="1" w:styleId="258">
    <w:name w:val="xl3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color w:val="000000"/>
      <w:kern w:val="0"/>
      <w:sz w:val="20"/>
    </w:rPr>
  </w:style>
  <w:style w:type="paragraph" w:customStyle="1" w:styleId="259">
    <w:name w:val="Char Char1 Char Char1 Char"/>
    <w:basedOn w:val="1"/>
    <w:qFormat/>
    <w:uiPriority w:val="0"/>
    <w:rPr>
      <w:szCs w:val="21"/>
    </w:rPr>
  </w:style>
  <w:style w:type="paragraph" w:customStyle="1" w:styleId="260">
    <w:name w:val="表格文本 小五 居中"/>
    <w:basedOn w:val="1"/>
    <w:qFormat/>
    <w:uiPriority w:val="0"/>
    <w:pPr>
      <w:widowControl/>
      <w:adjustRightInd w:val="0"/>
      <w:snapToGrid w:val="0"/>
      <w:spacing w:line="360" w:lineRule="exact"/>
      <w:jc w:val="center"/>
    </w:pPr>
    <w:rPr>
      <w:rFonts w:ascii="Calibri" w:hAnsi="Calibri" w:cs="宋体"/>
      <w:spacing w:val="-16"/>
      <w:kern w:val="0"/>
      <w:sz w:val="22"/>
      <w:szCs w:val="21"/>
    </w:rPr>
  </w:style>
  <w:style w:type="paragraph" w:customStyle="1" w:styleId="261">
    <w:name w:val="图表文字"/>
    <w:basedOn w:val="1"/>
    <w:qFormat/>
    <w:uiPriority w:val="0"/>
    <w:pPr>
      <w:widowControl/>
      <w:ind w:right="-107" w:rightChars="-51"/>
      <w:jc w:val="center"/>
    </w:pPr>
    <w:rPr>
      <w:rFonts w:ascii="宋体" w:hAnsi="宋体"/>
      <w:kern w:val="0"/>
      <w:sz w:val="22"/>
    </w:rPr>
  </w:style>
  <w:style w:type="paragraph" w:customStyle="1" w:styleId="262">
    <w:name w:val="样式 首行缩进:  2 字符4"/>
    <w:basedOn w:val="1"/>
    <w:qFormat/>
    <w:uiPriority w:val="0"/>
    <w:pPr>
      <w:widowControl/>
      <w:spacing w:line="360" w:lineRule="auto"/>
      <w:ind w:firstLine="200" w:firstLineChars="200"/>
      <w:jc w:val="left"/>
    </w:pPr>
    <w:rPr>
      <w:rFonts w:ascii="Calibri" w:hAnsi="Calibri" w:cs="宋体"/>
      <w:kern w:val="0"/>
      <w:sz w:val="24"/>
    </w:rPr>
  </w:style>
  <w:style w:type="paragraph" w:customStyle="1" w:styleId="263">
    <w:name w:val="样式4"/>
    <w:basedOn w:val="1"/>
    <w:qFormat/>
    <w:uiPriority w:val="0"/>
    <w:pPr>
      <w:adjustRightInd w:val="0"/>
      <w:snapToGrid w:val="0"/>
      <w:spacing w:line="300" w:lineRule="auto"/>
      <w:ind w:left="38" w:leftChars="18" w:firstLine="560" w:firstLineChars="200"/>
    </w:pPr>
    <w:rPr>
      <w:rFonts w:ascii="仿宋_GB2312" w:eastAsia="仿宋_GB2312"/>
      <w:sz w:val="28"/>
    </w:rPr>
  </w:style>
  <w:style w:type="paragraph" w:customStyle="1" w:styleId="264">
    <w:name w:val="样式 标题 2标题 2-王鹏标题2纪任山标题 2Char标题 2 Char1标题 2 Char Char二处标题 ...1"/>
    <w:basedOn w:val="4"/>
    <w:qFormat/>
    <w:uiPriority w:val="0"/>
    <w:pPr>
      <w:numPr>
        <w:ilvl w:val="0"/>
        <w:numId w:val="0"/>
      </w:numPr>
      <w:tabs>
        <w:tab w:val="clear" w:pos="1276"/>
      </w:tabs>
      <w:adjustRightInd/>
      <w:spacing w:before="0" w:after="0" w:line="480" w:lineRule="exact"/>
      <w:ind w:left="-30" w:leftChars="-30" w:firstLine="200" w:firstLineChars="200"/>
      <w:jc w:val="both"/>
      <w:textAlignment w:val="auto"/>
    </w:pPr>
    <w:rPr>
      <w:rFonts w:ascii="Times New Roman" w:hAnsi="Times New Roman" w:eastAsia="宋体" w:cs="宋体"/>
      <w:bCs/>
      <w:sz w:val="30"/>
    </w:rPr>
  </w:style>
  <w:style w:type="paragraph" w:customStyle="1" w:styleId="265">
    <w:name w:val="表格小四"/>
    <w:basedOn w:val="1"/>
    <w:qFormat/>
    <w:uiPriority w:val="0"/>
    <w:pPr>
      <w:adjustRightInd w:val="0"/>
      <w:snapToGrid w:val="0"/>
      <w:spacing w:beforeLines="30"/>
    </w:pPr>
    <w:rPr>
      <w:sz w:val="24"/>
      <w:szCs w:val="24"/>
    </w:rPr>
  </w:style>
  <w:style w:type="paragraph" w:customStyle="1" w:styleId="266">
    <w:name w:val="样式 标题 2标题 2-王鹏标题2纪任山标题 2 + 段前: 0 磅 段后: 0 磅 行距: 固定值 24 磅"/>
    <w:basedOn w:val="4"/>
    <w:qFormat/>
    <w:uiPriority w:val="0"/>
    <w:pPr>
      <w:numPr>
        <w:ilvl w:val="0"/>
        <w:numId w:val="0"/>
      </w:numPr>
      <w:tabs>
        <w:tab w:val="clear" w:pos="1276"/>
      </w:tabs>
      <w:adjustRightInd/>
      <w:spacing w:before="0" w:after="0" w:line="480" w:lineRule="exact"/>
      <w:ind w:left="-10" w:leftChars="-10" w:firstLine="562" w:firstLineChars="200"/>
      <w:jc w:val="both"/>
      <w:textAlignment w:val="auto"/>
    </w:pPr>
    <w:rPr>
      <w:rFonts w:ascii="Times New Roman" w:hAnsi="Times New Roman" w:eastAsia="宋体" w:cs="宋体"/>
      <w:bCs/>
      <w:sz w:val="30"/>
    </w:rPr>
  </w:style>
  <w:style w:type="paragraph" w:customStyle="1" w:styleId="267">
    <w:name w:val="表文"/>
    <w:basedOn w:val="1"/>
    <w:qFormat/>
    <w:uiPriority w:val="0"/>
    <w:pPr>
      <w:keepNext/>
      <w:adjustRightInd w:val="0"/>
      <w:spacing w:before="40" w:line="288" w:lineRule="auto"/>
      <w:jc w:val="center"/>
      <w:textAlignment w:val="baseline"/>
    </w:pPr>
    <w:rPr>
      <w:kern w:val="0"/>
      <w:sz w:val="24"/>
    </w:rPr>
  </w:style>
  <w:style w:type="paragraph" w:customStyle="1" w:styleId="268">
    <w:name w:val="样式 标题 1标题 1 Char Char Char标题 1 Char Char Char Char标题 11 Char..."/>
    <w:basedOn w:val="3"/>
    <w:qFormat/>
    <w:uiPriority w:val="0"/>
    <w:pPr>
      <w:keepLines w:val="0"/>
      <w:snapToGrid/>
      <w:spacing w:line="480" w:lineRule="exact"/>
      <w:jc w:val="center"/>
    </w:pPr>
    <w:rPr>
      <w:rFonts w:eastAsia="宋体" w:cs="宋体"/>
      <w:b/>
      <w:bCs/>
      <w:kern w:val="2"/>
      <w:sz w:val="32"/>
    </w:rPr>
  </w:style>
  <w:style w:type="paragraph" w:customStyle="1" w:styleId="269">
    <w:name w:val="xl22"/>
    <w:basedOn w:val="1"/>
    <w:qFormat/>
    <w:uiPriority w:val="0"/>
    <w:pPr>
      <w:widowControl/>
      <w:pBdr>
        <w:bottom w:val="single" w:color="auto" w:sz="4" w:space="0"/>
        <w:right w:val="single" w:color="auto" w:sz="4" w:space="0"/>
      </w:pBdr>
      <w:adjustRightInd w:val="0"/>
      <w:spacing w:before="100" w:after="100" w:line="360" w:lineRule="atLeast"/>
      <w:jc w:val="center"/>
      <w:textAlignment w:val="baseline"/>
    </w:pPr>
    <w:rPr>
      <w:rFonts w:ascii="宋体" w:hAnsi="宋体" w:cs="宋体"/>
      <w:kern w:val="0"/>
      <w:sz w:val="22"/>
      <w:szCs w:val="21"/>
    </w:rPr>
  </w:style>
  <w:style w:type="paragraph" w:customStyle="1" w:styleId="270">
    <w:name w:val="样式 标题 2二处标题 2节标题 1.11.1标题2b2ParagrafoH22nd levelh2Heade...5"/>
    <w:basedOn w:val="4"/>
    <w:qFormat/>
    <w:uiPriority w:val="0"/>
    <w:pPr>
      <w:keepNext w:val="0"/>
      <w:keepLines w:val="0"/>
      <w:numPr>
        <w:ilvl w:val="0"/>
        <w:numId w:val="0"/>
      </w:numPr>
      <w:tabs>
        <w:tab w:val="clear" w:pos="1276"/>
      </w:tabs>
      <w:snapToGrid w:val="0"/>
      <w:spacing w:before="0" w:after="0" w:line="480" w:lineRule="exact"/>
      <w:ind w:firstLine="600" w:firstLineChars="200"/>
      <w:textAlignment w:val="auto"/>
    </w:pPr>
    <w:rPr>
      <w:rFonts w:ascii="Times New Roman" w:hAnsi="Times New Roman" w:eastAsia="Times New Roman" w:cs="宋体"/>
      <w:color w:val="000000"/>
      <w:sz w:val="30"/>
    </w:rPr>
  </w:style>
  <w:style w:type="paragraph" w:customStyle="1" w:styleId="271">
    <w:name w:val="正文lcc2"/>
    <w:basedOn w:val="21"/>
    <w:link w:val="694"/>
    <w:qFormat/>
    <w:uiPriority w:val="0"/>
    <w:pPr>
      <w:spacing w:after="0" w:line="360" w:lineRule="auto"/>
      <w:ind w:firstLine="200" w:firstLineChars="200"/>
    </w:pPr>
    <w:rPr>
      <w:rFonts w:ascii="Calibri" w:hAnsi="Calibri"/>
      <w:kern w:val="0"/>
      <w:sz w:val="24"/>
      <w:szCs w:val="22"/>
    </w:rPr>
  </w:style>
  <w:style w:type="paragraph" w:customStyle="1" w:styleId="272">
    <w:name w:val="样式 自动设置"/>
    <w:basedOn w:val="1"/>
    <w:link w:val="623"/>
    <w:qFormat/>
    <w:uiPriority w:val="0"/>
    <w:pPr>
      <w:autoSpaceDE w:val="0"/>
      <w:autoSpaceDN w:val="0"/>
      <w:adjustRightInd w:val="0"/>
      <w:snapToGrid w:val="0"/>
      <w:spacing w:beforeLines="50" w:line="288" w:lineRule="auto"/>
      <w:ind w:firstLine="200" w:firstLineChars="200"/>
    </w:pPr>
    <w:rPr>
      <w:rFonts w:ascii="Calibri" w:hAnsi="Calibri" w:cs="宋体"/>
      <w:sz w:val="24"/>
      <w:szCs w:val="24"/>
    </w:rPr>
  </w:style>
  <w:style w:type="paragraph" w:customStyle="1" w:styleId="273">
    <w:name w:val="6表头"/>
    <w:basedOn w:val="1"/>
    <w:qFormat/>
    <w:uiPriority w:val="0"/>
    <w:pPr>
      <w:adjustRightInd w:val="0"/>
      <w:snapToGrid w:val="0"/>
      <w:spacing w:before="120" w:beforeLines="50"/>
      <w:jc w:val="center"/>
    </w:pPr>
    <w:rPr>
      <w:b/>
      <w:kern w:val="0"/>
      <w:szCs w:val="21"/>
    </w:rPr>
  </w:style>
  <w:style w:type="paragraph" w:customStyle="1" w:styleId="274">
    <w:name w:val="h"/>
    <w:basedOn w:val="1"/>
    <w:qFormat/>
    <w:uiPriority w:val="0"/>
    <w:pPr>
      <w:spacing w:before="60"/>
      <w:ind w:firstLine="482"/>
    </w:pPr>
    <w:rPr>
      <w:rFonts w:ascii="Arial" w:hAnsi="Arial" w:eastAsia="仿宋_GB2312"/>
      <w:kern w:val="0"/>
      <w:sz w:val="24"/>
    </w:rPr>
  </w:style>
  <w:style w:type="paragraph" w:customStyle="1" w:styleId="275">
    <w:name w:val="表内lcc"/>
    <w:basedOn w:val="184"/>
    <w:qFormat/>
    <w:uiPriority w:val="0"/>
    <w:pPr>
      <w:adjustRightInd w:val="0"/>
      <w:spacing w:line="240" w:lineRule="auto"/>
      <w:ind w:right="0"/>
    </w:pPr>
    <w:rPr>
      <w:rFonts w:ascii="Times New Roman" w:hAnsi="Times New Roman"/>
    </w:rPr>
  </w:style>
  <w:style w:type="paragraph" w:customStyle="1" w:styleId="276">
    <w:name w:val="Pa11"/>
    <w:basedOn w:val="1"/>
    <w:next w:val="1"/>
    <w:qFormat/>
    <w:uiPriority w:val="0"/>
    <w:pPr>
      <w:widowControl/>
      <w:autoSpaceDE w:val="0"/>
      <w:autoSpaceDN w:val="0"/>
      <w:adjustRightInd w:val="0"/>
      <w:spacing w:before="140" w:after="140" w:line="211" w:lineRule="atLeast"/>
      <w:jc w:val="left"/>
    </w:pPr>
    <w:rPr>
      <w:rFonts w:ascii="宋体" w:hAnsi="Calibri"/>
      <w:kern w:val="0"/>
      <w:sz w:val="24"/>
      <w:szCs w:val="22"/>
    </w:rPr>
  </w:style>
  <w:style w:type="paragraph" w:customStyle="1" w:styleId="277">
    <w:name w:val="xl34"/>
    <w:basedOn w:val="1"/>
    <w:qFormat/>
    <w:uiPriority w:val="0"/>
    <w:pPr>
      <w:widowControl/>
      <w:pBdr>
        <w:top w:val="single" w:color="auto" w:sz="8" w:space="0"/>
        <w:left w:val="single" w:color="auto" w:sz="8" w:space="0"/>
        <w:bottom w:val="single" w:color="auto" w:sz="8" w:space="0"/>
        <w:right w:val="single" w:color="auto" w:sz="8" w:space="0"/>
      </w:pBdr>
      <w:spacing w:before="100" w:beforeAutospacing="1" w:after="100" w:afterAutospacing="1"/>
      <w:jc w:val="center"/>
    </w:pPr>
    <w:rPr>
      <w:rFonts w:ascii="宋体" w:hAnsi="宋体"/>
      <w:kern w:val="0"/>
      <w:sz w:val="20"/>
    </w:rPr>
  </w:style>
  <w:style w:type="paragraph" w:customStyle="1" w:styleId="278">
    <w:name w:val="Char Char Char1 Char Char Char Char Char Char Char Char Char Char Char Char Char Char Char Char"/>
    <w:basedOn w:val="1"/>
    <w:qFormat/>
    <w:uiPriority w:val="0"/>
    <w:rPr>
      <w:szCs w:val="24"/>
    </w:rPr>
  </w:style>
  <w:style w:type="paragraph" w:customStyle="1" w:styleId="279">
    <w:name w:val="Char1 Char Char Char Char Char Char Char Char Char Char Char Char"/>
    <w:basedOn w:val="1"/>
    <w:next w:val="1"/>
    <w:qFormat/>
    <w:uiPriority w:val="0"/>
    <w:pPr>
      <w:keepNext/>
      <w:keepLines/>
      <w:widowControl/>
      <w:adjustRightInd w:val="0"/>
      <w:spacing w:before="40" w:after="40" w:line="360" w:lineRule="auto"/>
      <w:ind w:firstLine="200" w:firstLineChars="200"/>
      <w:textAlignment w:val="baseline"/>
    </w:pPr>
    <w:rPr>
      <w:rFonts w:cs="宋体"/>
      <w:kern w:val="0"/>
      <w:sz w:val="24"/>
      <w:szCs w:val="28"/>
    </w:rPr>
  </w:style>
  <w:style w:type="paragraph" w:customStyle="1" w:styleId="280">
    <w:name w:val="样式王鹏"/>
    <w:basedOn w:val="1"/>
    <w:qFormat/>
    <w:uiPriority w:val="0"/>
    <w:pPr>
      <w:spacing w:line="300" w:lineRule="auto"/>
      <w:ind w:firstLine="504" w:firstLineChars="200"/>
    </w:pPr>
    <w:rPr>
      <w:color w:val="000000"/>
      <w:spacing w:val="6"/>
      <w:sz w:val="24"/>
      <w:szCs w:val="24"/>
    </w:rPr>
  </w:style>
  <w:style w:type="paragraph" w:customStyle="1" w:styleId="281">
    <w:name w:val="样式 表格文本 五号 单倍行距 + 两端对齐"/>
    <w:basedOn w:val="161"/>
    <w:qFormat/>
    <w:uiPriority w:val="0"/>
    <w:pPr>
      <w:jc w:val="both"/>
    </w:pPr>
  </w:style>
  <w:style w:type="paragraph" w:customStyle="1" w:styleId="282">
    <w:name w:val="正文1"/>
    <w:basedOn w:val="1"/>
    <w:link w:val="600"/>
    <w:qFormat/>
    <w:uiPriority w:val="0"/>
    <w:pPr>
      <w:widowControl/>
      <w:spacing w:line="500" w:lineRule="exact"/>
      <w:ind w:firstLine="480" w:firstLineChars="200"/>
      <w:jc w:val="left"/>
    </w:pPr>
    <w:rPr>
      <w:rFonts w:ascii="宋体" w:hAnsi="宋体"/>
      <w:kern w:val="0"/>
      <w:sz w:val="24"/>
    </w:rPr>
  </w:style>
  <w:style w:type="paragraph" w:customStyle="1" w:styleId="283">
    <w:name w:val="样式 正文文本缩进 2 + 居中 首行缩进:  2 字符 行距: 固定值 24.5 磅"/>
    <w:basedOn w:val="34"/>
    <w:qFormat/>
    <w:uiPriority w:val="0"/>
    <w:pPr>
      <w:spacing w:before="0"/>
      <w:ind w:firstLine="200"/>
    </w:pPr>
    <w:rPr>
      <w:rFonts w:ascii="Times New Roman" w:hAnsi="Times New Roman" w:cs="宋体"/>
      <w:spacing w:val="0"/>
      <w:sz w:val="28"/>
    </w:rPr>
  </w:style>
  <w:style w:type="paragraph" w:customStyle="1" w:styleId="284">
    <w:name w:val="样式 四号 黑色 行距: 最小值 24 磅"/>
    <w:basedOn w:val="1"/>
    <w:qFormat/>
    <w:uiPriority w:val="0"/>
    <w:pPr>
      <w:spacing w:line="480" w:lineRule="exact"/>
      <w:ind w:firstLine="200" w:firstLineChars="200"/>
    </w:pPr>
    <w:rPr>
      <w:rFonts w:cs="宋体"/>
      <w:color w:val="000000"/>
      <w:sz w:val="28"/>
    </w:rPr>
  </w:style>
  <w:style w:type="paragraph" w:styleId="285">
    <w:name w:val="List Paragraph"/>
    <w:basedOn w:val="1"/>
    <w:qFormat/>
    <w:uiPriority w:val="1"/>
    <w:pPr>
      <w:widowControl/>
      <w:ind w:left="720"/>
      <w:contextualSpacing/>
      <w:jc w:val="left"/>
    </w:pPr>
    <w:rPr>
      <w:rFonts w:ascii="Calibri" w:hAnsi="Calibri"/>
      <w:kern w:val="0"/>
      <w:sz w:val="22"/>
      <w:szCs w:val="22"/>
    </w:rPr>
  </w:style>
  <w:style w:type="paragraph" w:customStyle="1" w:styleId="286">
    <w:name w:val="参考文献项目"/>
    <w:basedOn w:val="1"/>
    <w:qFormat/>
    <w:uiPriority w:val="0"/>
    <w:pPr>
      <w:widowControl/>
      <w:numPr>
        <w:ilvl w:val="0"/>
        <w:numId w:val="4"/>
      </w:numPr>
      <w:tabs>
        <w:tab w:val="left" w:pos="0"/>
        <w:tab w:val="clear" w:pos="454"/>
      </w:tabs>
      <w:autoSpaceDE w:val="0"/>
      <w:autoSpaceDN w:val="0"/>
      <w:adjustRightInd w:val="0"/>
      <w:spacing w:line="260" w:lineRule="atLeast"/>
      <w:ind w:hanging="927"/>
      <w:jc w:val="left"/>
    </w:pPr>
    <w:rPr>
      <w:rFonts w:ascii="Calibri" w:hAnsi="Calibri"/>
      <w:color w:val="FF0000"/>
      <w:kern w:val="0"/>
      <w:sz w:val="22"/>
      <w:szCs w:val="21"/>
    </w:rPr>
  </w:style>
  <w:style w:type="paragraph" w:customStyle="1" w:styleId="287">
    <w:name w:val="Char Char Char"/>
    <w:basedOn w:val="1"/>
    <w:qFormat/>
    <w:uiPriority w:val="0"/>
    <w:pPr>
      <w:widowControl/>
      <w:jc w:val="left"/>
    </w:pPr>
    <w:rPr>
      <w:rFonts w:ascii="Calibri" w:hAnsi="Calibri"/>
      <w:kern w:val="0"/>
      <w:sz w:val="24"/>
      <w:szCs w:val="22"/>
    </w:rPr>
  </w:style>
  <w:style w:type="paragraph" w:customStyle="1" w:styleId="288">
    <w:name w:val="111正文"/>
    <w:basedOn w:val="1"/>
    <w:link w:val="557"/>
    <w:qFormat/>
    <w:uiPriority w:val="0"/>
    <w:pPr>
      <w:tabs>
        <w:tab w:val="left" w:pos="600"/>
      </w:tabs>
      <w:spacing w:line="360" w:lineRule="auto"/>
      <w:ind w:firstLine="200" w:firstLineChars="200"/>
    </w:pPr>
    <w:rPr>
      <w:kern w:val="0"/>
      <w:sz w:val="24"/>
      <w:szCs w:val="22"/>
    </w:rPr>
  </w:style>
  <w:style w:type="paragraph" w:customStyle="1" w:styleId="289">
    <w:name w:val="表头lcc1"/>
    <w:basedOn w:val="1"/>
    <w:qFormat/>
    <w:uiPriority w:val="0"/>
    <w:pPr>
      <w:jc w:val="center"/>
    </w:pPr>
    <w:rPr>
      <w:rFonts w:ascii="Calibri" w:hAnsi="Calibri"/>
      <w:b/>
      <w:szCs w:val="22"/>
    </w:rPr>
  </w:style>
  <w:style w:type="paragraph" w:customStyle="1" w:styleId="290">
    <w:name w:val="declear"/>
    <w:basedOn w:val="1"/>
    <w:qFormat/>
    <w:uiPriority w:val="0"/>
    <w:pPr>
      <w:widowControl/>
      <w:spacing w:before="100" w:beforeAutospacing="1" w:after="100" w:afterAutospacing="1"/>
      <w:jc w:val="left"/>
    </w:pPr>
    <w:rPr>
      <w:rFonts w:ascii="宋体" w:hAnsi="宋体" w:cs="宋体"/>
      <w:kern w:val="0"/>
      <w:sz w:val="24"/>
      <w:szCs w:val="24"/>
    </w:rPr>
  </w:style>
  <w:style w:type="paragraph" w:customStyle="1" w:styleId="291">
    <w:name w:val="样式 正文缩进 + 小四 段后: 7.8 磅 行距: 多倍行距 1.2 字行"/>
    <w:basedOn w:val="5"/>
    <w:qFormat/>
    <w:uiPriority w:val="0"/>
    <w:pPr>
      <w:widowControl/>
      <w:snapToGrid w:val="0"/>
      <w:spacing w:line="360" w:lineRule="auto"/>
      <w:ind w:firstLine="200"/>
      <w:jc w:val="left"/>
    </w:pPr>
    <w:rPr>
      <w:rFonts w:ascii="Calibri" w:hAnsi="Calibri" w:cs="宋体"/>
      <w:kern w:val="0"/>
      <w:sz w:val="24"/>
    </w:rPr>
  </w:style>
  <w:style w:type="paragraph" w:customStyle="1" w:styleId="292">
    <w:name w:val="样式 样式 标题 2节 + (西文) Times New Roman (中文) 宋体 四号 段前: 0.5 行 段后: 0......"/>
    <w:basedOn w:val="1"/>
    <w:qFormat/>
    <w:uiPriority w:val="0"/>
    <w:pPr>
      <w:keepNext/>
      <w:keepLines/>
      <w:tabs>
        <w:tab w:val="left" w:pos="720"/>
        <w:tab w:val="left" w:pos="1276"/>
      </w:tabs>
      <w:adjustRightInd w:val="0"/>
      <w:snapToGrid w:val="0"/>
      <w:spacing w:before="280" w:beforeLines="90" w:after="280" w:afterLines="90"/>
      <w:ind w:left="851"/>
      <w:outlineLvl w:val="1"/>
    </w:pPr>
    <w:rPr>
      <w:b/>
      <w:bCs/>
      <w:sz w:val="28"/>
      <w:szCs w:val="28"/>
    </w:rPr>
  </w:style>
  <w:style w:type="paragraph" w:customStyle="1" w:styleId="293">
    <w:name w:val="表文字"/>
    <w:basedOn w:val="1"/>
    <w:qFormat/>
    <w:uiPriority w:val="0"/>
    <w:pPr>
      <w:widowControl/>
      <w:overflowPunct w:val="0"/>
      <w:autoSpaceDE w:val="0"/>
      <w:autoSpaceDN w:val="0"/>
      <w:adjustRightInd w:val="0"/>
      <w:spacing w:line="240" w:lineRule="atLeast"/>
      <w:jc w:val="center"/>
      <w:textAlignment w:val="baseline"/>
    </w:pPr>
    <w:rPr>
      <w:rFonts w:ascii="Calibri" w:hAnsi="Calibri"/>
      <w:kern w:val="0"/>
      <w:sz w:val="24"/>
    </w:rPr>
  </w:style>
  <w:style w:type="paragraph" w:customStyle="1" w:styleId="294">
    <w:name w:val="样式 (符号) 宋体 首行缩进:  0.93 厘米 段前: 6 磅 段后: 6 磅 行距: 固定值 18 磅1"/>
    <w:basedOn w:val="1"/>
    <w:qFormat/>
    <w:uiPriority w:val="0"/>
    <w:pPr>
      <w:widowControl/>
      <w:spacing w:before="160" w:after="160" w:line="320" w:lineRule="exact"/>
      <w:ind w:firstLine="527"/>
      <w:jc w:val="left"/>
    </w:pPr>
    <w:rPr>
      <w:rFonts w:ascii="Calibri" w:hAnsi="宋体"/>
      <w:kern w:val="0"/>
      <w:sz w:val="24"/>
    </w:rPr>
  </w:style>
  <w:style w:type="paragraph" w:customStyle="1" w:styleId="295">
    <w:name w:val="标题 2标题 2-G"/>
    <w:basedOn w:val="4"/>
    <w:qFormat/>
    <w:uiPriority w:val="0"/>
    <w:pPr>
      <w:numPr>
        <w:ilvl w:val="0"/>
        <w:numId w:val="0"/>
      </w:numPr>
      <w:tabs>
        <w:tab w:val="clear" w:pos="1276"/>
      </w:tabs>
      <w:adjustRightInd/>
      <w:spacing w:before="0" w:after="0" w:line="480" w:lineRule="exact"/>
      <w:ind w:left="-20" w:leftChars="-20" w:firstLine="200" w:firstLineChars="200"/>
      <w:jc w:val="both"/>
      <w:textAlignment w:val="auto"/>
    </w:pPr>
    <w:rPr>
      <w:rFonts w:ascii="Times New Roman" w:hAnsi="Times New Roman" w:eastAsia="宋体" w:cs="宋体"/>
      <w:bCs/>
      <w:sz w:val="30"/>
    </w:rPr>
  </w:style>
  <w:style w:type="paragraph" w:customStyle="1" w:styleId="296">
    <w:name w:val="表头"/>
    <w:basedOn w:val="1"/>
    <w:link w:val="533"/>
    <w:qFormat/>
    <w:uiPriority w:val="0"/>
    <w:pPr>
      <w:widowControl/>
      <w:snapToGrid w:val="0"/>
      <w:spacing w:line="480" w:lineRule="exact"/>
      <w:jc w:val="center"/>
    </w:pPr>
    <w:rPr>
      <w:rFonts w:ascii="宋体" w:hAnsi="宋体"/>
      <w:bCs/>
      <w:spacing w:val="4"/>
      <w:kern w:val="0"/>
      <w:sz w:val="24"/>
      <w:szCs w:val="22"/>
    </w:rPr>
  </w:style>
  <w:style w:type="paragraph" w:customStyle="1" w:styleId="297">
    <w:name w:val="样式 标题 1标题 1-王鹏纪任山标题 1 + 三号 加粗 行距: 固定值 24 磅"/>
    <w:basedOn w:val="3"/>
    <w:qFormat/>
    <w:uiPriority w:val="0"/>
    <w:pPr>
      <w:keepLines w:val="0"/>
      <w:snapToGrid/>
      <w:spacing w:line="480" w:lineRule="exact"/>
      <w:jc w:val="center"/>
    </w:pPr>
    <w:rPr>
      <w:rFonts w:ascii="宋体" w:hAnsi="宋体" w:eastAsia="宋体" w:cs="宋体"/>
      <w:b/>
      <w:bCs/>
      <w:kern w:val="2"/>
      <w:sz w:val="32"/>
    </w:rPr>
  </w:style>
  <w:style w:type="paragraph" w:customStyle="1" w:styleId="298">
    <w:name w:val="2"/>
    <w:basedOn w:val="1"/>
    <w:next w:val="29"/>
    <w:qFormat/>
    <w:uiPriority w:val="0"/>
    <w:pPr>
      <w:widowControl/>
      <w:jc w:val="left"/>
    </w:pPr>
    <w:rPr>
      <w:rFonts w:ascii="宋体" w:hAnsi="Courier New" w:cs="Courier New"/>
      <w:kern w:val="0"/>
      <w:sz w:val="22"/>
      <w:szCs w:val="21"/>
    </w:rPr>
  </w:style>
  <w:style w:type="paragraph" w:customStyle="1" w:styleId="299">
    <w:name w:val="版本类型"/>
    <w:basedOn w:val="1"/>
    <w:qFormat/>
    <w:uiPriority w:val="0"/>
    <w:pPr>
      <w:widowControl/>
      <w:jc w:val="center"/>
    </w:pPr>
    <w:rPr>
      <w:rFonts w:ascii="Calibri" w:hAnsi="Calibri" w:cs="宋体"/>
      <w:kern w:val="0"/>
      <w:sz w:val="36"/>
    </w:rPr>
  </w:style>
  <w:style w:type="paragraph" w:customStyle="1" w:styleId="300">
    <w:name w:val="表格式"/>
    <w:basedOn w:val="42"/>
    <w:qFormat/>
    <w:uiPriority w:val="0"/>
    <w:pPr>
      <w:spacing w:line="400" w:lineRule="exact"/>
      <w:ind w:left="0" w:firstLine="0" w:firstLineChars="0"/>
      <w:jc w:val="center"/>
    </w:pPr>
    <w:rPr>
      <w:rFonts w:ascii="宋体"/>
    </w:rPr>
  </w:style>
  <w:style w:type="paragraph" w:customStyle="1" w:styleId="301">
    <w:name w:val="样式"/>
    <w:qFormat/>
    <w:uiPriority w:val="0"/>
    <w:pPr>
      <w:keepNext/>
      <w:keepLines/>
      <w:widowControl w:val="0"/>
      <w:adjustRightInd w:val="0"/>
      <w:spacing w:before="340" w:after="330" w:line="578" w:lineRule="atLeast"/>
      <w:jc w:val="both"/>
      <w:textAlignment w:val="baseline"/>
    </w:pPr>
    <w:rPr>
      <w:rFonts w:ascii="Calibri" w:hAnsi="Calibri" w:eastAsia="宋体" w:cs="Times New Roman"/>
      <w:b/>
      <w:sz w:val="24"/>
      <w:szCs w:val="22"/>
      <w:lang w:val="en-US" w:eastAsia="zh-CN" w:bidi="ar-SA"/>
    </w:rPr>
  </w:style>
  <w:style w:type="paragraph" w:customStyle="1" w:styleId="302">
    <w:name w:val="正文 首行缩进:  2 字符"/>
    <w:basedOn w:val="1"/>
    <w:link w:val="613"/>
    <w:qFormat/>
    <w:uiPriority w:val="0"/>
    <w:pPr>
      <w:adjustRightInd w:val="0"/>
      <w:snapToGrid w:val="0"/>
      <w:spacing w:line="500" w:lineRule="exact"/>
      <w:ind w:firstLine="200" w:firstLineChars="200"/>
      <w:jc w:val="left"/>
    </w:pPr>
    <w:rPr>
      <w:rFonts w:cs="宋体"/>
      <w:sz w:val="24"/>
    </w:rPr>
  </w:style>
  <w:style w:type="paragraph" w:customStyle="1" w:styleId="303">
    <w:name w:val="样式 表标题 + 段前: 0.5 行1"/>
    <w:basedOn w:val="4"/>
    <w:qFormat/>
    <w:uiPriority w:val="0"/>
    <w:pPr>
      <w:keepNext w:val="0"/>
      <w:keepLines w:val="0"/>
      <w:widowControl/>
      <w:numPr>
        <w:ilvl w:val="0"/>
        <w:numId w:val="0"/>
      </w:numPr>
      <w:tabs>
        <w:tab w:val="left" w:pos="420"/>
        <w:tab w:val="clear" w:pos="1276"/>
      </w:tabs>
      <w:snapToGrid w:val="0"/>
      <w:spacing w:before="156" w:beforeLines="50" w:after="0" w:line="480" w:lineRule="exact"/>
      <w:jc w:val="center"/>
      <w:textAlignment w:val="auto"/>
      <w:outlineLvl w:val="9"/>
    </w:pPr>
    <w:rPr>
      <w:rFonts w:ascii="Times New Roman" w:hAnsi="Times New Roman" w:eastAsia="宋体"/>
      <w:b w:val="0"/>
      <w:color w:val="2DA2BF"/>
      <w:kern w:val="0"/>
    </w:rPr>
  </w:style>
  <w:style w:type="paragraph" w:customStyle="1" w:styleId="304">
    <w:name w:val="表内5S"/>
    <w:basedOn w:val="1"/>
    <w:qFormat/>
    <w:uiPriority w:val="0"/>
    <w:pPr>
      <w:spacing w:line="300" w:lineRule="atLeast"/>
      <w:jc w:val="center"/>
    </w:pPr>
    <w:rPr>
      <w:rFonts w:eastAsia="方正宋三简体"/>
    </w:rPr>
  </w:style>
  <w:style w:type="paragraph" w:customStyle="1" w:styleId="305">
    <w:name w:val="G（正文）"/>
    <w:basedOn w:val="21"/>
    <w:link w:val="576"/>
    <w:qFormat/>
    <w:uiPriority w:val="0"/>
    <w:pPr>
      <w:spacing w:after="0" w:line="480" w:lineRule="exact"/>
      <w:ind w:firstLine="200" w:firstLineChars="200"/>
    </w:pPr>
    <w:rPr>
      <w:sz w:val="28"/>
      <w:szCs w:val="28"/>
    </w:rPr>
  </w:style>
  <w:style w:type="paragraph" w:customStyle="1" w:styleId="306">
    <w:name w:val="样式2－表格"/>
    <w:basedOn w:val="1"/>
    <w:qFormat/>
    <w:uiPriority w:val="0"/>
    <w:pPr>
      <w:widowControl/>
      <w:adjustRightInd w:val="0"/>
      <w:snapToGrid w:val="0"/>
      <w:spacing w:line="360" w:lineRule="auto"/>
      <w:jc w:val="center"/>
    </w:pPr>
    <w:rPr>
      <w:rFonts w:eastAsia="黑体"/>
      <w:kern w:val="0"/>
    </w:rPr>
  </w:style>
  <w:style w:type="paragraph" w:customStyle="1" w:styleId="307">
    <w:name w:val="yz"/>
    <w:basedOn w:val="21"/>
    <w:qFormat/>
    <w:uiPriority w:val="0"/>
    <w:pPr>
      <w:tabs>
        <w:tab w:val="left" w:pos="900"/>
      </w:tabs>
      <w:adjustRightInd w:val="0"/>
      <w:spacing w:after="0"/>
      <w:ind w:firstLine="200" w:firstLineChars="200"/>
      <w:textAlignment w:val="baseline"/>
    </w:pPr>
    <w:rPr>
      <w:rFonts w:hint="eastAsia" w:ascii="宋体" w:hAnsi="宋体"/>
      <w:sz w:val="24"/>
    </w:rPr>
  </w:style>
  <w:style w:type="paragraph" w:customStyle="1" w:styleId="308">
    <w:name w:val="xl32"/>
    <w:basedOn w:val="1"/>
    <w:qFormat/>
    <w:uiPriority w:val="0"/>
    <w:pPr>
      <w:widowControl/>
      <w:pBdr>
        <w:top w:val="single" w:color="auto" w:sz="8" w:space="0"/>
        <w:left w:val="single" w:color="auto" w:sz="8" w:space="0"/>
        <w:bottom w:val="single" w:color="auto" w:sz="8" w:space="0"/>
        <w:right w:val="single" w:color="auto" w:sz="8" w:space="0"/>
      </w:pBdr>
      <w:spacing w:before="100" w:beforeAutospacing="1" w:after="100" w:afterAutospacing="1"/>
      <w:jc w:val="center"/>
    </w:pPr>
    <w:rPr>
      <w:rFonts w:ascii="Calibri" w:hAnsi="Calibri"/>
      <w:kern w:val="0"/>
      <w:sz w:val="20"/>
    </w:rPr>
  </w:style>
  <w:style w:type="paragraph" w:customStyle="1" w:styleId="309">
    <w:name w:val="样式 标准文本 首行缩进:2 字符 行距1倍 + 首行缩进:  2 字符"/>
    <w:basedOn w:val="255"/>
    <w:qFormat/>
    <w:uiPriority w:val="0"/>
  </w:style>
  <w:style w:type="paragraph" w:customStyle="1" w:styleId="310">
    <w:name w:val="xl40"/>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Calibri" w:hAnsi="Calibri"/>
      <w:kern w:val="0"/>
      <w:sz w:val="24"/>
      <w:szCs w:val="22"/>
    </w:rPr>
  </w:style>
  <w:style w:type="paragraph" w:customStyle="1" w:styleId="311">
    <w:name w:val="样式 标题 1二处标题 11标题 1 Char章标题章节H1Otsikko 1标题 1 Char Char Ch..."/>
    <w:basedOn w:val="3"/>
    <w:qFormat/>
    <w:uiPriority w:val="0"/>
    <w:pPr>
      <w:snapToGrid/>
      <w:spacing w:line="480" w:lineRule="exact"/>
      <w:ind w:firstLine="200" w:firstLineChars="200"/>
      <w:jc w:val="center"/>
    </w:pPr>
    <w:rPr>
      <w:rFonts w:eastAsia="Times New Roman" w:cs="宋体"/>
      <w:b/>
      <w:bCs/>
      <w:sz w:val="32"/>
    </w:rPr>
  </w:style>
  <w:style w:type="paragraph" w:customStyle="1" w:styleId="312">
    <w:name w:val="样式 标题 1 + 加粗"/>
    <w:basedOn w:val="3"/>
    <w:qFormat/>
    <w:uiPriority w:val="0"/>
    <w:rPr>
      <w:rFonts w:ascii="宋体" w:hAnsi="宋体" w:eastAsia="宋体"/>
      <w:b/>
    </w:rPr>
  </w:style>
  <w:style w:type="paragraph" w:customStyle="1" w:styleId="313">
    <w:name w:val="标准符号 行距1.5倍"/>
    <w:basedOn w:val="158"/>
    <w:qFormat/>
    <w:uiPriority w:val="0"/>
    <w:pPr>
      <w:spacing w:line="240" w:lineRule="auto"/>
      <w:ind w:firstLine="0" w:firstLineChars="0"/>
    </w:pPr>
  </w:style>
  <w:style w:type="paragraph" w:customStyle="1" w:styleId="314">
    <w:name w:val="样式 样式 目录 2 + 首行缩进:  2 字符 + 首行缩进:  2 字符1"/>
    <w:basedOn w:val="236"/>
    <w:qFormat/>
    <w:uiPriority w:val="0"/>
    <w:pPr>
      <w:tabs>
        <w:tab w:val="left" w:pos="960"/>
        <w:tab w:val="clear" w:pos="1200"/>
      </w:tabs>
      <w:ind w:firstLine="400"/>
    </w:pPr>
  </w:style>
  <w:style w:type="paragraph" w:customStyle="1" w:styleId="315">
    <w:name w:val="表序号"/>
    <w:basedOn w:val="7"/>
    <w:qFormat/>
    <w:uiPriority w:val="0"/>
    <w:pPr>
      <w:widowControl/>
      <w:numPr>
        <w:ilvl w:val="0"/>
        <w:numId w:val="0"/>
      </w:numPr>
      <w:tabs>
        <w:tab w:val="left" w:pos="3566"/>
        <w:tab w:val="clear" w:pos="3827"/>
      </w:tabs>
      <w:spacing w:before="0" w:after="0" w:line="360" w:lineRule="auto"/>
      <w:ind w:left="3260" w:hanging="1134"/>
      <w:jc w:val="center"/>
    </w:pPr>
    <w:rPr>
      <w:rFonts w:ascii="宋体" w:hAnsi="Arial"/>
      <w:color w:val="16505E"/>
      <w:kern w:val="0"/>
      <w:sz w:val="22"/>
    </w:rPr>
  </w:style>
  <w:style w:type="paragraph" w:customStyle="1" w:styleId="316">
    <w:name w:val="样式6"/>
    <w:basedOn w:val="1"/>
    <w:qFormat/>
    <w:uiPriority w:val="0"/>
    <w:pPr>
      <w:widowControl/>
      <w:snapToGrid w:val="0"/>
      <w:spacing w:line="360" w:lineRule="auto"/>
      <w:ind w:firstLine="200" w:firstLineChars="200"/>
      <w:jc w:val="left"/>
    </w:pPr>
    <w:rPr>
      <w:rFonts w:ascii="Calibri" w:hAnsi="Calibri"/>
      <w:kern w:val="0"/>
      <w:sz w:val="24"/>
    </w:rPr>
  </w:style>
  <w:style w:type="paragraph" w:customStyle="1" w:styleId="317">
    <w:name w:val="金源"/>
    <w:basedOn w:val="1"/>
    <w:link w:val="508"/>
    <w:qFormat/>
    <w:uiPriority w:val="0"/>
    <w:pPr>
      <w:spacing w:line="480" w:lineRule="exact"/>
      <w:ind w:firstLine="480" w:firstLineChars="200"/>
      <w:jc w:val="left"/>
    </w:pPr>
    <w:rPr>
      <w:rFonts w:cs="宋体"/>
      <w:sz w:val="24"/>
    </w:rPr>
  </w:style>
  <w:style w:type="paragraph" w:customStyle="1" w:styleId="318">
    <w:name w:val="Char Char5 Char Char Char Char"/>
    <w:basedOn w:val="1"/>
    <w:qFormat/>
    <w:uiPriority w:val="0"/>
    <w:rPr>
      <w:szCs w:val="24"/>
    </w:rPr>
  </w:style>
  <w:style w:type="paragraph" w:customStyle="1" w:styleId="319">
    <w:name w:val="报告"/>
    <w:basedOn w:val="1"/>
    <w:link w:val="507"/>
    <w:qFormat/>
    <w:uiPriority w:val="0"/>
    <w:pPr>
      <w:adjustRightInd w:val="0"/>
      <w:spacing w:line="360" w:lineRule="auto"/>
      <w:ind w:firstLine="505"/>
      <w:textAlignment w:val="center"/>
    </w:pPr>
    <w:rPr>
      <w:rFonts w:ascii="TimesNewRoman" w:hAnsi="TimesNewRoman"/>
      <w:kern w:val="0"/>
      <w:sz w:val="24"/>
    </w:rPr>
  </w:style>
  <w:style w:type="paragraph" w:customStyle="1" w:styleId="320">
    <w:name w:val="样式 宋体 居中"/>
    <w:basedOn w:val="1"/>
    <w:qFormat/>
    <w:uiPriority w:val="0"/>
    <w:pPr>
      <w:adjustRightInd w:val="0"/>
      <w:spacing w:line="360" w:lineRule="auto"/>
      <w:jc w:val="center"/>
      <w:textAlignment w:val="baseline"/>
    </w:pPr>
    <w:rPr>
      <w:rFonts w:ascii="宋体" w:hAnsi="宋体"/>
      <w:kern w:val="21"/>
      <w:sz w:val="24"/>
    </w:rPr>
  </w:style>
  <w:style w:type="paragraph" w:customStyle="1" w:styleId="321">
    <w:name w:val="Pa8"/>
    <w:basedOn w:val="1"/>
    <w:next w:val="1"/>
    <w:qFormat/>
    <w:uiPriority w:val="0"/>
    <w:pPr>
      <w:widowControl/>
      <w:autoSpaceDE w:val="0"/>
      <w:autoSpaceDN w:val="0"/>
      <w:adjustRightInd w:val="0"/>
      <w:spacing w:before="140" w:after="140" w:line="211" w:lineRule="atLeast"/>
      <w:jc w:val="left"/>
    </w:pPr>
    <w:rPr>
      <w:rFonts w:ascii="宋体" w:hAnsi="Calibri"/>
      <w:kern w:val="0"/>
      <w:sz w:val="24"/>
      <w:szCs w:val="22"/>
    </w:rPr>
  </w:style>
  <w:style w:type="paragraph" w:customStyle="1" w:styleId="322">
    <w:name w:val="xl33"/>
    <w:basedOn w:val="1"/>
    <w:qFormat/>
    <w:uiPriority w:val="0"/>
    <w:pPr>
      <w:widowControl/>
      <w:pBdr>
        <w:top w:val="single" w:color="auto" w:sz="8" w:space="0"/>
        <w:left w:val="single" w:color="auto" w:sz="8" w:space="0"/>
        <w:bottom w:val="single" w:color="auto" w:sz="8" w:space="0"/>
        <w:right w:val="single" w:color="auto" w:sz="8" w:space="0"/>
      </w:pBdr>
      <w:spacing w:before="100" w:beforeAutospacing="1" w:after="100" w:afterAutospacing="1"/>
      <w:jc w:val="center"/>
    </w:pPr>
    <w:rPr>
      <w:rFonts w:ascii="宋体" w:hAnsi="宋体"/>
      <w:kern w:val="0"/>
      <w:sz w:val="20"/>
    </w:rPr>
  </w:style>
  <w:style w:type="paragraph" w:customStyle="1" w:styleId="323">
    <w:name w:val="表格 23"/>
    <w:basedOn w:val="1"/>
    <w:qFormat/>
    <w:uiPriority w:val="0"/>
    <w:pPr>
      <w:jc w:val="center"/>
    </w:pPr>
    <w:rPr>
      <w:rFonts w:eastAsia="楷体_GB2312"/>
      <w:sz w:val="24"/>
      <w:szCs w:val="24"/>
    </w:rPr>
  </w:style>
  <w:style w:type="paragraph" w:customStyle="1" w:styleId="324">
    <w:name w:val="BT3"/>
    <w:basedOn w:val="6"/>
    <w:qFormat/>
    <w:uiPriority w:val="0"/>
    <w:pPr>
      <w:widowControl/>
      <w:numPr>
        <w:ilvl w:val="0"/>
        <w:numId w:val="0"/>
      </w:numPr>
      <w:tabs>
        <w:tab w:val="left" w:pos="1276"/>
        <w:tab w:val="clear" w:pos="2126"/>
      </w:tabs>
      <w:spacing w:before="0" w:after="0" w:line="415" w:lineRule="auto"/>
      <w:ind w:left="1276" w:hanging="720"/>
      <w:jc w:val="left"/>
    </w:pPr>
    <w:rPr>
      <w:rFonts w:ascii="Cambria" w:hAnsi="Cambria"/>
      <w:bCs/>
      <w:color w:val="2DA2BF"/>
      <w:kern w:val="0"/>
      <w:sz w:val="28"/>
      <w:szCs w:val="22"/>
    </w:rPr>
  </w:style>
  <w:style w:type="paragraph" w:customStyle="1" w:styleId="325">
    <w:name w:val="1.1.1样式 样式 标题 2节 + (西文) Times New Roman (中文) 宋体 四号 段前: 0.5 行 段后: 0......"/>
    <w:basedOn w:val="1"/>
    <w:next w:val="326"/>
    <w:qFormat/>
    <w:uiPriority w:val="0"/>
    <w:pPr>
      <w:keepNext/>
      <w:keepLines/>
      <w:tabs>
        <w:tab w:val="left" w:pos="567"/>
      </w:tabs>
      <w:adjustRightInd w:val="0"/>
      <w:snapToGrid w:val="0"/>
      <w:spacing w:before="280" w:beforeLines="90" w:after="280" w:afterLines="90"/>
      <w:ind w:left="567" w:hanging="567"/>
      <w:outlineLvl w:val="1"/>
    </w:pPr>
    <w:rPr>
      <w:rFonts w:hAnsi="宋体"/>
      <w:b/>
      <w:bCs/>
      <w:kern w:val="0"/>
      <w:sz w:val="30"/>
      <w:szCs w:val="30"/>
    </w:rPr>
  </w:style>
  <w:style w:type="paragraph" w:customStyle="1" w:styleId="326">
    <w:name w:val="样式 目录 2 + 左侧:  2 字符 首行缩进:  2 字符"/>
    <w:basedOn w:val="46"/>
    <w:qFormat/>
    <w:uiPriority w:val="0"/>
    <w:pPr>
      <w:ind w:left="480" w:leftChars="200" w:firstLine="480"/>
    </w:pPr>
    <w:rPr>
      <w:rFonts w:cs="宋体"/>
      <w:sz w:val="18"/>
      <w:szCs w:val="18"/>
    </w:rPr>
  </w:style>
  <w:style w:type="paragraph" w:customStyle="1" w:styleId="327">
    <w:name w:val="大标题"/>
    <w:basedOn w:val="3"/>
    <w:qFormat/>
    <w:uiPriority w:val="0"/>
    <w:pPr>
      <w:widowControl/>
      <w:tabs>
        <w:tab w:val="left" w:pos="432"/>
        <w:tab w:val="left" w:pos="8640"/>
      </w:tabs>
      <w:snapToGrid/>
      <w:spacing w:before="480" w:after="312" w:afterLines="100" w:line="480" w:lineRule="auto"/>
      <w:ind w:left="432" w:firstLine="200" w:firstLineChars="200"/>
      <w:jc w:val="center"/>
    </w:pPr>
    <w:rPr>
      <w:rFonts w:ascii="Cambria" w:hAnsi="Cambria" w:eastAsia="宋体"/>
      <w:b/>
      <w:bCs/>
      <w:color w:val="000000"/>
      <w:kern w:val="0"/>
      <w:szCs w:val="28"/>
    </w:rPr>
  </w:style>
  <w:style w:type="paragraph" w:customStyle="1" w:styleId="328">
    <w:name w:val="项目符号1"/>
    <w:basedOn w:val="1"/>
    <w:qFormat/>
    <w:uiPriority w:val="0"/>
    <w:pPr>
      <w:widowControl/>
      <w:tabs>
        <w:tab w:val="left" w:pos="780"/>
      </w:tabs>
      <w:overflowPunct w:val="0"/>
      <w:snapToGrid w:val="0"/>
      <w:spacing w:line="480" w:lineRule="exact"/>
      <w:ind w:left="435" w:hanging="285"/>
      <w:jc w:val="left"/>
    </w:pPr>
    <w:rPr>
      <w:rFonts w:ascii="Arial" w:hAnsi="Arial" w:eastAsia="仿宋_GB2312"/>
      <w:kern w:val="0"/>
      <w:sz w:val="28"/>
    </w:rPr>
  </w:style>
  <w:style w:type="paragraph" w:customStyle="1" w:styleId="329">
    <w:name w:val="正文居中"/>
    <w:basedOn w:val="1"/>
    <w:qFormat/>
    <w:uiPriority w:val="0"/>
    <w:pPr>
      <w:widowControl/>
      <w:spacing w:line="400" w:lineRule="exact"/>
      <w:jc w:val="center"/>
    </w:pPr>
    <w:rPr>
      <w:rFonts w:ascii="Calibri" w:hAnsi="Calibri" w:cs="宋体"/>
      <w:kern w:val="0"/>
      <w:sz w:val="24"/>
    </w:rPr>
  </w:style>
  <w:style w:type="paragraph" w:customStyle="1" w:styleId="330">
    <w:name w:val="样式 (符号) 宋体 右 右侧:  0.19 厘米"/>
    <w:basedOn w:val="1"/>
    <w:next w:val="3"/>
    <w:qFormat/>
    <w:uiPriority w:val="0"/>
    <w:pPr>
      <w:ind w:right="105"/>
      <w:jc w:val="right"/>
    </w:pPr>
    <w:rPr>
      <w:rFonts w:hAnsi="宋体" w:cs="宋体"/>
    </w:rPr>
  </w:style>
  <w:style w:type="paragraph" w:customStyle="1" w:styleId="331">
    <w:name w:val="LOGO"/>
    <w:basedOn w:val="1"/>
    <w:qFormat/>
    <w:uiPriority w:val="0"/>
    <w:pPr>
      <w:widowControl/>
      <w:ind w:left="482"/>
      <w:jc w:val="right"/>
    </w:pPr>
    <w:rPr>
      <w:rFonts w:ascii="Calibri" w:hAnsi="Calibri" w:cs="宋体"/>
      <w:kern w:val="0"/>
      <w:sz w:val="24"/>
    </w:rPr>
  </w:style>
  <w:style w:type="paragraph" w:customStyle="1" w:styleId="332">
    <w:name w:val="默认段落字体 Para Char"/>
    <w:basedOn w:val="1"/>
    <w:next w:val="1"/>
    <w:qFormat/>
    <w:uiPriority w:val="0"/>
    <w:pPr>
      <w:widowControl/>
      <w:spacing w:line="360" w:lineRule="auto"/>
      <w:ind w:firstLine="200" w:firstLineChars="200"/>
      <w:jc w:val="left"/>
    </w:pPr>
    <w:rPr>
      <w:rFonts w:ascii="宋体" w:hAnsi="宋体" w:cs="宋体"/>
      <w:kern w:val="0"/>
      <w:sz w:val="24"/>
      <w:szCs w:val="22"/>
    </w:rPr>
  </w:style>
  <w:style w:type="paragraph" w:customStyle="1" w:styleId="333">
    <w:name w:val="Table Paragraph"/>
    <w:basedOn w:val="1"/>
    <w:unhideWhenUsed/>
    <w:qFormat/>
    <w:uiPriority w:val="1"/>
    <w:rPr>
      <w:sz w:val="24"/>
      <w:szCs w:val="24"/>
    </w:rPr>
  </w:style>
  <w:style w:type="paragraph" w:customStyle="1" w:styleId="334">
    <w:name w:val="我的样式（正文）"/>
    <w:basedOn w:val="1"/>
    <w:qFormat/>
    <w:uiPriority w:val="0"/>
    <w:pPr>
      <w:widowControl/>
      <w:spacing w:line="440" w:lineRule="exact"/>
      <w:jc w:val="left"/>
    </w:pPr>
    <w:rPr>
      <w:rFonts w:ascii="宋体" w:hAnsi="Calibri"/>
      <w:kern w:val="0"/>
      <w:sz w:val="28"/>
    </w:rPr>
  </w:style>
  <w:style w:type="paragraph" w:customStyle="1" w:styleId="335">
    <w:name w:val="样式 标题 2二处标题 2节标题 1.11.1标题2b2ParagrafoH22nd levelh2Heade...3"/>
    <w:basedOn w:val="4"/>
    <w:qFormat/>
    <w:uiPriority w:val="0"/>
    <w:pPr>
      <w:keepNext w:val="0"/>
      <w:keepLines w:val="0"/>
      <w:numPr>
        <w:ilvl w:val="0"/>
        <w:numId w:val="0"/>
      </w:numPr>
      <w:tabs>
        <w:tab w:val="clear" w:pos="1276"/>
      </w:tabs>
      <w:snapToGrid w:val="0"/>
      <w:spacing w:before="0" w:after="0" w:line="480" w:lineRule="exact"/>
      <w:ind w:firstLine="600" w:firstLineChars="200"/>
      <w:textAlignment w:val="auto"/>
    </w:pPr>
    <w:rPr>
      <w:rFonts w:ascii="Times New Roman" w:hAnsi="Times New Roman" w:eastAsia="Times New Roman" w:cs="宋体"/>
      <w:color w:val="000000"/>
      <w:sz w:val="30"/>
    </w:rPr>
  </w:style>
  <w:style w:type="paragraph" w:customStyle="1" w:styleId="336">
    <w:name w:val="样式 标准文本 首行缩进:2 字符 行距1.5倍 + 首行缩进:  2 字符2"/>
    <w:basedOn w:val="158"/>
    <w:qFormat/>
    <w:uiPriority w:val="0"/>
    <w:pPr>
      <w:spacing w:line="240" w:lineRule="auto"/>
    </w:pPr>
    <w:rPr>
      <w:szCs w:val="20"/>
    </w:rPr>
  </w:style>
  <w:style w:type="paragraph" w:customStyle="1" w:styleId="337">
    <w:name w:val="样式 报告正文"/>
    <w:basedOn w:val="1"/>
    <w:qFormat/>
    <w:uiPriority w:val="0"/>
    <w:pPr>
      <w:spacing w:line="520" w:lineRule="exact"/>
      <w:ind w:firstLine="600"/>
    </w:pPr>
    <w:rPr>
      <w:szCs w:val="24"/>
    </w:rPr>
  </w:style>
  <w:style w:type="paragraph" w:customStyle="1" w:styleId="338">
    <w:name w:val="表内格式"/>
    <w:basedOn w:val="1"/>
    <w:link w:val="660"/>
    <w:qFormat/>
    <w:uiPriority w:val="0"/>
    <w:pPr>
      <w:jc w:val="center"/>
    </w:pPr>
    <w:rPr>
      <w:sz w:val="18"/>
    </w:rPr>
  </w:style>
  <w:style w:type="paragraph" w:customStyle="1" w:styleId="339">
    <w:name w:val="表头-lcc"/>
    <w:basedOn w:val="1"/>
    <w:qFormat/>
    <w:uiPriority w:val="0"/>
    <w:pPr>
      <w:jc w:val="center"/>
    </w:pPr>
    <w:rPr>
      <w:b/>
      <w:szCs w:val="21"/>
    </w:rPr>
  </w:style>
  <w:style w:type="paragraph" w:customStyle="1" w:styleId="340">
    <w:name w:val="样式 宋体 小四 段前: 0.5 磅"/>
    <w:basedOn w:val="1"/>
    <w:qFormat/>
    <w:uiPriority w:val="0"/>
    <w:pPr>
      <w:widowControl/>
      <w:spacing w:before="120" w:line="360" w:lineRule="auto"/>
      <w:ind w:firstLine="257" w:firstLineChars="257"/>
      <w:jc w:val="left"/>
    </w:pPr>
    <w:rPr>
      <w:rFonts w:ascii="宋体" w:hAnsi="宋体" w:cs="宋体"/>
      <w:kern w:val="0"/>
      <w:sz w:val="24"/>
    </w:rPr>
  </w:style>
  <w:style w:type="paragraph" w:customStyle="1" w:styleId="341">
    <w:name w:val="首行缩进"/>
    <w:basedOn w:val="1"/>
    <w:qFormat/>
    <w:uiPriority w:val="0"/>
    <w:pPr>
      <w:spacing w:line="360" w:lineRule="auto"/>
      <w:ind w:firstLine="480" w:firstLineChars="200"/>
    </w:pPr>
    <w:rPr>
      <w:sz w:val="24"/>
      <w:szCs w:val="24"/>
    </w:rPr>
  </w:style>
  <w:style w:type="paragraph" w:customStyle="1" w:styleId="342">
    <w:name w:val="tajicy"/>
    <w:basedOn w:val="1"/>
    <w:link w:val="603"/>
    <w:qFormat/>
    <w:uiPriority w:val="0"/>
    <w:pPr>
      <w:adjustRightInd w:val="0"/>
      <w:snapToGrid w:val="0"/>
      <w:spacing w:line="360" w:lineRule="auto"/>
      <w:ind w:firstLine="480" w:firstLineChars="200"/>
      <w:jc w:val="left"/>
    </w:pPr>
    <w:rPr>
      <w:color w:val="008000"/>
      <w:kern w:val="0"/>
      <w:sz w:val="24"/>
      <w:lang w:val="en-GB"/>
    </w:rPr>
  </w:style>
  <w:style w:type="paragraph" w:customStyle="1" w:styleId="343">
    <w:name w:val="表蕊居中"/>
    <w:qFormat/>
    <w:uiPriority w:val="0"/>
    <w:pPr>
      <w:widowControl w:val="0"/>
      <w:adjustRightInd w:val="0"/>
      <w:spacing w:line="320" w:lineRule="exact"/>
      <w:jc w:val="center"/>
      <w:textAlignment w:val="baseline"/>
    </w:pPr>
    <w:rPr>
      <w:rFonts w:ascii="Times New Roman" w:hAnsi="Times New Roman" w:eastAsia="宋体" w:cs="Times New Roman"/>
      <w:bCs/>
      <w:sz w:val="21"/>
      <w:szCs w:val="22"/>
      <w:lang w:val="en-US" w:eastAsia="zh-CN" w:bidi="ar-SA"/>
    </w:rPr>
  </w:style>
  <w:style w:type="paragraph" w:customStyle="1" w:styleId="344">
    <w:name w:val="xl3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color w:val="000000"/>
      <w:kern w:val="0"/>
      <w:sz w:val="20"/>
    </w:rPr>
  </w:style>
  <w:style w:type="paragraph" w:customStyle="1" w:styleId="345">
    <w:name w:val="*正文"/>
    <w:qFormat/>
    <w:uiPriority w:val="0"/>
    <w:pPr>
      <w:spacing w:line="360" w:lineRule="auto"/>
      <w:ind w:firstLine="200" w:firstLineChars="200"/>
      <w:jc w:val="both"/>
      <w:textAlignment w:val="baseline"/>
    </w:pPr>
    <w:rPr>
      <w:rFonts w:ascii="Times New Roman" w:hAnsi="Times New Roman" w:eastAsia="宋体" w:cs="Times New Roman"/>
      <w:color w:val="000000"/>
      <w:sz w:val="24"/>
      <w:lang w:val="en-US" w:eastAsia="zh-CN" w:bidi="ar-SA"/>
    </w:rPr>
  </w:style>
  <w:style w:type="paragraph" w:customStyle="1" w:styleId="346">
    <w:name w:val="样式 列表 + 左侧:  0 厘米 悬挂缩进: 5.85 字符"/>
    <w:basedOn w:val="42"/>
    <w:qFormat/>
    <w:uiPriority w:val="0"/>
    <w:pPr>
      <w:ind w:left="0" w:firstLine="0" w:firstLineChars="0"/>
      <w:jc w:val="center"/>
    </w:pPr>
    <w:rPr>
      <w:color w:val="FF0000"/>
      <w:szCs w:val="21"/>
      <w:lang w:val="zh-CN"/>
    </w:rPr>
  </w:style>
  <w:style w:type="paragraph" w:customStyle="1" w:styleId="347">
    <w:name w:val="xl25"/>
    <w:basedOn w:val="1"/>
    <w:qFormat/>
    <w:uiPriority w:val="0"/>
    <w:pPr>
      <w:widowControl/>
      <w:pBdr>
        <w:left w:val="single" w:color="auto" w:sz="8" w:space="0"/>
        <w:right w:val="single" w:color="auto" w:sz="8" w:space="0"/>
      </w:pBdr>
      <w:spacing w:before="100" w:beforeAutospacing="1" w:after="100" w:afterAutospacing="1"/>
      <w:jc w:val="center"/>
    </w:pPr>
    <w:rPr>
      <w:rFonts w:ascii="宋体" w:hAnsi="宋体"/>
      <w:kern w:val="0"/>
      <w:sz w:val="24"/>
    </w:rPr>
  </w:style>
  <w:style w:type="paragraph" w:customStyle="1" w:styleId="348">
    <w:name w:val="Char Char Char Char Char Char Char Char Char1 Char Char Char"/>
    <w:basedOn w:val="1"/>
    <w:qFormat/>
    <w:uiPriority w:val="0"/>
    <w:rPr>
      <w:sz w:val="24"/>
      <w:szCs w:val="24"/>
    </w:rPr>
  </w:style>
  <w:style w:type="paragraph" w:customStyle="1" w:styleId="349">
    <w:name w:val="Char Char Char Char Char Char Char Char1 Char Char Char Char Char Char Char Char Char Char Char Char1 Char"/>
    <w:basedOn w:val="1"/>
    <w:qFormat/>
    <w:uiPriority w:val="0"/>
    <w:rPr>
      <w:sz w:val="24"/>
      <w:szCs w:val="24"/>
    </w:rPr>
  </w:style>
  <w:style w:type="paragraph" w:customStyle="1" w:styleId="350">
    <w:name w:val="正文样式 Char Char Char Char Char"/>
    <w:basedOn w:val="1"/>
    <w:link w:val="583"/>
    <w:qFormat/>
    <w:uiPriority w:val="0"/>
    <w:pPr>
      <w:spacing w:line="360" w:lineRule="auto"/>
      <w:ind w:firstLine="480" w:firstLineChars="200"/>
    </w:pPr>
    <w:rPr>
      <w:rFonts w:ascii="宋体" w:hAnsi="宋体"/>
      <w:color w:val="000000"/>
      <w:sz w:val="24"/>
      <w:szCs w:val="24"/>
    </w:rPr>
  </w:style>
  <w:style w:type="paragraph" w:customStyle="1" w:styleId="351">
    <w:name w:val="样式 标题 1二处标题 11标题 1 Char章标题章节H1Otsikko 1标题 1 Char Char Ch...4"/>
    <w:basedOn w:val="3"/>
    <w:qFormat/>
    <w:uiPriority w:val="0"/>
    <w:pPr>
      <w:snapToGrid/>
      <w:spacing w:line="480" w:lineRule="exact"/>
      <w:ind w:firstLine="643" w:firstLineChars="200"/>
      <w:jc w:val="center"/>
    </w:pPr>
    <w:rPr>
      <w:rFonts w:hAnsi="宋体" w:eastAsia="宋体"/>
      <w:b/>
      <w:bCs/>
      <w:color w:val="000000"/>
      <w:sz w:val="32"/>
    </w:rPr>
  </w:style>
  <w:style w:type="paragraph" w:customStyle="1" w:styleId="352">
    <w:name w:val="font0"/>
    <w:basedOn w:val="1"/>
    <w:qFormat/>
    <w:uiPriority w:val="0"/>
    <w:pPr>
      <w:widowControl/>
      <w:spacing w:before="100" w:beforeAutospacing="1" w:after="100" w:afterAutospacing="1"/>
      <w:jc w:val="left"/>
    </w:pPr>
    <w:rPr>
      <w:rFonts w:ascii="Arial" w:hAnsi="Arial" w:eastAsia="Arial Unicode MS" w:cs="Arial"/>
      <w:kern w:val="0"/>
      <w:sz w:val="20"/>
    </w:rPr>
  </w:style>
  <w:style w:type="paragraph" w:customStyle="1" w:styleId="353">
    <w:name w:val="word"/>
    <w:basedOn w:val="1"/>
    <w:qFormat/>
    <w:uiPriority w:val="0"/>
    <w:pPr>
      <w:spacing w:line="360" w:lineRule="auto"/>
      <w:ind w:firstLine="480" w:firstLineChars="200"/>
    </w:pPr>
    <w:rPr>
      <w:rFonts w:ascii="宋体" w:hAnsi="宋体"/>
      <w:color w:val="000000"/>
      <w:sz w:val="24"/>
      <w:szCs w:val="24"/>
    </w:rPr>
  </w:style>
  <w:style w:type="paragraph" w:customStyle="1" w:styleId="354">
    <w:name w:val="样式 标题 4 + 四号 段前: 1 行"/>
    <w:basedOn w:val="2"/>
    <w:qFormat/>
    <w:uiPriority w:val="0"/>
    <w:pPr>
      <w:widowControl/>
      <w:numPr>
        <w:ilvl w:val="0"/>
        <w:numId w:val="0"/>
      </w:numPr>
      <w:tabs>
        <w:tab w:val="clear" w:pos="2976"/>
      </w:tabs>
      <w:spacing w:before="312" w:beforeLines="100" w:after="0" w:line="420" w:lineRule="exact"/>
      <w:ind w:left="560"/>
      <w:jc w:val="left"/>
    </w:pPr>
    <w:rPr>
      <w:rFonts w:eastAsia="宋体"/>
      <w:bCs/>
      <w:i/>
      <w:iCs/>
      <w:color w:val="2DA2BF"/>
      <w:kern w:val="0"/>
    </w:rPr>
  </w:style>
  <w:style w:type="paragraph" w:customStyle="1" w:styleId="355">
    <w:name w:val="报告正文"/>
    <w:basedOn w:val="1"/>
    <w:link w:val="667"/>
    <w:qFormat/>
    <w:uiPriority w:val="0"/>
    <w:pPr>
      <w:spacing w:line="440" w:lineRule="exact"/>
      <w:ind w:firstLine="200" w:firstLineChars="200"/>
      <w:jc w:val="left"/>
    </w:pPr>
    <w:rPr>
      <w:rFonts w:eastAsia="仿宋_GB2312"/>
      <w:sz w:val="24"/>
      <w:szCs w:val="24"/>
    </w:rPr>
  </w:style>
  <w:style w:type="paragraph" w:customStyle="1" w:styleId="356">
    <w:name w:val="样式 标题 2标题 2-王鹏标题2纪任山标题 2Char标题 2 Char1标题 2 Char Char二处标题 ..."/>
    <w:basedOn w:val="4"/>
    <w:qFormat/>
    <w:uiPriority w:val="0"/>
    <w:pPr>
      <w:numPr>
        <w:ilvl w:val="0"/>
        <w:numId w:val="0"/>
      </w:numPr>
      <w:tabs>
        <w:tab w:val="clear" w:pos="1276"/>
      </w:tabs>
      <w:adjustRightInd/>
      <w:spacing w:before="0" w:after="0" w:line="480" w:lineRule="exact"/>
      <w:ind w:left="-30" w:leftChars="-30" w:firstLine="200" w:firstLineChars="200"/>
      <w:jc w:val="both"/>
      <w:textAlignment w:val="auto"/>
    </w:pPr>
    <w:rPr>
      <w:rFonts w:ascii="Times New Roman" w:hAnsi="Times New Roman" w:eastAsia="宋体" w:cs="宋体"/>
      <w:bCs/>
      <w:sz w:val="30"/>
    </w:rPr>
  </w:style>
  <w:style w:type="paragraph" w:customStyle="1" w:styleId="357">
    <w:name w:val="Char Char Char Char Char Char"/>
    <w:basedOn w:val="1"/>
    <w:qFormat/>
    <w:uiPriority w:val="0"/>
    <w:rPr>
      <w:sz w:val="24"/>
      <w:szCs w:val="24"/>
    </w:rPr>
  </w:style>
  <w:style w:type="paragraph" w:customStyle="1" w:styleId="358">
    <w:name w:val="样式 标题 1-G"/>
    <w:basedOn w:val="3"/>
    <w:qFormat/>
    <w:uiPriority w:val="0"/>
    <w:pPr>
      <w:keepLines w:val="0"/>
      <w:snapToGrid/>
      <w:spacing w:line="480" w:lineRule="exact"/>
      <w:jc w:val="center"/>
    </w:pPr>
    <w:rPr>
      <w:rFonts w:eastAsia="宋体" w:cs="宋体"/>
      <w:b/>
      <w:bCs/>
      <w:kern w:val="2"/>
      <w:sz w:val="32"/>
    </w:rPr>
  </w:style>
  <w:style w:type="paragraph" w:customStyle="1" w:styleId="359">
    <w:name w:val="纪任山图表标题5"/>
    <w:basedOn w:val="1"/>
    <w:qFormat/>
    <w:uiPriority w:val="0"/>
    <w:pPr>
      <w:adjustRightInd w:val="0"/>
      <w:snapToGrid w:val="0"/>
      <w:spacing w:before="156" w:beforeLines="50" w:after="156" w:afterLines="50" w:line="480" w:lineRule="exact"/>
      <w:jc w:val="center"/>
    </w:pPr>
    <w:rPr>
      <w:b/>
      <w:bCs/>
      <w:spacing w:val="6"/>
      <w:sz w:val="24"/>
      <w:szCs w:val="24"/>
    </w:rPr>
  </w:style>
  <w:style w:type="paragraph" w:customStyle="1" w:styleId="360">
    <w:name w:val="Char Char Char Char Char Char Char1"/>
    <w:basedOn w:val="1"/>
    <w:qFormat/>
    <w:uiPriority w:val="0"/>
  </w:style>
  <w:style w:type="paragraph" w:customStyle="1" w:styleId="361">
    <w:name w:val="A标准格式"/>
    <w:basedOn w:val="1"/>
    <w:qFormat/>
    <w:uiPriority w:val="0"/>
    <w:pPr>
      <w:adjustRightInd w:val="0"/>
      <w:spacing w:line="440" w:lineRule="exact"/>
      <w:ind w:firstLine="480" w:firstLineChars="200"/>
      <w:textAlignment w:val="baseline"/>
    </w:pPr>
    <w:rPr>
      <w:rFonts w:ascii="等线" w:hAnsi="等线"/>
      <w:sz w:val="24"/>
      <w:szCs w:val="24"/>
    </w:rPr>
  </w:style>
  <w:style w:type="paragraph" w:customStyle="1" w:styleId="362">
    <w:name w:val="样式 标题 2标题 2-王鹏标题2纪任山标题 2Char标题 2 Char1标题 2 Char Char + 左侧:..."/>
    <w:basedOn w:val="4"/>
    <w:qFormat/>
    <w:uiPriority w:val="0"/>
    <w:pPr>
      <w:numPr>
        <w:ilvl w:val="0"/>
        <w:numId w:val="0"/>
      </w:numPr>
      <w:tabs>
        <w:tab w:val="clear" w:pos="1276"/>
      </w:tabs>
      <w:adjustRightInd/>
      <w:spacing w:before="0" w:after="0" w:line="480" w:lineRule="exact"/>
      <w:ind w:left="-63" w:leftChars="-30" w:firstLine="602" w:firstLineChars="200"/>
      <w:jc w:val="both"/>
      <w:textAlignment w:val="auto"/>
    </w:pPr>
    <w:rPr>
      <w:rFonts w:ascii="Times New Roman" w:hAnsi="Times New Roman" w:eastAsia="宋体" w:cs="宋体"/>
      <w:bCs/>
      <w:sz w:val="30"/>
    </w:rPr>
  </w:style>
  <w:style w:type="paragraph" w:customStyle="1" w:styleId="363">
    <w:name w:val="表中"/>
    <w:qFormat/>
    <w:uiPriority w:val="0"/>
    <w:pPr>
      <w:adjustRightInd w:val="0"/>
      <w:snapToGrid w:val="0"/>
      <w:jc w:val="center"/>
    </w:pPr>
    <w:rPr>
      <w:rFonts w:ascii="Times New Roman" w:hAnsi="Times New Roman" w:eastAsia="宋体" w:cs="Times New Roman"/>
      <w:kern w:val="44"/>
      <w:sz w:val="18"/>
      <w:lang w:val="en-US" w:eastAsia="zh-CN" w:bidi="ar-SA"/>
    </w:rPr>
  </w:style>
  <w:style w:type="paragraph" w:customStyle="1" w:styleId="364">
    <w:name w:val="G样式1"/>
    <w:basedOn w:val="1"/>
    <w:link w:val="652"/>
    <w:qFormat/>
    <w:uiPriority w:val="0"/>
    <w:pPr>
      <w:spacing w:line="480" w:lineRule="exact"/>
      <w:ind w:firstLine="200" w:firstLineChars="200"/>
    </w:pPr>
    <w:rPr>
      <w:sz w:val="28"/>
      <w:szCs w:val="28"/>
    </w:rPr>
  </w:style>
  <w:style w:type="paragraph" w:customStyle="1" w:styleId="365">
    <w:name w:val="表文lcc"/>
    <w:basedOn w:val="1"/>
    <w:qFormat/>
    <w:uiPriority w:val="0"/>
    <w:pPr>
      <w:widowControl/>
      <w:jc w:val="center"/>
    </w:pPr>
    <w:rPr>
      <w:rFonts w:eastAsia="仿宋_GB2312"/>
      <w:kern w:val="0"/>
      <w:szCs w:val="24"/>
    </w:rPr>
  </w:style>
  <w:style w:type="paragraph" w:customStyle="1" w:styleId="366">
    <w:name w:val="样式 标准文本 首行缩进:2 字符 行距1.5倍 + 首行缩进:  2 字符"/>
    <w:basedOn w:val="158"/>
    <w:qFormat/>
    <w:uiPriority w:val="0"/>
    <w:rPr>
      <w:szCs w:val="20"/>
    </w:rPr>
  </w:style>
  <w:style w:type="paragraph" w:styleId="367">
    <w:name w:val="No Spacing"/>
    <w:qFormat/>
    <w:uiPriority w:val="0"/>
    <w:rPr>
      <w:rFonts w:ascii="Calibri" w:hAnsi="Calibri" w:eastAsia="宋体" w:cs="Times New Roman"/>
      <w:sz w:val="22"/>
      <w:szCs w:val="22"/>
      <w:lang w:val="en-US" w:eastAsia="zh-CN" w:bidi="ar-SA"/>
    </w:rPr>
  </w:style>
  <w:style w:type="paragraph" w:customStyle="1" w:styleId="368">
    <w:name w:val="表"/>
    <w:basedOn w:val="42"/>
    <w:qFormat/>
    <w:uiPriority w:val="0"/>
    <w:pPr>
      <w:keepNext/>
      <w:keepLines/>
      <w:spacing w:before="60" w:after="60" w:line="240" w:lineRule="exact"/>
      <w:ind w:left="0" w:firstLine="0" w:firstLineChars="0"/>
      <w:jc w:val="center"/>
    </w:pPr>
  </w:style>
  <w:style w:type="paragraph" w:customStyle="1" w:styleId="369">
    <w:name w:val="Gabriel（正文）"/>
    <w:basedOn w:val="1"/>
    <w:next w:val="1"/>
    <w:link w:val="636"/>
    <w:qFormat/>
    <w:uiPriority w:val="0"/>
    <w:pPr>
      <w:spacing w:line="480" w:lineRule="exact"/>
      <w:ind w:firstLine="200" w:firstLineChars="200"/>
    </w:pPr>
    <w:rPr>
      <w:sz w:val="28"/>
      <w:szCs w:val="28"/>
    </w:rPr>
  </w:style>
  <w:style w:type="paragraph" w:customStyle="1" w:styleId="370">
    <w:name w:val="aa正文"/>
    <w:basedOn w:val="1"/>
    <w:link w:val="520"/>
    <w:qFormat/>
    <w:uiPriority w:val="0"/>
    <w:pPr>
      <w:widowControl/>
      <w:spacing w:line="360" w:lineRule="auto"/>
      <w:ind w:firstLine="200" w:firstLineChars="200"/>
      <w:jc w:val="left"/>
    </w:pPr>
    <w:rPr>
      <w:rFonts w:ascii="Calibri" w:hAnsi="Calibri"/>
      <w:kern w:val="0"/>
      <w:sz w:val="24"/>
      <w:szCs w:val="22"/>
    </w:rPr>
  </w:style>
  <w:style w:type="paragraph" w:customStyle="1" w:styleId="371">
    <w:name w:val="新正文"/>
    <w:basedOn w:val="1"/>
    <w:link w:val="579"/>
    <w:qFormat/>
    <w:uiPriority w:val="0"/>
    <w:pPr>
      <w:widowControl/>
      <w:spacing w:line="480" w:lineRule="exact"/>
      <w:ind w:firstLine="482"/>
      <w:jc w:val="left"/>
    </w:pPr>
    <w:rPr>
      <w:rFonts w:ascii="仿宋_GB2312" w:hAnsi="Calibri" w:eastAsia="仿宋_GB2312"/>
      <w:bCs/>
      <w:kern w:val="0"/>
      <w:sz w:val="28"/>
    </w:rPr>
  </w:style>
  <w:style w:type="paragraph" w:customStyle="1" w:styleId="372">
    <w:name w:val="样式 标题 2标题 2-王鹏标题2纪任山标题 2Char标题 2 Char1标题 2 Char Char二处标题 ...2"/>
    <w:basedOn w:val="4"/>
    <w:qFormat/>
    <w:uiPriority w:val="0"/>
    <w:pPr>
      <w:numPr>
        <w:ilvl w:val="0"/>
        <w:numId w:val="0"/>
      </w:numPr>
      <w:tabs>
        <w:tab w:val="clear" w:pos="1276"/>
      </w:tabs>
      <w:adjustRightInd/>
      <w:spacing w:before="0" w:after="0" w:line="480" w:lineRule="exact"/>
      <w:ind w:left="-25" w:leftChars="-25" w:firstLine="200" w:firstLineChars="200"/>
      <w:jc w:val="both"/>
      <w:textAlignment w:val="auto"/>
    </w:pPr>
    <w:rPr>
      <w:rFonts w:ascii="Times New Roman" w:hAnsi="Times New Roman" w:eastAsia="宋体" w:cs="宋体"/>
      <w:bCs/>
      <w:sz w:val="30"/>
    </w:rPr>
  </w:style>
  <w:style w:type="paragraph" w:customStyle="1" w:styleId="373">
    <w:name w:val="Char Char Char Char Char Char1 Char Char Char Char Char Char Char"/>
    <w:basedOn w:val="1"/>
    <w:qFormat/>
    <w:uiPriority w:val="0"/>
    <w:pPr>
      <w:widowControl/>
      <w:jc w:val="left"/>
    </w:pPr>
    <w:rPr>
      <w:rFonts w:ascii="Calibri" w:hAnsi="Calibri"/>
      <w:kern w:val="0"/>
      <w:sz w:val="22"/>
      <w:szCs w:val="22"/>
    </w:rPr>
  </w:style>
  <w:style w:type="paragraph" w:customStyle="1" w:styleId="374">
    <w:name w:val="正文（海红）"/>
    <w:basedOn w:val="1"/>
    <w:link w:val="570"/>
    <w:qFormat/>
    <w:uiPriority w:val="0"/>
    <w:pPr>
      <w:spacing w:line="500" w:lineRule="exact"/>
      <w:ind w:firstLine="200" w:firstLineChars="200"/>
    </w:pPr>
    <w:rPr>
      <w:sz w:val="24"/>
      <w:szCs w:val="24"/>
    </w:rPr>
  </w:style>
  <w:style w:type="paragraph" w:customStyle="1" w:styleId="375">
    <w:name w:val="正文文字 3"/>
    <w:basedOn w:val="1"/>
    <w:semiHidden/>
    <w:qFormat/>
    <w:uiPriority w:val="0"/>
    <w:pPr>
      <w:spacing w:line="280" w:lineRule="exact"/>
      <w:jc w:val="center"/>
    </w:pPr>
    <w:rPr>
      <w:rFonts w:ascii="仿宋_GB2312" w:hAnsi="Arial Black" w:eastAsia="仿宋_GB2312" w:cs="仿宋_GB2312"/>
      <w:szCs w:val="21"/>
    </w:rPr>
  </w:style>
  <w:style w:type="paragraph" w:customStyle="1" w:styleId="376">
    <w:name w:val="xl27"/>
    <w:basedOn w:val="1"/>
    <w:qFormat/>
    <w:uiPriority w:val="0"/>
    <w:pPr>
      <w:widowControl/>
      <w:pBdr>
        <w:top w:val="single" w:color="auto" w:sz="8" w:space="0"/>
        <w:left w:val="single" w:color="auto" w:sz="4" w:space="0"/>
        <w:right w:val="single" w:color="auto" w:sz="8" w:space="0"/>
      </w:pBdr>
      <w:spacing w:before="100" w:beforeAutospacing="1" w:after="100" w:afterAutospacing="1"/>
      <w:jc w:val="center"/>
      <w:textAlignment w:val="center"/>
    </w:pPr>
    <w:rPr>
      <w:rFonts w:ascii="宋体" w:hAnsi="宋体"/>
      <w:kern w:val="0"/>
      <w:sz w:val="20"/>
    </w:rPr>
  </w:style>
  <w:style w:type="paragraph" w:customStyle="1" w:styleId="377">
    <w:name w:val="1"/>
    <w:basedOn w:val="1"/>
    <w:next w:val="19"/>
    <w:qFormat/>
    <w:uiPriority w:val="1"/>
    <w:rPr>
      <w:szCs w:val="24"/>
      <w:u w:val="wave" w:color="FF0000"/>
    </w:rPr>
  </w:style>
  <w:style w:type="paragraph" w:customStyle="1" w:styleId="378">
    <w:name w:val="unnamed3"/>
    <w:basedOn w:val="1"/>
    <w:qFormat/>
    <w:uiPriority w:val="0"/>
    <w:pPr>
      <w:widowControl/>
      <w:spacing w:before="100" w:beforeAutospacing="1" w:after="100" w:afterAutospacing="1" w:line="408" w:lineRule="auto"/>
      <w:jc w:val="left"/>
    </w:pPr>
    <w:rPr>
      <w:rFonts w:ascii="Arial Unicode MS" w:hAnsi="Arial Unicode MS" w:eastAsia="Arial Unicode MS"/>
      <w:color w:val="000000"/>
      <w:kern w:val="0"/>
      <w:sz w:val="20"/>
    </w:rPr>
  </w:style>
  <w:style w:type="paragraph" w:customStyle="1" w:styleId="379">
    <w:name w:val="1.1.1样式 样式 标题 2节 + (西文) Times New Roman (中文) 宋体 四号 段前: 0.5 行 ..."/>
    <w:basedOn w:val="325"/>
    <w:qFormat/>
    <w:uiPriority w:val="0"/>
    <w:pPr>
      <w:ind w:left="0" w:firstLine="0"/>
    </w:pPr>
    <w:rPr>
      <w:rFonts w:cs="宋体"/>
      <w:szCs w:val="20"/>
    </w:rPr>
  </w:style>
  <w:style w:type="paragraph" w:customStyle="1" w:styleId="380">
    <w:name w:val="样式 宋体 首行缩进:  2 字符 行距: 1.5 倍行距"/>
    <w:basedOn w:val="1"/>
    <w:qFormat/>
    <w:uiPriority w:val="0"/>
    <w:pPr>
      <w:widowControl/>
      <w:spacing w:line="360" w:lineRule="auto"/>
      <w:ind w:firstLine="480" w:firstLineChars="200"/>
      <w:jc w:val="left"/>
    </w:pPr>
    <w:rPr>
      <w:rFonts w:ascii="Calibri" w:hAnsi="Calibri"/>
      <w:kern w:val="0"/>
      <w:sz w:val="24"/>
      <w:szCs w:val="22"/>
    </w:rPr>
  </w:style>
  <w:style w:type="paragraph" w:customStyle="1" w:styleId="381">
    <w:name w:val="列表 Char列表"/>
    <w:basedOn w:val="42"/>
    <w:next w:val="23"/>
    <w:qFormat/>
    <w:uiPriority w:val="0"/>
    <w:pPr>
      <w:spacing w:line="300" w:lineRule="auto"/>
      <w:ind w:left="0" w:firstLine="0" w:firstLineChars="0"/>
      <w:jc w:val="center"/>
    </w:pPr>
    <w:rPr>
      <w:rFonts w:ascii="楷体_GB2312" w:hAnsi="宋体" w:eastAsia="楷体_GB2312"/>
      <w:b/>
      <w:color w:val="000000"/>
      <w:sz w:val="28"/>
      <w:szCs w:val="28"/>
    </w:rPr>
  </w:style>
  <w:style w:type="paragraph" w:customStyle="1" w:styleId="382">
    <w:name w:val="条文"/>
    <w:basedOn w:val="7"/>
    <w:next w:val="1"/>
    <w:qFormat/>
    <w:uiPriority w:val="0"/>
    <w:pPr>
      <w:keepNext w:val="0"/>
      <w:keepLines w:val="0"/>
      <w:widowControl/>
      <w:numPr>
        <w:ilvl w:val="0"/>
        <w:numId w:val="0"/>
      </w:numPr>
      <w:tabs>
        <w:tab w:val="left" w:pos="-95"/>
        <w:tab w:val="clear" w:pos="3827"/>
      </w:tabs>
      <w:spacing w:before="0" w:after="0" w:line="377" w:lineRule="auto"/>
      <w:ind w:left="-95" w:hanging="426"/>
      <w:jc w:val="left"/>
    </w:pPr>
    <w:rPr>
      <w:rFonts w:ascii="Cambria" w:hAnsi="Cambria"/>
      <w:b w:val="0"/>
      <w:color w:val="16505E"/>
      <w:kern w:val="0"/>
      <w:sz w:val="22"/>
    </w:rPr>
  </w:style>
  <w:style w:type="paragraph" w:customStyle="1" w:styleId="383">
    <w:name w:val="默认段落字体 Para Char Char Char Char Char"/>
    <w:basedOn w:val="1"/>
    <w:qFormat/>
    <w:uiPriority w:val="0"/>
    <w:pPr>
      <w:widowControl/>
      <w:ind w:firstLine="200" w:firstLineChars="200"/>
      <w:jc w:val="left"/>
    </w:pPr>
    <w:rPr>
      <w:rFonts w:ascii="Calibri" w:hAnsi="Calibri"/>
      <w:kern w:val="0"/>
      <w:sz w:val="28"/>
      <w:szCs w:val="22"/>
    </w:rPr>
  </w:style>
  <w:style w:type="paragraph" w:styleId="384">
    <w:name w:val="Intense Quote"/>
    <w:basedOn w:val="1"/>
    <w:next w:val="1"/>
    <w:link w:val="662"/>
    <w:qFormat/>
    <w:uiPriority w:val="0"/>
    <w:pPr>
      <w:widowControl/>
      <w:pBdr>
        <w:bottom w:val="single" w:color="2DA2BF" w:sz="4" w:space="4"/>
      </w:pBdr>
      <w:spacing w:before="200" w:after="280"/>
      <w:ind w:left="936" w:right="936"/>
      <w:jc w:val="left"/>
    </w:pPr>
    <w:rPr>
      <w:rFonts w:ascii="Calibri" w:hAnsi="Calibri"/>
      <w:b/>
      <w:bCs/>
      <w:i/>
      <w:iCs/>
      <w:color w:val="2DA2BF"/>
      <w:kern w:val="0"/>
      <w:sz w:val="22"/>
      <w:szCs w:val="22"/>
    </w:rPr>
  </w:style>
  <w:style w:type="paragraph" w:customStyle="1" w:styleId="385">
    <w:name w:val="标准"/>
    <w:basedOn w:val="1"/>
    <w:qFormat/>
    <w:uiPriority w:val="0"/>
    <w:pPr>
      <w:adjustRightInd w:val="0"/>
      <w:spacing w:line="312" w:lineRule="atLeast"/>
      <w:jc w:val="center"/>
      <w:textAlignment w:val="baseline"/>
    </w:pPr>
    <w:rPr>
      <w:kern w:val="0"/>
    </w:rPr>
  </w:style>
  <w:style w:type="paragraph" w:customStyle="1" w:styleId="386">
    <w:name w:val="1表格"/>
    <w:basedOn w:val="1"/>
    <w:link w:val="686"/>
    <w:qFormat/>
    <w:uiPriority w:val="0"/>
    <w:pPr>
      <w:spacing w:line="160" w:lineRule="atLeast"/>
      <w:jc w:val="center"/>
    </w:pPr>
    <w:rPr>
      <w:rFonts w:eastAsia="仿宋_GB2312"/>
    </w:rPr>
  </w:style>
  <w:style w:type="paragraph" w:customStyle="1" w:styleId="387">
    <w:name w:val="biaozhun"/>
    <w:basedOn w:val="1"/>
    <w:qFormat/>
    <w:uiPriority w:val="0"/>
    <w:pPr>
      <w:widowControl/>
      <w:spacing w:before="100" w:beforeAutospacing="1" w:after="100" w:afterAutospacing="1"/>
      <w:jc w:val="left"/>
    </w:pPr>
    <w:rPr>
      <w:rFonts w:ascii="宋体" w:hAnsi="宋体" w:cs="宋体"/>
      <w:kern w:val="0"/>
      <w:sz w:val="24"/>
      <w:szCs w:val="22"/>
    </w:rPr>
  </w:style>
  <w:style w:type="paragraph" w:customStyle="1" w:styleId="388">
    <w:name w:val="Char11"/>
    <w:basedOn w:val="1"/>
    <w:link w:val="522"/>
    <w:qFormat/>
    <w:uiPriority w:val="0"/>
    <w:pPr>
      <w:snapToGrid w:val="0"/>
      <w:spacing w:line="360" w:lineRule="auto"/>
      <w:ind w:firstLine="200" w:firstLineChars="200"/>
    </w:pPr>
    <w:rPr>
      <w:rFonts w:eastAsia="仿宋_GB2312"/>
      <w:sz w:val="24"/>
      <w:szCs w:val="24"/>
    </w:rPr>
  </w:style>
  <w:style w:type="paragraph" w:customStyle="1" w:styleId="389">
    <w:name w:val="样式 首行缩进:  2 字符3"/>
    <w:basedOn w:val="1"/>
    <w:qFormat/>
    <w:uiPriority w:val="0"/>
    <w:pPr>
      <w:widowControl/>
      <w:spacing w:line="360" w:lineRule="auto"/>
      <w:ind w:firstLine="200" w:firstLineChars="200"/>
      <w:jc w:val="left"/>
    </w:pPr>
    <w:rPr>
      <w:rFonts w:ascii="Calibri" w:hAnsi="Calibri" w:cs="宋体"/>
      <w:kern w:val="0"/>
      <w:sz w:val="24"/>
    </w:rPr>
  </w:style>
  <w:style w:type="paragraph" w:customStyle="1" w:styleId="390">
    <w:name w:val="样式1"/>
    <w:basedOn w:val="1"/>
    <w:link w:val="540"/>
    <w:qFormat/>
    <w:uiPriority w:val="0"/>
    <w:pPr>
      <w:keepNext/>
      <w:widowControl/>
      <w:tabs>
        <w:tab w:val="left" w:pos="900"/>
      </w:tabs>
      <w:adjustRightInd w:val="0"/>
      <w:snapToGrid w:val="0"/>
      <w:spacing w:line="360" w:lineRule="atLeast"/>
      <w:jc w:val="center"/>
      <w:textAlignment w:val="baseline"/>
    </w:pPr>
    <w:rPr>
      <w:rFonts w:ascii="Calibri" w:hAnsi="Calibri"/>
      <w:kern w:val="0"/>
      <w:sz w:val="22"/>
      <w:szCs w:val="22"/>
    </w:rPr>
  </w:style>
  <w:style w:type="paragraph" w:customStyle="1" w:styleId="391">
    <w:name w:val="兴武正文"/>
    <w:basedOn w:val="1"/>
    <w:link w:val="614"/>
    <w:qFormat/>
    <w:uiPriority w:val="0"/>
    <w:pPr>
      <w:spacing w:line="480" w:lineRule="exact"/>
      <w:ind w:firstLine="200" w:firstLineChars="200"/>
    </w:pPr>
    <w:rPr>
      <w:rFonts w:cs="宋体"/>
      <w:sz w:val="24"/>
    </w:rPr>
  </w:style>
  <w:style w:type="paragraph" w:customStyle="1" w:styleId="392">
    <w:name w:val="p0"/>
    <w:basedOn w:val="1"/>
    <w:qFormat/>
    <w:uiPriority w:val="0"/>
    <w:pPr>
      <w:widowControl/>
      <w:jc w:val="left"/>
    </w:pPr>
    <w:rPr>
      <w:rFonts w:ascii="Calibri" w:hAnsi="Calibri"/>
      <w:kern w:val="0"/>
      <w:sz w:val="22"/>
      <w:szCs w:val="21"/>
    </w:rPr>
  </w:style>
  <w:style w:type="paragraph" w:customStyle="1" w:styleId="393">
    <w:name w:val="样式a"/>
    <w:basedOn w:val="1"/>
    <w:qFormat/>
    <w:uiPriority w:val="0"/>
    <w:pPr>
      <w:widowControl/>
      <w:adjustRightInd w:val="0"/>
      <w:snapToGrid w:val="0"/>
      <w:spacing w:line="480" w:lineRule="exact"/>
      <w:ind w:firstLine="560" w:firstLineChars="200"/>
      <w:jc w:val="left"/>
      <w:textAlignment w:val="baseline"/>
    </w:pPr>
    <w:rPr>
      <w:rFonts w:ascii="Calibri" w:hAnsi="Calibri" w:eastAsia="仿宋_GB2312"/>
      <w:kern w:val="0"/>
      <w:sz w:val="28"/>
    </w:rPr>
  </w:style>
  <w:style w:type="paragraph" w:customStyle="1" w:styleId="394">
    <w:name w:val="标2lcc"/>
    <w:basedOn w:val="192"/>
    <w:qFormat/>
    <w:uiPriority w:val="0"/>
    <w:pPr>
      <w:outlineLvl w:val="1"/>
    </w:pPr>
    <w:rPr>
      <w:rFonts w:ascii="Times New Roman" w:hAnsi="Times New Roman"/>
      <w:sz w:val="28"/>
    </w:rPr>
  </w:style>
  <w:style w:type="paragraph" w:customStyle="1" w:styleId="395">
    <w:name w:val="段落"/>
    <w:basedOn w:val="1"/>
    <w:qFormat/>
    <w:uiPriority w:val="0"/>
    <w:pPr>
      <w:widowControl/>
      <w:spacing w:line="360" w:lineRule="auto"/>
      <w:ind w:firstLine="480" w:firstLineChars="200"/>
      <w:jc w:val="left"/>
    </w:pPr>
    <w:rPr>
      <w:rFonts w:ascii="宋体" w:hAnsi="宋体"/>
      <w:snapToGrid w:val="0"/>
      <w:spacing w:val="-2"/>
      <w:kern w:val="28"/>
      <w:sz w:val="24"/>
      <w:szCs w:val="28"/>
    </w:rPr>
  </w:style>
  <w:style w:type="paragraph" w:customStyle="1" w:styleId="396">
    <w:name w:val="样式 五号"/>
    <w:basedOn w:val="1"/>
    <w:qFormat/>
    <w:uiPriority w:val="0"/>
    <w:pPr>
      <w:widowControl/>
      <w:spacing w:line="400" w:lineRule="exact"/>
      <w:jc w:val="center"/>
    </w:pPr>
    <w:rPr>
      <w:rFonts w:ascii="Calibri" w:hAnsi="Calibri" w:cs="宋体"/>
      <w:kern w:val="0"/>
      <w:sz w:val="22"/>
    </w:rPr>
  </w:style>
  <w:style w:type="paragraph" w:customStyle="1" w:styleId="397">
    <w:name w:val="样式2－王鹏"/>
    <w:basedOn w:val="1"/>
    <w:qFormat/>
    <w:uiPriority w:val="0"/>
    <w:pPr>
      <w:autoSpaceDE w:val="0"/>
      <w:autoSpaceDN w:val="0"/>
      <w:adjustRightInd w:val="0"/>
      <w:snapToGrid w:val="0"/>
      <w:spacing w:line="360" w:lineRule="auto"/>
      <w:jc w:val="center"/>
      <w:textAlignment w:val="baseline"/>
    </w:pPr>
    <w:rPr>
      <w:snapToGrid w:val="0"/>
      <w:kern w:val="0"/>
      <w:szCs w:val="21"/>
    </w:rPr>
  </w:style>
  <w:style w:type="paragraph" w:customStyle="1" w:styleId="398">
    <w:name w:val="样式 本正文 + 首行缩进:  2 字符"/>
    <w:basedOn w:val="1"/>
    <w:qFormat/>
    <w:uiPriority w:val="0"/>
    <w:pPr>
      <w:spacing w:line="360" w:lineRule="auto"/>
      <w:ind w:firstLine="480" w:firstLineChars="200"/>
    </w:pPr>
    <w:rPr>
      <w:bCs/>
      <w:color w:val="FF0000"/>
      <w:sz w:val="24"/>
      <w:szCs w:val="24"/>
    </w:rPr>
  </w:style>
  <w:style w:type="paragraph" w:customStyle="1" w:styleId="399">
    <w:name w:val="样式 目录 2 + 首行缩进:  2 字符1"/>
    <w:basedOn w:val="46"/>
    <w:qFormat/>
    <w:uiPriority w:val="0"/>
    <w:pPr>
      <w:tabs>
        <w:tab w:val="left" w:pos="1200"/>
        <w:tab w:val="clear" w:pos="840"/>
        <w:tab w:val="clear" w:pos="8511"/>
      </w:tabs>
      <w:ind w:firstLine="480"/>
    </w:pPr>
    <w:rPr>
      <w:rFonts w:cs="宋体"/>
      <w:szCs w:val="20"/>
    </w:rPr>
  </w:style>
  <w:style w:type="paragraph" w:customStyle="1" w:styleId="400">
    <w:name w:val="专用字体"/>
    <w:basedOn w:val="1"/>
    <w:link w:val="526"/>
    <w:qFormat/>
    <w:uiPriority w:val="0"/>
    <w:pPr>
      <w:spacing w:line="360" w:lineRule="auto"/>
      <w:ind w:firstLine="200" w:firstLineChars="200"/>
    </w:pPr>
    <w:rPr>
      <w:bCs/>
      <w:sz w:val="24"/>
      <w:szCs w:val="24"/>
    </w:rPr>
  </w:style>
  <w:style w:type="paragraph" w:customStyle="1" w:styleId="401">
    <w:name w:val="表格1"/>
    <w:qFormat/>
    <w:uiPriority w:val="0"/>
    <w:pPr>
      <w:jc w:val="center"/>
    </w:pPr>
    <w:rPr>
      <w:rFonts w:ascii="Times New Roman" w:hAnsi="Times New Roman" w:eastAsia="宋体" w:cs="Times New Roman"/>
      <w:kern w:val="2"/>
      <w:sz w:val="21"/>
      <w:szCs w:val="21"/>
      <w:lang w:val="en-US" w:eastAsia="zh-CN" w:bidi="ar-SA"/>
    </w:rPr>
  </w:style>
  <w:style w:type="paragraph" w:customStyle="1" w:styleId="402">
    <w:name w:val="font6"/>
    <w:basedOn w:val="1"/>
    <w:qFormat/>
    <w:uiPriority w:val="0"/>
    <w:pPr>
      <w:widowControl/>
      <w:spacing w:before="100" w:beforeAutospacing="1" w:after="100" w:afterAutospacing="1"/>
      <w:jc w:val="left"/>
    </w:pPr>
    <w:rPr>
      <w:rFonts w:hint="eastAsia" w:ascii="宋体" w:hAnsi="宋体"/>
      <w:kern w:val="0"/>
      <w:sz w:val="20"/>
    </w:rPr>
  </w:style>
  <w:style w:type="paragraph" w:customStyle="1" w:styleId="403">
    <w:name w:val="4"/>
    <w:basedOn w:val="1"/>
    <w:qFormat/>
    <w:uiPriority w:val="0"/>
    <w:rPr>
      <w:sz w:val="24"/>
      <w:szCs w:val="24"/>
    </w:rPr>
  </w:style>
  <w:style w:type="paragraph" w:customStyle="1" w:styleId="404">
    <w:name w:val="title 01"/>
    <w:basedOn w:val="1"/>
    <w:qFormat/>
    <w:uiPriority w:val="0"/>
    <w:pPr>
      <w:widowControl/>
      <w:jc w:val="center"/>
    </w:pPr>
    <w:rPr>
      <w:rFonts w:ascii="Calibri" w:hAnsi="Calibri" w:cs="宋体"/>
      <w:kern w:val="0"/>
      <w:sz w:val="44"/>
    </w:rPr>
  </w:style>
  <w:style w:type="paragraph" w:customStyle="1" w:styleId="405">
    <w:name w:val="纯文本 + Times New Roman"/>
    <w:basedOn w:val="29"/>
    <w:qFormat/>
    <w:uiPriority w:val="0"/>
    <w:pPr>
      <w:widowControl/>
      <w:pBdr>
        <w:bottom w:val="single" w:color="auto" w:sz="6" w:space="1"/>
      </w:pBdr>
      <w:adjustRightInd/>
      <w:spacing w:before="0" w:line="240" w:lineRule="auto"/>
      <w:jc w:val="center"/>
      <w:textAlignment w:val="auto"/>
    </w:pPr>
    <w:rPr>
      <w:rFonts w:ascii="Times New Roman" w:hAnsi="Times New Roman"/>
      <w:spacing w:val="0"/>
      <w:kern w:val="0"/>
      <w:sz w:val="22"/>
      <w:szCs w:val="21"/>
    </w:rPr>
  </w:style>
  <w:style w:type="paragraph" w:customStyle="1" w:styleId="406">
    <w:name w:val="样式 标题 1标题 1 Char Char Char标题 1 Char Char Char Char标题 11 Char...1"/>
    <w:basedOn w:val="3"/>
    <w:qFormat/>
    <w:uiPriority w:val="0"/>
    <w:pPr>
      <w:keepLines w:val="0"/>
      <w:snapToGrid/>
      <w:spacing w:line="480" w:lineRule="exact"/>
      <w:jc w:val="center"/>
    </w:pPr>
    <w:rPr>
      <w:rFonts w:eastAsia="宋体" w:cs="宋体"/>
      <w:b/>
      <w:bCs/>
      <w:kern w:val="2"/>
      <w:sz w:val="32"/>
    </w:rPr>
  </w:style>
  <w:style w:type="paragraph" w:customStyle="1" w:styleId="407">
    <w:name w:val="Char Char Char Char Char Char Char Char Char Char1"/>
    <w:basedOn w:val="1"/>
    <w:qFormat/>
    <w:uiPriority w:val="0"/>
  </w:style>
  <w:style w:type="paragraph" w:customStyle="1" w:styleId="408">
    <w:name w:val="一级条标题"/>
    <w:basedOn w:val="1"/>
    <w:next w:val="1"/>
    <w:qFormat/>
    <w:uiPriority w:val="0"/>
    <w:pPr>
      <w:widowControl/>
      <w:tabs>
        <w:tab w:val="left" w:pos="360"/>
      </w:tabs>
      <w:jc w:val="left"/>
      <w:outlineLvl w:val="2"/>
    </w:pPr>
    <w:rPr>
      <w:rFonts w:ascii="黑体" w:hAnsi="Calibri" w:eastAsia="黑体"/>
      <w:kern w:val="0"/>
      <w:sz w:val="22"/>
    </w:rPr>
  </w:style>
  <w:style w:type="paragraph" w:customStyle="1" w:styleId="409">
    <w:name w:val="正文（首行缩进两个字） + 首行缩进:  2 字符"/>
    <w:basedOn w:val="1"/>
    <w:qFormat/>
    <w:uiPriority w:val="0"/>
    <w:pPr>
      <w:widowControl/>
      <w:spacing w:line="440" w:lineRule="exact"/>
      <w:ind w:firstLine="200" w:firstLineChars="200"/>
      <w:jc w:val="left"/>
    </w:pPr>
    <w:rPr>
      <w:rFonts w:eastAsia="仿宋_GB2312" w:cs="宋体"/>
      <w:sz w:val="24"/>
      <w:lang w:val="zh-CN"/>
    </w:rPr>
  </w:style>
  <w:style w:type="paragraph" w:customStyle="1" w:styleId="410">
    <w:name w:val="w4"/>
    <w:basedOn w:val="1"/>
    <w:qFormat/>
    <w:uiPriority w:val="0"/>
    <w:pPr>
      <w:widowControl/>
      <w:spacing w:before="100" w:beforeAutospacing="1" w:after="100" w:afterAutospacing="1" w:line="336" w:lineRule="auto"/>
      <w:ind w:firstLine="360"/>
      <w:jc w:val="left"/>
    </w:pPr>
    <w:rPr>
      <w:rFonts w:ascii="_x000B__x000C_" w:hAnsi="_x000B__x000C_"/>
      <w:color w:val="8A5E00"/>
      <w:kern w:val="0"/>
      <w:sz w:val="18"/>
      <w:szCs w:val="18"/>
    </w:rPr>
  </w:style>
  <w:style w:type="paragraph" w:customStyle="1" w:styleId="411">
    <w:name w:val="公式"/>
    <w:basedOn w:val="1"/>
    <w:link w:val="730"/>
    <w:qFormat/>
    <w:uiPriority w:val="0"/>
    <w:pPr>
      <w:ind w:firstLine="800" w:firstLineChars="800"/>
      <w:jc w:val="left"/>
    </w:pPr>
    <w:rPr>
      <w:rFonts w:cs="宋体"/>
      <w:sz w:val="24"/>
    </w:rPr>
  </w:style>
  <w:style w:type="paragraph" w:customStyle="1" w:styleId="412">
    <w:name w:val="Table Title Char1 Char"/>
    <w:basedOn w:val="1"/>
    <w:qFormat/>
    <w:uiPriority w:val="0"/>
    <w:pPr>
      <w:widowControl/>
      <w:snapToGrid w:val="0"/>
      <w:spacing w:before="156" w:beforeLines="50" w:after="156" w:afterLines="50" w:line="400" w:lineRule="exact"/>
      <w:jc w:val="center"/>
    </w:pPr>
    <w:rPr>
      <w:rFonts w:ascii="Calibri" w:hAnsi="Calibri"/>
      <w:kern w:val="0"/>
      <w:sz w:val="24"/>
      <w:szCs w:val="22"/>
      <w:lang w:eastAsia="en-US"/>
    </w:rPr>
  </w:style>
  <w:style w:type="paragraph" w:customStyle="1" w:styleId="413">
    <w:name w:val="Char2 Char Char Char"/>
    <w:basedOn w:val="1"/>
    <w:qFormat/>
    <w:uiPriority w:val="0"/>
    <w:pPr>
      <w:widowControl/>
      <w:spacing w:line="360" w:lineRule="auto"/>
      <w:ind w:firstLine="200" w:firstLineChars="200"/>
      <w:jc w:val="left"/>
    </w:pPr>
    <w:rPr>
      <w:rFonts w:ascii="宋体" w:hAnsi="宋体" w:cs="宋体"/>
      <w:kern w:val="0"/>
      <w:sz w:val="24"/>
      <w:szCs w:val="22"/>
    </w:rPr>
  </w:style>
  <w:style w:type="paragraph" w:customStyle="1" w:styleId="414">
    <w:name w:val="标题一最终"/>
    <w:basedOn w:val="1"/>
    <w:qFormat/>
    <w:uiPriority w:val="0"/>
    <w:pPr>
      <w:keepNext/>
      <w:keepLines/>
      <w:numPr>
        <w:ilvl w:val="0"/>
        <w:numId w:val="5"/>
      </w:numPr>
      <w:snapToGrid w:val="0"/>
      <w:spacing w:line="360" w:lineRule="auto"/>
      <w:outlineLvl w:val="0"/>
    </w:pPr>
    <w:rPr>
      <w:rFonts w:hAnsi="宋体"/>
      <w:b/>
      <w:bCs/>
      <w:kern w:val="44"/>
      <w:sz w:val="32"/>
      <w:szCs w:val="32"/>
    </w:rPr>
  </w:style>
  <w:style w:type="paragraph" w:customStyle="1" w:styleId="415">
    <w:name w:val="font7"/>
    <w:basedOn w:val="1"/>
    <w:qFormat/>
    <w:uiPriority w:val="0"/>
    <w:pPr>
      <w:widowControl/>
      <w:spacing w:before="100" w:beforeAutospacing="1" w:after="100" w:afterAutospacing="1"/>
      <w:jc w:val="left"/>
    </w:pPr>
    <w:rPr>
      <w:rFonts w:ascii="Calibri" w:hAnsi="Calibri"/>
      <w:kern w:val="0"/>
      <w:sz w:val="20"/>
    </w:rPr>
  </w:style>
  <w:style w:type="paragraph" w:customStyle="1" w:styleId="416">
    <w:name w:val="Char21"/>
    <w:basedOn w:val="1"/>
    <w:qFormat/>
    <w:uiPriority w:val="0"/>
    <w:rPr>
      <w:sz w:val="24"/>
    </w:rPr>
  </w:style>
  <w:style w:type="paragraph" w:customStyle="1" w:styleId="417">
    <w:name w:val="我的正文"/>
    <w:basedOn w:val="1"/>
    <w:qFormat/>
    <w:uiPriority w:val="0"/>
    <w:pPr>
      <w:spacing w:line="520" w:lineRule="exact"/>
      <w:ind w:firstLine="200" w:firstLineChars="200"/>
    </w:pPr>
    <w:rPr>
      <w:color w:val="000000"/>
      <w:sz w:val="24"/>
    </w:rPr>
  </w:style>
  <w:style w:type="paragraph" w:customStyle="1" w:styleId="418">
    <w:name w:val="正文格式"/>
    <w:basedOn w:val="1"/>
    <w:qFormat/>
    <w:uiPriority w:val="0"/>
    <w:pPr>
      <w:ind w:firstLine="560" w:firstLineChars="200"/>
    </w:pPr>
    <w:rPr>
      <w:rFonts w:eastAsia="楷体_GB2312"/>
      <w:sz w:val="28"/>
      <w:szCs w:val="24"/>
    </w:rPr>
  </w:style>
  <w:style w:type="paragraph" w:customStyle="1" w:styleId="419">
    <w:name w:val="图文框"/>
    <w:basedOn w:val="1"/>
    <w:qFormat/>
    <w:uiPriority w:val="0"/>
    <w:pPr>
      <w:widowControl/>
      <w:autoSpaceDE w:val="0"/>
      <w:autoSpaceDN w:val="0"/>
      <w:adjustRightInd w:val="0"/>
      <w:snapToGrid w:val="0"/>
      <w:spacing w:line="360" w:lineRule="auto"/>
      <w:jc w:val="center"/>
      <w:textAlignment w:val="baseline"/>
    </w:pPr>
    <w:rPr>
      <w:rFonts w:ascii="Calibri" w:hAnsi="Calibri"/>
      <w:b/>
      <w:kern w:val="0"/>
      <w:sz w:val="24"/>
    </w:rPr>
  </w:style>
  <w:style w:type="paragraph" w:customStyle="1" w:styleId="420">
    <w:name w:val="默认段落字体 Para Char Char Char Char"/>
    <w:basedOn w:val="1"/>
    <w:qFormat/>
    <w:uiPriority w:val="0"/>
    <w:pPr>
      <w:widowControl/>
      <w:jc w:val="left"/>
    </w:pPr>
    <w:rPr>
      <w:rFonts w:ascii="Calibri" w:hAnsi="Calibri"/>
      <w:kern w:val="0"/>
      <w:sz w:val="22"/>
      <w:szCs w:val="22"/>
    </w:rPr>
  </w:style>
  <w:style w:type="paragraph" w:customStyle="1" w:styleId="421">
    <w:name w:val="小四表文左齐"/>
    <w:basedOn w:val="1"/>
    <w:qFormat/>
    <w:uiPriority w:val="0"/>
    <w:pPr>
      <w:adjustRightInd w:val="0"/>
      <w:snapToGrid w:val="0"/>
      <w:jc w:val="center"/>
    </w:pPr>
    <w:rPr>
      <w:rFonts w:ascii="仿宋_GB2312" w:eastAsia="仿宋_GB2312"/>
    </w:rPr>
  </w:style>
  <w:style w:type="paragraph" w:customStyle="1" w:styleId="422">
    <w:name w:val="样式 标准文本 居中 行距1.5倍 +"/>
    <w:basedOn w:val="193"/>
    <w:qFormat/>
    <w:uiPriority w:val="0"/>
    <w:pPr>
      <w:adjustRightInd w:val="0"/>
      <w:snapToGrid w:val="0"/>
    </w:pPr>
  </w:style>
  <w:style w:type="paragraph" w:customStyle="1" w:styleId="423">
    <w:name w:val="Char Char Char1"/>
    <w:basedOn w:val="1"/>
    <w:link w:val="527"/>
    <w:qFormat/>
    <w:uiPriority w:val="0"/>
    <w:rPr>
      <w:sz w:val="24"/>
      <w:szCs w:val="24"/>
    </w:rPr>
  </w:style>
  <w:style w:type="paragraph" w:customStyle="1" w:styleId="424">
    <w:name w:val="样式 标题 1标题 1-王鹏纪任山标题 1 + 宋体 首行缩进:  0.85 厘米 段前: 0.5 行 段后: 0.5..."/>
    <w:basedOn w:val="3"/>
    <w:qFormat/>
    <w:uiPriority w:val="0"/>
    <w:pPr>
      <w:keepLines w:val="0"/>
      <w:snapToGrid/>
      <w:spacing w:line="480" w:lineRule="exact"/>
      <w:jc w:val="center"/>
    </w:pPr>
    <w:rPr>
      <w:rFonts w:ascii="宋体" w:hAnsi="宋体" w:eastAsia="宋体" w:cs="宋体"/>
      <w:b/>
      <w:bCs/>
      <w:kern w:val="2"/>
      <w:sz w:val="32"/>
    </w:rPr>
  </w:style>
  <w:style w:type="paragraph" w:customStyle="1" w:styleId="425">
    <w:name w:val="样式 目录 2 + 首行缩进:  2 字符3"/>
    <w:basedOn w:val="46"/>
    <w:qFormat/>
    <w:uiPriority w:val="0"/>
    <w:pPr>
      <w:tabs>
        <w:tab w:val="left" w:pos="1200"/>
        <w:tab w:val="clear" w:pos="840"/>
        <w:tab w:val="clear" w:pos="8511"/>
      </w:tabs>
      <w:adjustRightInd w:val="0"/>
      <w:snapToGrid w:val="0"/>
      <w:spacing w:line="240" w:lineRule="auto"/>
    </w:pPr>
    <w:rPr>
      <w:rFonts w:cs="宋体"/>
      <w:szCs w:val="20"/>
    </w:rPr>
  </w:style>
  <w:style w:type="paragraph" w:customStyle="1" w:styleId="426">
    <w:name w:val="样式 五号 居中"/>
    <w:basedOn w:val="1"/>
    <w:qFormat/>
    <w:uiPriority w:val="0"/>
    <w:pPr>
      <w:widowControl/>
      <w:jc w:val="center"/>
    </w:pPr>
    <w:rPr>
      <w:rFonts w:ascii="Calibri" w:hAnsi="Calibri" w:cs="宋体"/>
      <w:kern w:val="0"/>
      <w:sz w:val="22"/>
    </w:rPr>
  </w:style>
  <w:style w:type="paragraph" w:customStyle="1" w:styleId="427">
    <w:name w:val="Char Char Char Char Char Char Char Char1 Char Char Char Char Char Char Char Char Char Char Char Char1 Char1"/>
    <w:basedOn w:val="1"/>
    <w:qFormat/>
    <w:uiPriority w:val="0"/>
    <w:pPr>
      <w:widowControl/>
      <w:jc w:val="left"/>
    </w:pPr>
    <w:rPr>
      <w:rFonts w:ascii="Calibri" w:hAnsi="Calibri"/>
      <w:kern w:val="0"/>
      <w:sz w:val="24"/>
      <w:szCs w:val="22"/>
    </w:rPr>
  </w:style>
  <w:style w:type="paragraph" w:customStyle="1" w:styleId="428">
    <w:name w:val="表格内容1"/>
    <w:basedOn w:val="1"/>
    <w:qFormat/>
    <w:uiPriority w:val="0"/>
    <w:pPr>
      <w:widowControl/>
      <w:tabs>
        <w:tab w:val="left" w:pos="1535"/>
        <w:tab w:val="left" w:pos="3105"/>
        <w:tab w:val="left" w:pos="4676"/>
        <w:tab w:val="left" w:pos="6247"/>
        <w:tab w:val="left" w:pos="7740"/>
        <w:tab w:val="left" w:pos="9288"/>
      </w:tabs>
      <w:snapToGrid w:val="0"/>
      <w:spacing w:line="240" w:lineRule="exact"/>
      <w:ind w:left="-30" w:leftChars="-12"/>
      <w:jc w:val="center"/>
      <w:textAlignment w:val="baseline"/>
    </w:pPr>
    <w:rPr>
      <w:rFonts w:ascii="宋体" w:hAnsi="宋体"/>
      <w:snapToGrid w:val="0"/>
      <w:color w:val="FF0000"/>
      <w:kern w:val="0"/>
      <w:sz w:val="24"/>
      <w:szCs w:val="22"/>
    </w:rPr>
  </w:style>
  <w:style w:type="paragraph" w:customStyle="1" w:styleId="429">
    <w:name w:val="正文lcc"/>
    <w:basedOn w:val="1"/>
    <w:qFormat/>
    <w:uiPriority w:val="0"/>
    <w:pPr>
      <w:overflowPunct w:val="0"/>
      <w:adjustRightInd w:val="0"/>
      <w:snapToGrid w:val="0"/>
    </w:pPr>
    <w:rPr>
      <w:kern w:val="24"/>
    </w:rPr>
  </w:style>
  <w:style w:type="paragraph" w:customStyle="1" w:styleId="430">
    <w:name w:val="样式 样式 样式 样式 标题 2节 + (西文) Times New Roman (中文) 宋体 四号 段前: 0.5 行 段后..."/>
    <w:basedOn w:val="169"/>
    <w:qFormat/>
    <w:uiPriority w:val="0"/>
    <w:pPr>
      <w:numPr>
        <w:numId w:val="0"/>
      </w:numPr>
      <w:adjustRightInd/>
      <w:spacing w:before="156" w:line="300" w:lineRule="auto"/>
    </w:pPr>
    <w:rPr>
      <w:rFonts w:hAnsi="Times New Roman"/>
      <w:kern w:val="44"/>
    </w:rPr>
  </w:style>
  <w:style w:type="paragraph" w:customStyle="1" w:styleId="431">
    <w:name w:val="表文-zy"/>
    <w:basedOn w:val="1"/>
    <w:qFormat/>
    <w:uiPriority w:val="0"/>
    <w:pPr>
      <w:jc w:val="center"/>
    </w:pPr>
    <w:rPr>
      <w:szCs w:val="21"/>
    </w:rPr>
  </w:style>
  <w:style w:type="paragraph" w:customStyle="1" w:styleId="432">
    <w:name w:val="_Style 424"/>
    <w:unhideWhenUsed/>
    <w:qFormat/>
    <w:uiPriority w:val="99"/>
    <w:rPr>
      <w:rFonts w:ascii="Times New Roman" w:hAnsi="Times New Roman" w:eastAsia="宋体" w:cs="Times New Roman"/>
      <w:kern w:val="2"/>
      <w:sz w:val="21"/>
      <w:szCs w:val="24"/>
      <w:lang w:val="en-US" w:eastAsia="zh-CN" w:bidi="ar-SA"/>
    </w:rPr>
  </w:style>
  <w:style w:type="paragraph" w:customStyle="1" w:styleId="433">
    <w:name w:val="Char2"/>
    <w:basedOn w:val="1"/>
    <w:qFormat/>
    <w:uiPriority w:val="0"/>
    <w:pPr>
      <w:widowControl/>
      <w:spacing w:line="360" w:lineRule="auto"/>
      <w:ind w:firstLine="200" w:firstLineChars="200"/>
      <w:jc w:val="left"/>
    </w:pPr>
    <w:rPr>
      <w:rFonts w:ascii="宋体" w:hAnsi="宋体" w:cs="宋体"/>
      <w:kern w:val="0"/>
      <w:sz w:val="24"/>
      <w:szCs w:val="22"/>
    </w:rPr>
  </w:style>
  <w:style w:type="paragraph" w:customStyle="1" w:styleId="434">
    <w:name w:val="Char2 Char Char Char1"/>
    <w:basedOn w:val="1"/>
    <w:qFormat/>
    <w:uiPriority w:val="0"/>
    <w:pPr>
      <w:spacing w:line="360" w:lineRule="auto"/>
      <w:ind w:firstLine="200" w:firstLineChars="200"/>
    </w:pPr>
    <w:rPr>
      <w:rFonts w:ascii="宋体" w:hAnsi="宋体" w:cs="宋体"/>
      <w:sz w:val="24"/>
      <w:szCs w:val="24"/>
    </w:rPr>
  </w:style>
  <w:style w:type="paragraph" w:customStyle="1" w:styleId="435">
    <w:name w:val="表格wenben 小五 居中"/>
    <w:basedOn w:val="1"/>
    <w:qFormat/>
    <w:uiPriority w:val="0"/>
    <w:pPr>
      <w:widowControl/>
      <w:adjustRightInd w:val="0"/>
      <w:snapToGrid w:val="0"/>
      <w:jc w:val="center"/>
    </w:pPr>
    <w:rPr>
      <w:rFonts w:ascii="Calibri" w:hAnsi="Calibri" w:cs="宋体"/>
      <w:kern w:val="0"/>
      <w:sz w:val="18"/>
      <w:szCs w:val="18"/>
    </w:rPr>
  </w:style>
  <w:style w:type="paragraph" w:customStyle="1" w:styleId="436">
    <w:name w:val="样式 首行缩进:  2 字符"/>
    <w:basedOn w:val="1"/>
    <w:qFormat/>
    <w:uiPriority w:val="0"/>
    <w:pPr>
      <w:widowControl/>
      <w:ind w:firstLine="200" w:firstLineChars="200"/>
      <w:jc w:val="left"/>
    </w:pPr>
    <w:rPr>
      <w:rFonts w:ascii="Calibri" w:hAnsi="Calibri" w:cs="宋体"/>
      <w:kern w:val="0"/>
      <w:sz w:val="24"/>
    </w:rPr>
  </w:style>
  <w:style w:type="paragraph" w:customStyle="1" w:styleId="437">
    <w:name w:val="样式 标题 2二处标题 2节标题 1.11.1标题2b2ParagrafoH22nd levelh2Heade..."/>
    <w:basedOn w:val="4"/>
    <w:link w:val="538"/>
    <w:qFormat/>
    <w:uiPriority w:val="0"/>
    <w:pPr>
      <w:keepNext w:val="0"/>
      <w:keepLines w:val="0"/>
      <w:numPr>
        <w:ilvl w:val="0"/>
        <w:numId w:val="0"/>
      </w:numPr>
      <w:tabs>
        <w:tab w:val="clear" w:pos="1276"/>
      </w:tabs>
      <w:snapToGrid w:val="0"/>
      <w:spacing w:before="0" w:after="0" w:line="480" w:lineRule="exact"/>
      <w:textAlignment w:val="auto"/>
    </w:pPr>
    <w:rPr>
      <w:rFonts w:ascii="宋体" w:hAnsi="宋体" w:eastAsia="宋体"/>
      <w:bCs/>
      <w:color w:val="000000"/>
      <w:sz w:val="30"/>
      <w:szCs w:val="30"/>
    </w:rPr>
  </w:style>
  <w:style w:type="paragraph" w:customStyle="1" w:styleId="438">
    <w:name w:val="0正文"/>
    <w:basedOn w:val="50"/>
    <w:link w:val="635"/>
    <w:qFormat/>
    <w:uiPriority w:val="0"/>
    <w:pPr>
      <w:adjustRightInd w:val="0"/>
      <w:snapToGrid w:val="0"/>
      <w:spacing w:before="0" w:line="360" w:lineRule="auto"/>
      <w:ind w:firstLine="200" w:firstLineChars="200"/>
      <w:jc w:val="both"/>
    </w:pPr>
    <w:rPr>
      <w:rFonts w:ascii="Times New Roman" w:hAnsi="Times New Roman"/>
      <w:color w:val="auto"/>
      <w:spacing w:val="0"/>
      <w:kern w:val="2"/>
      <w:sz w:val="24"/>
      <w:szCs w:val="24"/>
    </w:rPr>
  </w:style>
  <w:style w:type="paragraph" w:customStyle="1" w:styleId="439">
    <w:name w:val="ZW Char Char Char"/>
    <w:basedOn w:val="1"/>
    <w:qFormat/>
    <w:uiPriority w:val="0"/>
    <w:pPr>
      <w:widowControl/>
      <w:spacing w:before="62" w:beforeLines="20"/>
      <w:ind w:firstLine="200" w:firstLineChars="200"/>
      <w:jc w:val="left"/>
    </w:pPr>
    <w:rPr>
      <w:rFonts w:ascii="Calibri" w:hAnsi="Calibri"/>
      <w:kern w:val="0"/>
      <w:sz w:val="24"/>
      <w:szCs w:val="22"/>
    </w:rPr>
  </w:style>
  <w:style w:type="paragraph" w:customStyle="1" w:styleId="440">
    <w:name w:val="Char22"/>
    <w:basedOn w:val="1"/>
    <w:qFormat/>
    <w:uiPriority w:val="0"/>
    <w:pPr>
      <w:spacing w:line="360" w:lineRule="auto"/>
      <w:ind w:firstLine="200" w:firstLineChars="200"/>
    </w:pPr>
    <w:rPr>
      <w:rFonts w:ascii="宋体" w:hAnsi="宋体" w:cs="宋体"/>
      <w:sz w:val="24"/>
      <w:szCs w:val="24"/>
    </w:rPr>
  </w:style>
  <w:style w:type="paragraph" w:customStyle="1" w:styleId="441">
    <w:name w:val="样式 目录 2 + 首行缩进:  2 字符2"/>
    <w:basedOn w:val="46"/>
    <w:qFormat/>
    <w:uiPriority w:val="0"/>
    <w:pPr>
      <w:tabs>
        <w:tab w:val="left" w:pos="1200"/>
        <w:tab w:val="clear" w:pos="840"/>
        <w:tab w:val="clear" w:pos="8511"/>
      </w:tabs>
      <w:ind w:firstLine="480"/>
    </w:pPr>
    <w:rPr>
      <w:rFonts w:cs="宋体"/>
      <w:szCs w:val="20"/>
    </w:rPr>
  </w:style>
  <w:style w:type="paragraph" w:customStyle="1" w:styleId="442">
    <w:name w:val="1 Char Char Char Char Char Char Char"/>
    <w:basedOn w:val="1"/>
    <w:qFormat/>
    <w:uiPriority w:val="0"/>
    <w:rPr>
      <w:szCs w:val="24"/>
    </w:rPr>
  </w:style>
  <w:style w:type="paragraph" w:customStyle="1" w:styleId="443">
    <w:name w:val="封面标准名称"/>
    <w:qFormat/>
    <w:uiPriority w:val="0"/>
    <w:pPr>
      <w:widowControl w:val="0"/>
      <w:spacing w:line="680" w:lineRule="exact"/>
      <w:jc w:val="center"/>
      <w:textAlignment w:val="center"/>
    </w:pPr>
    <w:rPr>
      <w:rFonts w:ascii="黑体" w:hAnsi="Times New Roman" w:eastAsia="黑体" w:cs="Times New Roman"/>
      <w:sz w:val="52"/>
      <w:lang w:val="en-US" w:eastAsia="zh-CN" w:bidi="ar-SA"/>
    </w:rPr>
  </w:style>
  <w:style w:type="paragraph" w:styleId="444">
    <w:name w:val="Quote"/>
    <w:basedOn w:val="1"/>
    <w:next w:val="1"/>
    <w:link w:val="661"/>
    <w:qFormat/>
    <w:uiPriority w:val="0"/>
    <w:pPr>
      <w:widowControl/>
      <w:jc w:val="left"/>
    </w:pPr>
    <w:rPr>
      <w:rFonts w:ascii="Calibri" w:hAnsi="Calibri"/>
      <w:i/>
      <w:iCs/>
      <w:color w:val="000000"/>
      <w:kern w:val="0"/>
      <w:sz w:val="22"/>
      <w:szCs w:val="22"/>
    </w:rPr>
  </w:style>
  <w:style w:type="paragraph" w:customStyle="1" w:styleId="445">
    <w:name w:val="缩进"/>
    <w:basedOn w:val="1"/>
    <w:qFormat/>
    <w:uiPriority w:val="0"/>
    <w:pPr>
      <w:autoSpaceDE w:val="0"/>
      <w:autoSpaceDN w:val="0"/>
      <w:adjustRightInd w:val="0"/>
      <w:spacing w:line="400" w:lineRule="atLeast"/>
      <w:ind w:firstLine="480" w:firstLineChars="200"/>
      <w:textAlignment w:val="baseline"/>
    </w:pPr>
    <w:rPr>
      <w:sz w:val="24"/>
    </w:rPr>
  </w:style>
  <w:style w:type="paragraph" w:customStyle="1" w:styleId="446">
    <w:name w:val="参数解释"/>
    <w:basedOn w:val="317"/>
    <w:link w:val="647"/>
    <w:qFormat/>
    <w:uiPriority w:val="0"/>
    <w:pPr>
      <w:ind w:firstLine="1274" w:firstLineChars="531"/>
    </w:pPr>
  </w:style>
  <w:style w:type="paragraph" w:customStyle="1" w:styleId="447">
    <w:name w:val="样式 宋体 小四 两端对齐 首行缩进:  0.85 厘米 行距: 1.5 倍行距"/>
    <w:basedOn w:val="1"/>
    <w:qFormat/>
    <w:uiPriority w:val="0"/>
    <w:pPr>
      <w:widowControl/>
      <w:spacing w:line="360" w:lineRule="auto"/>
      <w:ind w:firstLine="482"/>
    </w:pPr>
    <w:rPr>
      <w:kern w:val="0"/>
      <w:sz w:val="24"/>
      <w:szCs w:val="24"/>
    </w:rPr>
  </w:style>
  <w:style w:type="paragraph" w:customStyle="1" w:styleId="448">
    <w:name w:val="样式 样式 目录 2 + 首行缩进:  2 字符 + 首行缩进:  2 字符"/>
    <w:basedOn w:val="236"/>
    <w:qFormat/>
    <w:uiPriority w:val="0"/>
    <w:pPr>
      <w:tabs>
        <w:tab w:val="left" w:pos="960"/>
        <w:tab w:val="clear" w:pos="1200"/>
      </w:tabs>
      <w:ind w:firstLine="400"/>
    </w:pPr>
  </w:style>
  <w:style w:type="paragraph" w:customStyle="1" w:styleId="449">
    <w:name w:val="表格。。"/>
    <w:basedOn w:val="1"/>
    <w:link w:val="639"/>
    <w:qFormat/>
    <w:uiPriority w:val="0"/>
    <w:pPr>
      <w:jc w:val="center"/>
    </w:pPr>
  </w:style>
  <w:style w:type="paragraph" w:customStyle="1" w:styleId="450">
    <w:name w:val="样式 标题 1二处标题 11标题 1 Char章标题章节H1Otsikko 1标题 1 Char Char Ch...2"/>
    <w:basedOn w:val="3"/>
    <w:qFormat/>
    <w:uiPriority w:val="0"/>
    <w:pPr>
      <w:snapToGrid/>
      <w:spacing w:line="480" w:lineRule="exact"/>
      <w:ind w:firstLine="200" w:firstLineChars="200"/>
      <w:jc w:val="center"/>
    </w:pPr>
    <w:rPr>
      <w:rFonts w:eastAsia="Times New Roman" w:cs="宋体"/>
      <w:b/>
      <w:bCs/>
      <w:sz w:val="32"/>
    </w:rPr>
  </w:style>
  <w:style w:type="paragraph" w:customStyle="1" w:styleId="451">
    <w:name w:val="G标题 1"/>
    <w:basedOn w:val="3"/>
    <w:qFormat/>
    <w:uiPriority w:val="0"/>
    <w:pPr>
      <w:keepLines w:val="0"/>
      <w:snapToGrid/>
      <w:spacing w:line="480" w:lineRule="exact"/>
      <w:jc w:val="center"/>
    </w:pPr>
    <w:rPr>
      <w:rFonts w:eastAsia="宋体"/>
      <w:b/>
      <w:bCs/>
      <w:kern w:val="2"/>
      <w:sz w:val="32"/>
      <w:szCs w:val="24"/>
    </w:rPr>
  </w:style>
  <w:style w:type="paragraph" w:customStyle="1" w:styleId="452">
    <w:name w:val="咨询公司名称"/>
    <w:basedOn w:val="1"/>
    <w:qFormat/>
    <w:uiPriority w:val="0"/>
    <w:pPr>
      <w:widowControl/>
      <w:jc w:val="center"/>
    </w:pPr>
    <w:rPr>
      <w:rFonts w:ascii="黑体" w:hAnsi="Calibri" w:eastAsia="黑体" w:cs="宋体"/>
      <w:kern w:val="0"/>
      <w:sz w:val="32"/>
    </w:rPr>
  </w:style>
  <w:style w:type="paragraph" w:customStyle="1" w:styleId="453">
    <w:name w:val="君邦正文"/>
    <w:link w:val="624"/>
    <w:qFormat/>
    <w:uiPriority w:val="0"/>
    <w:pPr>
      <w:spacing w:after="60" w:line="360" w:lineRule="auto"/>
      <w:ind w:firstLine="480" w:firstLineChars="200"/>
      <w:jc w:val="both"/>
    </w:pPr>
    <w:rPr>
      <w:rFonts w:ascii="Times New Roman" w:hAnsi="Times New Roman" w:eastAsia="宋体" w:cs="Times New Roman"/>
      <w:bCs/>
      <w:snapToGrid w:val="0"/>
      <w:sz w:val="24"/>
      <w:lang w:val="en-US" w:eastAsia="zh-CN" w:bidi="ar-SA"/>
    </w:rPr>
  </w:style>
  <w:style w:type="paragraph" w:customStyle="1" w:styleId="454">
    <w:name w:val="样式3"/>
    <w:basedOn w:val="1"/>
    <w:qFormat/>
    <w:uiPriority w:val="0"/>
    <w:pPr>
      <w:widowControl/>
      <w:jc w:val="center"/>
    </w:pPr>
    <w:rPr>
      <w:rFonts w:ascii="Calibri" w:hAnsi="Calibri"/>
      <w:kern w:val="0"/>
      <w:sz w:val="22"/>
      <w:szCs w:val="21"/>
    </w:rPr>
  </w:style>
  <w:style w:type="paragraph" w:customStyle="1" w:styleId="455">
    <w:name w:val="样式 标题 1二处标题 11标题 1 Char章标题章节H1Otsikko 1标题 1 Char Char Ch...3"/>
    <w:basedOn w:val="3"/>
    <w:qFormat/>
    <w:uiPriority w:val="0"/>
    <w:pPr>
      <w:snapToGrid/>
      <w:spacing w:line="480" w:lineRule="exact"/>
      <w:ind w:firstLine="200" w:firstLineChars="200"/>
      <w:jc w:val="center"/>
    </w:pPr>
    <w:rPr>
      <w:rFonts w:eastAsia="宋体"/>
      <w:b/>
      <w:bCs/>
      <w:sz w:val="32"/>
      <w:szCs w:val="44"/>
    </w:rPr>
  </w:style>
  <w:style w:type="paragraph" w:customStyle="1" w:styleId="456">
    <w:name w:val="图标题"/>
    <w:next w:val="1"/>
    <w:qFormat/>
    <w:uiPriority w:val="0"/>
    <w:pPr>
      <w:tabs>
        <w:tab w:val="left" w:pos="269"/>
      </w:tabs>
      <w:spacing w:after="200" w:line="360" w:lineRule="auto"/>
      <w:ind w:left="269"/>
      <w:jc w:val="center"/>
    </w:pPr>
    <w:rPr>
      <w:rFonts w:ascii="Calibri" w:hAnsi="Calibri" w:eastAsia="宋体" w:cs="Times New Roman"/>
      <w:b/>
      <w:kern w:val="2"/>
      <w:sz w:val="24"/>
      <w:szCs w:val="24"/>
      <w:lang w:val="en-US" w:eastAsia="zh-CN" w:bidi="ar-SA"/>
    </w:rPr>
  </w:style>
  <w:style w:type="paragraph" w:customStyle="1" w:styleId="457">
    <w:name w:val="样式 标题 1标题 1-王鹏纪任山标题 1 + Times New Roman 三号 加粗 黑色"/>
    <w:basedOn w:val="3"/>
    <w:qFormat/>
    <w:uiPriority w:val="0"/>
    <w:pPr>
      <w:keepLines w:val="0"/>
      <w:snapToGrid/>
      <w:spacing w:line="240" w:lineRule="auto"/>
      <w:jc w:val="center"/>
    </w:pPr>
    <w:rPr>
      <w:rFonts w:eastAsia="宋体"/>
      <w:b/>
      <w:bCs/>
      <w:color w:val="000000"/>
      <w:kern w:val="2"/>
      <w:sz w:val="32"/>
      <w:szCs w:val="24"/>
    </w:rPr>
  </w:style>
  <w:style w:type="paragraph" w:customStyle="1" w:styleId="458">
    <w:name w:val="居中正文"/>
    <w:basedOn w:val="54"/>
    <w:qFormat/>
    <w:uiPriority w:val="0"/>
    <w:pPr>
      <w:snapToGrid/>
      <w:spacing w:before="240" w:after="0" w:line="240" w:lineRule="atLeast"/>
      <w:ind w:firstLine="0"/>
      <w:jc w:val="center"/>
    </w:pPr>
    <w:rPr>
      <w:rFonts w:ascii="宋体" w:hAnsi="Times New Roman"/>
      <w:snapToGrid/>
      <w:spacing w:val="6"/>
      <w:szCs w:val="20"/>
    </w:rPr>
  </w:style>
  <w:style w:type="paragraph" w:customStyle="1" w:styleId="459">
    <w:name w:val="样式 样式 样式 标题 2节 + (西文) Times New Roman (中文) 宋体 四号 段前: 0.5 行 段后: 0..."/>
    <w:basedOn w:val="292"/>
    <w:next w:val="3"/>
    <w:qFormat/>
    <w:uiPriority w:val="0"/>
    <w:pPr>
      <w:tabs>
        <w:tab w:val="clear" w:pos="720"/>
      </w:tabs>
      <w:spacing w:before="0" w:beforeLines="50" w:after="0" w:afterLines="0" w:line="360" w:lineRule="auto"/>
      <w:ind w:left="0"/>
    </w:pPr>
    <w:rPr>
      <w:rFonts w:hAnsi="宋体" w:cs="宋体"/>
      <w:sz w:val="30"/>
      <w:szCs w:val="20"/>
    </w:rPr>
  </w:style>
  <w:style w:type="paragraph" w:customStyle="1" w:styleId="460">
    <w:name w:val="Title 02"/>
    <w:basedOn w:val="1"/>
    <w:qFormat/>
    <w:uiPriority w:val="0"/>
    <w:pPr>
      <w:widowControl/>
      <w:jc w:val="center"/>
    </w:pPr>
    <w:rPr>
      <w:rFonts w:ascii="黑体" w:hAnsi="Calibri" w:eastAsia="黑体" w:cs="宋体"/>
      <w:kern w:val="0"/>
      <w:sz w:val="52"/>
    </w:rPr>
  </w:style>
  <w:style w:type="paragraph" w:customStyle="1" w:styleId="461">
    <w:name w:val="表X"/>
    <w:basedOn w:val="29"/>
    <w:qFormat/>
    <w:uiPriority w:val="0"/>
    <w:pPr>
      <w:keepNext/>
      <w:widowControl/>
      <w:tabs>
        <w:tab w:val="left" w:pos="1200"/>
      </w:tabs>
      <w:spacing w:before="240" w:line="240" w:lineRule="auto"/>
      <w:ind w:left="1200" w:hanging="360"/>
      <w:jc w:val="left"/>
      <w:textAlignment w:val="auto"/>
      <w:outlineLvl w:val="8"/>
    </w:pPr>
    <w:rPr>
      <w:rFonts w:ascii="Courier New"/>
      <w:spacing w:val="0"/>
      <w:kern w:val="0"/>
      <w:sz w:val="28"/>
    </w:rPr>
  </w:style>
  <w:style w:type="paragraph" w:customStyle="1" w:styleId="462">
    <w:name w:val="样式 黑色 行距: 固定值 15 磅1"/>
    <w:basedOn w:val="1"/>
    <w:qFormat/>
    <w:uiPriority w:val="0"/>
    <w:pPr>
      <w:spacing w:line="300" w:lineRule="exact"/>
    </w:pPr>
    <w:rPr>
      <w:rFonts w:cs="宋体"/>
      <w:color w:val="000000"/>
      <w:sz w:val="28"/>
    </w:rPr>
  </w:style>
  <w:style w:type="paragraph" w:customStyle="1" w:styleId="463">
    <w:name w:val="表格内容"/>
    <w:basedOn w:val="42"/>
    <w:link w:val="562"/>
    <w:qFormat/>
    <w:uiPriority w:val="0"/>
    <w:pPr>
      <w:overflowPunct w:val="0"/>
      <w:adjustRightInd w:val="0"/>
      <w:spacing w:before="40" w:after="60" w:line="200" w:lineRule="atLeast"/>
      <w:textAlignment w:val="baseline"/>
    </w:pPr>
    <w:rPr>
      <w:rFonts w:ascii="Arial" w:hAnsi="Arial" w:eastAsia="仿宋_GB2312"/>
      <w:kern w:val="0"/>
      <w:sz w:val="24"/>
    </w:rPr>
  </w:style>
  <w:style w:type="paragraph" w:customStyle="1" w:styleId="464">
    <w:name w:val="数字编号"/>
    <w:basedOn w:val="1"/>
    <w:qFormat/>
    <w:uiPriority w:val="0"/>
    <w:pPr>
      <w:tabs>
        <w:tab w:val="left" w:pos="432"/>
      </w:tabs>
      <w:spacing w:before="50" w:line="300" w:lineRule="auto"/>
      <w:ind w:firstLine="200" w:firstLineChars="200"/>
    </w:pPr>
    <w:rPr>
      <w:spacing w:val="6"/>
      <w:sz w:val="24"/>
      <w:szCs w:val="24"/>
    </w:rPr>
  </w:style>
  <w:style w:type="paragraph" w:customStyle="1" w:styleId="465">
    <w:name w:val="表格正文"/>
    <w:link w:val="644"/>
    <w:qFormat/>
    <w:uiPriority w:val="0"/>
    <w:pPr>
      <w:widowControl w:val="0"/>
      <w:spacing w:after="200" w:line="320" w:lineRule="exact"/>
      <w:jc w:val="center"/>
    </w:pPr>
    <w:rPr>
      <w:rFonts w:ascii="宋体" w:hAnsi="宋体" w:eastAsia="宋体" w:cs="Times New Roman"/>
      <w:kern w:val="2"/>
      <w:sz w:val="21"/>
      <w:szCs w:val="22"/>
      <w:lang w:val="en-US" w:eastAsia="zh-CN" w:bidi="ar-SA"/>
    </w:rPr>
  </w:style>
  <w:style w:type="paragraph" w:customStyle="1" w:styleId="466">
    <w:name w:val="5"/>
    <w:basedOn w:val="1"/>
    <w:next w:val="5"/>
    <w:qFormat/>
    <w:uiPriority w:val="0"/>
    <w:pPr>
      <w:widowControl/>
      <w:spacing w:line="500" w:lineRule="exact"/>
      <w:ind w:firstLine="420"/>
      <w:jc w:val="left"/>
    </w:pPr>
    <w:rPr>
      <w:rFonts w:ascii="仿宋_GB2312" w:hAnsi="Calibri" w:eastAsia="仿宋_GB2312"/>
      <w:kern w:val="0"/>
      <w:sz w:val="28"/>
    </w:rPr>
  </w:style>
  <w:style w:type="paragraph" w:customStyle="1" w:styleId="467">
    <w:name w:val="Char Char Char Char Char Char Char Char Char Char Char Char Char Char Char Char"/>
    <w:basedOn w:val="1"/>
    <w:next w:val="1"/>
    <w:qFormat/>
    <w:uiPriority w:val="0"/>
    <w:pPr>
      <w:widowControl/>
      <w:spacing w:line="360" w:lineRule="auto"/>
      <w:jc w:val="left"/>
    </w:pPr>
    <w:rPr>
      <w:rFonts w:ascii="仿宋_GB2312" w:eastAsia="仿宋_GB2312"/>
      <w:sz w:val="24"/>
    </w:rPr>
  </w:style>
  <w:style w:type="paragraph" w:customStyle="1" w:styleId="468">
    <w:name w:val="xl29"/>
    <w:basedOn w:val="1"/>
    <w:qFormat/>
    <w:uiPriority w:val="0"/>
    <w:pPr>
      <w:widowControl/>
      <w:pBdr>
        <w:top w:val="single" w:color="auto" w:sz="8" w:space="0"/>
        <w:left w:val="single" w:color="auto" w:sz="8" w:space="0"/>
        <w:bottom w:val="single" w:color="auto" w:sz="8" w:space="0"/>
        <w:right w:val="single" w:color="auto" w:sz="8" w:space="0"/>
      </w:pBdr>
      <w:spacing w:before="100" w:beforeAutospacing="1" w:after="100" w:afterAutospacing="1"/>
      <w:jc w:val="center"/>
    </w:pPr>
    <w:rPr>
      <w:rFonts w:ascii="宋体" w:hAnsi="宋体"/>
      <w:kern w:val="0"/>
      <w:sz w:val="20"/>
    </w:rPr>
  </w:style>
  <w:style w:type="paragraph" w:customStyle="1" w:styleId="469">
    <w:name w:val="B"/>
    <w:basedOn w:val="42"/>
    <w:qFormat/>
    <w:uiPriority w:val="0"/>
    <w:pPr>
      <w:spacing w:before="62" w:beforeLines="20" w:after="62" w:afterLines="20"/>
      <w:ind w:left="0" w:firstLine="0" w:firstLineChars="0"/>
      <w:jc w:val="center"/>
    </w:pPr>
    <w:rPr>
      <w:rFonts w:ascii="ISOCTEUR" w:hAnsi="ISOCTEUR" w:cs="ISOCTEUR"/>
      <w:b/>
    </w:rPr>
  </w:style>
  <w:style w:type="paragraph" w:customStyle="1" w:styleId="470">
    <w:name w:val="环评主标题"/>
    <w:basedOn w:val="1"/>
    <w:qFormat/>
    <w:uiPriority w:val="0"/>
    <w:pPr>
      <w:widowControl/>
      <w:jc w:val="center"/>
    </w:pPr>
    <w:rPr>
      <w:rFonts w:ascii="黑体" w:hAnsi="Calibri" w:eastAsia="黑体" w:cs="宋体"/>
      <w:kern w:val="0"/>
      <w:sz w:val="52"/>
    </w:rPr>
  </w:style>
  <w:style w:type="paragraph" w:customStyle="1" w:styleId="471">
    <w:name w:val="font1"/>
    <w:basedOn w:val="1"/>
    <w:qFormat/>
    <w:uiPriority w:val="0"/>
    <w:pPr>
      <w:widowControl/>
      <w:spacing w:before="100" w:beforeAutospacing="1" w:after="100" w:afterAutospacing="1"/>
      <w:jc w:val="left"/>
    </w:pPr>
    <w:rPr>
      <w:rFonts w:hint="eastAsia" w:ascii="宋体" w:hAnsi="宋体"/>
      <w:kern w:val="0"/>
      <w:sz w:val="24"/>
      <w:szCs w:val="22"/>
    </w:rPr>
  </w:style>
  <w:style w:type="paragraph" w:customStyle="1" w:styleId="472">
    <w:name w:val="报告书正文"/>
    <w:basedOn w:val="1"/>
    <w:link w:val="543"/>
    <w:qFormat/>
    <w:uiPriority w:val="0"/>
    <w:pPr>
      <w:widowControl/>
      <w:adjustRightInd w:val="0"/>
      <w:spacing w:line="360" w:lineRule="auto"/>
      <w:ind w:firstLine="425"/>
      <w:jc w:val="left"/>
      <w:textAlignment w:val="baseline"/>
    </w:pPr>
    <w:rPr>
      <w:rFonts w:ascii="Calibri" w:hAnsi="Calibri"/>
      <w:kern w:val="0"/>
      <w:sz w:val="24"/>
    </w:rPr>
  </w:style>
  <w:style w:type="paragraph" w:customStyle="1" w:styleId="473">
    <w:name w:val="6"/>
    <w:basedOn w:val="1"/>
    <w:next w:val="48"/>
    <w:qFormat/>
    <w:uiPriority w:val="0"/>
    <w:pPr>
      <w:widowControl/>
      <w:spacing w:after="120" w:line="480" w:lineRule="auto"/>
      <w:jc w:val="left"/>
    </w:pPr>
    <w:rPr>
      <w:rFonts w:ascii="Calibri" w:hAnsi="Calibri"/>
      <w:kern w:val="0"/>
      <w:sz w:val="22"/>
      <w:szCs w:val="22"/>
    </w:rPr>
  </w:style>
  <w:style w:type="paragraph" w:customStyle="1" w:styleId="474">
    <w:name w:val="霍尼韦尔"/>
    <w:basedOn w:val="1"/>
    <w:link w:val="514"/>
    <w:qFormat/>
    <w:uiPriority w:val="0"/>
    <w:pPr>
      <w:spacing w:line="480" w:lineRule="exact"/>
      <w:ind w:firstLine="480" w:firstLineChars="200"/>
      <w:jc w:val="left"/>
    </w:pPr>
    <w:rPr>
      <w:kern w:val="0"/>
      <w:sz w:val="24"/>
    </w:rPr>
  </w:style>
  <w:style w:type="paragraph" w:customStyle="1" w:styleId="475">
    <w:name w:val="标准文本 居中 单倍行距 Char"/>
    <w:basedOn w:val="1"/>
    <w:qFormat/>
    <w:uiPriority w:val="0"/>
    <w:pPr>
      <w:widowControl/>
      <w:adjustRightInd w:val="0"/>
      <w:snapToGrid w:val="0"/>
      <w:spacing w:line="480" w:lineRule="exact"/>
      <w:jc w:val="center"/>
      <w:textAlignment w:val="center"/>
    </w:pPr>
    <w:rPr>
      <w:rFonts w:ascii="宋体" w:hAnsi="宋体" w:cs="宋体"/>
      <w:color w:val="000000"/>
      <w:kern w:val="0"/>
      <w:sz w:val="24"/>
      <w:szCs w:val="22"/>
    </w:rPr>
  </w:style>
  <w:style w:type="paragraph" w:customStyle="1" w:styleId="476">
    <w:name w:val="表格内文字"/>
    <w:basedOn w:val="1"/>
    <w:link w:val="707"/>
    <w:qFormat/>
    <w:uiPriority w:val="0"/>
    <w:pPr>
      <w:tabs>
        <w:tab w:val="left" w:pos="0"/>
      </w:tabs>
      <w:adjustRightInd w:val="0"/>
      <w:snapToGrid w:val="0"/>
      <w:jc w:val="center"/>
    </w:pPr>
    <w:rPr>
      <w:rFonts w:eastAsia="仿宋_GB2312"/>
      <w:sz w:val="24"/>
    </w:rPr>
  </w:style>
  <w:style w:type="paragraph" w:customStyle="1" w:styleId="477">
    <w:name w:val="CC Char Char Char"/>
    <w:basedOn w:val="34"/>
    <w:next w:val="34"/>
    <w:qFormat/>
    <w:uiPriority w:val="0"/>
    <w:pPr>
      <w:spacing w:before="0" w:after="120" w:line="480" w:lineRule="auto"/>
      <w:ind w:left="630" w:leftChars="100" w:right="100" w:rightChars="100" w:firstLine="0" w:firstLineChars="0"/>
    </w:pPr>
    <w:rPr>
      <w:rFonts w:ascii="Times New Roman" w:hAnsi="Times New Roman"/>
      <w:spacing w:val="0"/>
      <w:sz w:val="28"/>
      <w:szCs w:val="28"/>
    </w:rPr>
  </w:style>
  <w:style w:type="paragraph" w:customStyle="1" w:styleId="478">
    <w:name w:val="样式  + 首行缩进:  0.75 厘米"/>
    <w:basedOn w:val="1"/>
    <w:qFormat/>
    <w:uiPriority w:val="0"/>
    <w:pPr>
      <w:widowControl/>
      <w:ind w:firstLine="425"/>
      <w:jc w:val="left"/>
    </w:pPr>
    <w:rPr>
      <w:rFonts w:ascii="Calibri" w:hAnsi="Calibri"/>
      <w:bCs/>
      <w:kern w:val="0"/>
      <w:sz w:val="24"/>
      <w:szCs w:val="22"/>
    </w:rPr>
  </w:style>
  <w:style w:type="paragraph" w:customStyle="1" w:styleId="479">
    <w:name w:val="正文加粗lcc"/>
    <w:basedOn w:val="163"/>
    <w:qFormat/>
    <w:uiPriority w:val="0"/>
    <w:pPr>
      <w:ind w:firstLine="482"/>
    </w:pPr>
    <w:rPr>
      <w:b/>
      <w:szCs w:val="24"/>
    </w:rPr>
  </w:style>
  <w:style w:type="paragraph" w:customStyle="1" w:styleId="480">
    <w:name w:val="证书编号"/>
    <w:basedOn w:val="1"/>
    <w:qFormat/>
    <w:uiPriority w:val="0"/>
    <w:pPr>
      <w:widowControl/>
      <w:jc w:val="center"/>
    </w:pPr>
    <w:rPr>
      <w:rFonts w:ascii="Calibri" w:hAnsi="Calibri" w:cs="宋体"/>
      <w:kern w:val="0"/>
      <w:sz w:val="28"/>
    </w:rPr>
  </w:style>
  <w:style w:type="paragraph" w:customStyle="1" w:styleId="481">
    <w:name w:val="样式 标准文本 首行缩进:2 字符 行距1.5倍 + 首行缩进:  2 字符1"/>
    <w:basedOn w:val="158"/>
    <w:qFormat/>
    <w:uiPriority w:val="0"/>
    <w:pPr>
      <w:spacing w:line="240" w:lineRule="auto"/>
    </w:pPr>
  </w:style>
  <w:style w:type="paragraph" w:customStyle="1" w:styleId="482">
    <w:name w:val="Char Char Char Char Char Char1 Char Char Char Char Char Char Char1"/>
    <w:basedOn w:val="1"/>
    <w:qFormat/>
    <w:uiPriority w:val="0"/>
    <w:rPr>
      <w:szCs w:val="24"/>
    </w:rPr>
  </w:style>
  <w:style w:type="paragraph" w:customStyle="1" w:styleId="483">
    <w:name w:val="正文两端对齐"/>
    <w:basedOn w:val="1"/>
    <w:qFormat/>
    <w:uiPriority w:val="0"/>
    <w:pPr>
      <w:widowControl/>
      <w:spacing w:line="400" w:lineRule="exact"/>
      <w:jc w:val="left"/>
    </w:pPr>
    <w:rPr>
      <w:rFonts w:ascii="Calibri" w:hAnsi="Calibri" w:cs="宋体"/>
      <w:kern w:val="0"/>
      <w:sz w:val="24"/>
    </w:rPr>
  </w:style>
  <w:style w:type="paragraph" w:customStyle="1" w:styleId="484">
    <w:name w:val="样式 样式 首行缩进:  2 字符1 + 首行缩进:  2 字符 段前: 0.2 行"/>
    <w:basedOn w:val="1"/>
    <w:qFormat/>
    <w:uiPriority w:val="0"/>
    <w:pPr>
      <w:widowControl/>
      <w:spacing w:line="440" w:lineRule="exact"/>
      <w:ind w:firstLine="200" w:firstLineChars="200"/>
      <w:jc w:val="left"/>
    </w:pPr>
    <w:rPr>
      <w:rFonts w:ascii="Calibri" w:hAnsi="Calibri"/>
      <w:kern w:val="0"/>
      <w:sz w:val="24"/>
    </w:rPr>
  </w:style>
  <w:style w:type="paragraph" w:customStyle="1" w:styleId="485">
    <w:name w:val="默认段落字体 Para Char Char Char1 Char Char Char Char Char Char Char Char Char Char"/>
    <w:basedOn w:val="1"/>
    <w:qFormat/>
    <w:uiPriority w:val="0"/>
    <w:pPr>
      <w:widowControl/>
      <w:jc w:val="left"/>
    </w:pPr>
    <w:rPr>
      <w:rFonts w:ascii="Calibri" w:hAnsi="Calibri"/>
      <w:kern w:val="0"/>
      <w:sz w:val="24"/>
      <w:szCs w:val="22"/>
    </w:rPr>
  </w:style>
  <w:style w:type="paragraph" w:customStyle="1" w:styleId="486">
    <w:name w:val="表格文本 五号 居中 单倍行距 Char"/>
    <w:basedOn w:val="1"/>
    <w:qFormat/>
    <w:uiPriority w:val="0"/>
    <w:pPr>
      <w:keepNext/>
      <w:adjustRightInd w:val="0"/>
      <w:snapToGrid w:val="0"/>
      <w:jc w:val="center"/>
      <w:textAlignment w:val="baseline"/>
    </w:pPr>
    <w:rPr>
      <w:rFonts w:cs="宋体"/>
      <w:szCs w:val="24"/>
    </w:rPr>
  </w:style>
  <w:style w:type="paragraph" w:customStyle="1" w:styleId="487">
    <w:name w:val="表标题1"/>
    <w:basedOn w:val="1"/>
    <w:qFormat/>
    <w:uiPriority w:val="0"/>
    <w:pPr>
      <w:adjustRightInd w:val="0"/>
      <w:spacing w:before="180" w:after="120" w:line="397" w:lineRule="atLeast"/>
      <w:ind w:firstLine="480"/>
      <w:jc w:val="center"/>
      <w:textAlignment w:val="baseline"/>
    </w:pPr>
    <w:rPr>
      <w:b/>
      <w:kern w:val="0"/>
      <w:sz w:val="24"/>
    </w:rPr>
  </w:style>
  <w:style w:type="paragraph" w:customStyle="1" w:styleId="488">
    <w:name w:val="表内容"/>
    <w:basedOn w:val="1"/>
    <w:qFormat/>
    <w:uiPriority w:val="0"/>
    <w:pPr>
      <w:jc w:val="center"/>
    </w:pPr>
  </w:style>
  <w:style w:type="paragraph" w:customStyle="1" w:styleId="489">
    <w:name w:val="样式 首行缩进:  0.99 厘米 行距: 1.5 倍行距2"/>
    <w:basedOn w:val="1"/>
    <w:qFormat/>
    <w:uiPriority w:val="0"/>
    <w:pPr>
      <w:adjustRightInd w:val="0"/>
      <w:snapToGrid w:val="0"/>
      <w:jc w:val="center"/>
    </w:pPr>
    <w:rPr>
      <w:rFonts w:ascii="宋体" w:hAnsi="宋体"/>
      <w:color w:val="FF0000"/>
    </w:rPr>
  </w:style>
  <w:style w:type="paragraph" w:customStyle="1" w:styleId="490">
    <w:name w:val="样式8"/>
    <w:basedOn w:val="1"/>
    <w:next w:val="1"/>
    <w:qFormat/>
    <w:uiPriority w:val="0"/>
    <w:pPr>
      <w:ind w:firstLine="420"/>
    </w:pPr>
    <w:rPr>
      <w:rFonts w:ascii="宋体" w:hAnsi="Arial Black" w:cs="宋体"/>
      <w:sz w:val="24"/>
      <w:szCs w:val="24"/>
    </w:rPr>
  </w:style>
  <w:style w:type="paragraph" w:customStyle="1" w:styleId="491">
    <w:name w:val="样式 标题 2节节标题 1.1H2（一）Underrubrik1prop2Heading 2 HiddenHea...1"/>
    <w:basedOn w:val="4"/>
    <w:qFormat/>
    <w:uiPriority w:val="0"/>
    <w:pPr>
      <w:numPr>
        <w:ilvl w:val="0"/>
        <w:numId w:val="0"/>
      </w:numPr>
      <w:tabs>
        <w:tab w:val="left" w:pos="576"/>
        <w:tab w:val="clear" w:pos="1276"/>
      </w:tabs>
      <w:adjustRightInd/>
      <w:spacing w:before="156" w:beforeLines="50" w:after="156" w:afterLines="50"/>
      <w:ind w:left="576" w:hanging="576"/>
      <w:textAlignment w:val="auto"/>
    </w:pPr>
    <w:rPr>
      <w:rFonts w:ascii="Times New Roman" w:hAnsi="Times New Roman" w:eastAsia="宋体"/>
      <w:bCs/>
      <w:color w:val="000000"/>
      <w:sz w:val="30"/>
      <w:szCs w:val="28"/>
    </w:rPr>
  </w:style>
  <w:style w:type="paragraph" w:customStyle="1" w:styleId="492">
    <w:name w:val="样式1－表头"/>
    <w:basedOn w:val="1"/>
    <w:qFormat/>
    <w:uiPriority w:val="0"/>
    <w:pPr>
      <w:adjustRightInd w:val="0"/>
      <w:snapToGrid w:val="0"/>
      <w:jc w:val="center"/>
    </w:pPr>
    <w:rPr>
      <w:b/>
      <w:bCs/>
      <w:color w:val="000000"/>
      <w:spacing w:val="6"/>
      <w:kern w:val="0"/>
      <w:sz w:val="24"/>
    </w:rPr>
  </w:style>
  <w:style w:type="paragraph" w:customStyle="1" w:styleId="493">
    <w:name w:val="表题"/>
    <w:next w:val="208"/>
    <w:link w:val="633"/>
    <w:qFormat/>
    <w:uiPriority w:val="0"/>
    <w:pPr>
      <w:spacing w:before="312" w:beforeLines="100" w:after="200" w:line="500" w:lineRule="exact"/>
      <w:jc w:val="center"/>
    </w:pPr>
    <w:rPr>
      <w:rFonts w:ascii="Calibri" w:hAnsi="Calibri" w:eastAsia="黑体" w:cs="Times New Roman"/>
      <w:sz w:val="28"/>
      <w:szCs w:val="22"/>
      <w:lang w:val="en-US" w:eastAsia="zh-CN" w:bidi="ar-SA"/>
    </w:rPr>
  </w:style>
  <w:style w:type="paragraph" w:customStyle="1" w:styleId="494">
    <w:name w:val="标题二最终"/>
    <w:basedOn w:val="1"/>
    <w:qFormat/>
    <w:uiPriority w:val="0"/>
    <w:pPr>
      <w:keepNext/>
      <w:keepLines/>
      <w:tabs>
        <w:tab w:val="left" w:pos="567"/>
      </w:tabs>
      <w:adjustRightInd w:val="0"/>
      <w:snapToGrid w:val="0"/>
      <w:spacing w:before="156" w:beforeLines="50" w:line="360" w:lineRule="auto"/>
      <w:ind w:left="425" w:hanging="425"/>
      <w:outlineLvl w:val="1"/>
    </w:pPr>
    <w:rPr>
      <w:b/>
      <w:bCs/>
      <w:sz w:val="30"/>
      <w:szCs w:val="30"/>
    </w:rPr>
  </w:style>
  <w:style w:type="paragraph" w:customStyle="1" w:styleId="495">
    <w:name w:val="List Paragraph1"/>
    <w:basedOn w:val="1"/>
    <w:qFormat/>
    <w:uiPriority w:val="34"/>
    <w:pPr>
      <w:ind w:firstLine="420" w:firstLineChars="200"/>
    </w:pPr>
    <w:rPr>
      <w:rFonts w:ascii="Calibri" w:hAnsi="Calibri"/>
      <w:szCs w:val="22"/>
    </w:rPr>
  </w:style>
  <w:style w:type="paragraph" w:customStyle="1" w:styleId="496">
    <w:name w:val="T正文"/>
    <w:basedOn w:val="1"/>
    <w:next w:val="1"/>
    <w:qFormat/>
    <w:uiPriority w:val="0"/>
    <w:pPr>
      <w:widowControl/>
      <w:autoSpaceDE w:val="0"/>
      <w:autoSpaceDN w:val="0"/>
      <w:adjustRightInd w:val="0"/>
      <w:jc w:val="left"/>
    </w:pPr>
    <w:rPr>
      <w:rFonts w:ascii="宋体" w:hAnsi="Calibri"/>
      <w:kern w:val="0"/>
      <w:sz w:val="24"/>
      <w:szCs w:val="22"/>
    </w:rPr>
  </w:style>
  <w:style w:type="paragraph" w:customStyle="1" w:styleId="497">
    <w:name w:val="xl31"/>
    <w:basedOn w:val="1"/>
    <w:qFormat/>
    <w:uiPriority w:val="0"/>
    <w:pPr>
      <w:widowControl/>
      <w:pBdr>
        <w:top w:val="single" w:color="auto" w:sz="8" w:space="0"/>
        <w:left w:val="single" w:color="auto" w:sz="8" w:space="0"/>
        <w:bottom w:val="single" w:color="auto" w:sz="8" w:space="0"/>
        <w:right w:val="single" w:color="auto" w:sz="8" w:space="0"/>
      </w:pBdr>
      <w:spacing w:before="100" w:beforeAutospacing="1" w:after="100" w:afterAutospacing="1"/>
      <w:jc w:val="center"/>
    </w:pPr>
    <w:rPr>
      <w:rFonts w:ascii="宋体" w:hAnsi="宋体"/>
      <w:kern w:val="0"/>
      <w:sz w:val="20"/>
    </w:rPr>
  </w:style>
  <w:style w:type="paragraph" w:customStyle="1" w:styleId="498">
    <w:name w:val="Normal_0"/>
    <w:qFormat/>
    <w:uiPriority w:val="0"/>
    <w:rPr>
      <w:rFonts w:ascii="Times New Roman" w:hAnsi="Times New Roman" w:eastAsia="等线" w:cs="Times New Roman"/>
      <w:sz w:val="24"/>
      <w:szCs w:val="24"/>
      <w:lang w:val="en-US" w:eastAsia="zh-CN" w:bidi="ar-SA"/>
    </w:rPr>
  </w:style>
  <w:style w:type="paragraph" w:customStyle="1" w:styleId="499">
    <w:name w:val="样式 标题 2标题 2-王鹏标题2纪任山标题 2 + 四号 段前: 0 磅 段后: 0 磅 行距: 固定值 24 磅"/>
    <w:basedOn w:val="4"/>
    <w:qFormat/>
    <w:uiPriority w:val="0"/>
    <w:pPr>
      <w:numPr>
        <w:ilvl w:val="0"/>
        <w:numId w:val="0"/>
      </w:numPr>
      <w:tabs>
        <w:tab w:val="clear" w:pos="1276"/>
      </w:tabs>
      <w:adjustRightInd/>
      <w:spacing w:before="0" w:after="0" w:line="480" w:lineRule="exact"/>
      <w:ind w:left="-10" w:leftChars="-10" w:firstLine="200" w:firstLineChars="200"/>
      <w:jc w:val="both"/>
      <w:textAlignment w:val="auto"/>
    </w:pPr>
    <w:rPr>
      <w:rFonts w:ascii="Times New Roman" w:hAnsi="Times New Roman" w:eastAsia="宋体" w:cs="宋体"/>
      <w:bCs/>
      <w:sz w:val="30"/>
    </w:rPr>
  </w:style>
  <w:style w:type="character" w:customStyle="1" w:styleId="500">
    <w:name w:val="ng-binding"/>
    <w:qFormat/>
    <w:uiPriority w:val="0"/>
  </w:style>
  <w:style w:type="character" w:customStyle="1" w:styleId="501">
    <w:name w:val="标题 4 字符"/>
    <w:link w:val="2"/>
    <w:qFormat/>
    <w:uiPriority w:val="0"/>
    <w:rPr>
      <w:rFonts w:ascii="Arial" w:hAnsi="Arial" w:eastAsia="黑体"/>
      <w:b/>
      <w:kern w:val="2"/>
      <w:sz w:val="28"/>
      <w:lang w:val="en-US" w:eastAsia="zh-CN" w:bidi="ar-SA"/>
    </w:rPr>
  </w:style>
  <w:style w:type="character" w:customStyle="1" w:styleId="502">
    <w:name w:val="批注文字 Char1"/>
    <w:qFormat/>
    <w:uiPriority w:val="0"/>
    <w:rPr>
      <w:kern w:val="2"/>
      <w:sz w:val="21"/>
      <w:szCs w:val="22"/>
    </w:rPr>
  </w:style>
  <w:style w:type="character" w:customStyle="1" w:styleId="503">
    <w:name w:val="Char Char17"/>
    <w:qFormat/>
    <w:uiPriority w:val="0"/>
    <w:rPr>
      <w:rFonts w:ascii="Cambria" w:hAnsi="Cambria" w:eastAsia="宋体"/>
      <w:b/>
      <w:bCs/>
      <w:color w:val="2DA2BF"/>
      <w:sz w:val="26"/>
      <w:szCs w:val="26"/>
      <w:lang w:val="en-US" w:eastAsia="zh-CN" w:bidi="ar-SA"/>
    </w:rPr>
  </w:style>
  <w:style w:type="character" w:customStyle="1" w:styleId="504">
    <w:name w:val="Char Char5"/>
    <w:qFormat/>
    <w:uiPriority w:val="0"/>
    <w:rPr>
      <w:rFonts w:ascii="Arial" w:hAnsi="Arial" w:eastAsia="黑体"/>
      <w:b/>
      <w:bCs/>
      <w:kern w:val="2"/>
      <w:sz w:val="32"/>
      <w:szCs w:val="32"/>
      <w:lang w:val="en-US" w:eastAsia="zh-CN" w:bidi="ar-SA"/>
    </w:rPr>
  </w:style>
  <w:style w:type="character" w:customStyle="1" w:styleId="505">
    <w:name w:val="Char Char"/>
    <w:qFormat/>
    <w:uiPriority w:val="0"/>
    <w:rPr>
      <w:rFonts w:eastAsia="宋体"/>
      <w:kern w:val="2"/>
      <w:sz w:val="21"/>
      <w:szCs w:val="24"/>
      <w:lang w:val="en-US" w:eastAsia="zh-CN" w:bidi="ar-SA"/>
    </w:rPr>
  </w:style>
  <w:style w:type="character" w:customStyle="1" w:styleId="506">
    <w:name w:val="报告书正文 Char"/>
    <w:qFormat/>
    <w:uiPriority w:val="0"/>
    <w:rPr>
      <w:rFonts w:eastAsia="宋体"/>
      <w:sz w:val="24"/>
      <w:lang w:val="en-US" w:eastAsia="zh-CN" w:bidi="ar-SA"/>
    </w:rPr>
  </w:style>
  <w:style w:type="character" w:customStyle="1" w:styleId="507">
    <w:name w:val="报告 Char"/>
    <w:link w:val="319"/>
    <w:qFormat/>
    <w:uiPriority w:val="0"/>
    <w:rPr>
      <w:rFonts w:ascii="TimesNewRoman" w:hAnsi="TimesNewRoman" w:eastAsia="宋体"/>
      <w:sz w:val="24"/>
      <w:lang w:val="en-US" w:eastAsia="zh-CN" w:bidi="ar-SA"/>
    </w:rPr>
  </w:style>
  <w:style w:type="character" w:customStyle="1" w:styleId="508">
    <w:name w:val="金源 Char"/>
    <w:link w:val="317"/>
    <w:qFormat/>
    <w:uiPriority w:val="0"/>
    <w:rPr>
      <w:rFonts w:eastAsia="宋体" w:cs="宋体"/>
      <w:kern w:val="2"/>
      <w:sz w:val="24"/>
      <w:lang w:val="en-US" w:eastAsia="zh-CN" w:bidi="ar-SA"/>
    </w:rPr>
  </w:style>
  <w:style w:type="character" w:customStyle="1" w:styleId="509">
    <w:name w:val="Char Char4"/>
    <w:qFormat/>
    <w:uiPriority w:val="0"/>
    <w:rPr>
      <w:rFonts w:eastAsia="宋体"/>
      <w:b/>
      <w:bCs/>
      <w:kern w:val="2"/>
      <w:sz w:val="32"/>
      <w:szCs w:val="32"/>
      <w:lang w:val="en-US" w:eastAsia="zh-CN" w:bidi="ar-SA"/>
    </w:rPr>
  </w:style>
  <w:style w:type="character" w:customStyle="1" w:styleId="510">
    <w:name w:val="headline-content2"/>
    <w:basedOn w:val="63"/>
    <w:qFormat/>
    <w:uiPriority w:val="0"/>
  </w:style>
  <w:style w:type="character" w:customStyle="1" w:styleId="511">
    <w:name w:val="题注 字符"/>
    <w:link w:val="15"/>
    <w:qFormat/>
    <w:uiPriority w:val="35"/>
    <w:rPr>
      <w:rFonts w:ascii="Calibri" w:hAnsi="Calibri"/>
      <w:b/>
      <w:bCs/>
      <w:color w:val="2DA2BF"/>
      <w:sz w:val="18"/>
      <w:szCs w:val="18"/>
    </w:rPr>
  </w:style>
  <w:style w:type="character" w:customStyle="1" w:styleId="512">
    <w:name w:val="Char Char41"/>
    <w:qFormat/>
    <w:uiPriority w:val="0"/>
    <w:rPr>
      <w:rFonts w:eastAsia="宋体"/>
      <w:b/>
      <w:bCs/>
      <w:kern w:val="2"/>
      <w:sz w:val="32"/>
      <w:szCs w:val="32"/>
      <w:lang w:val="en-US" w:eastAsia="zh-CN" w:bidi="ar-SA"/>
    </w:rPr>
  </w:style>
  <w:style w:type="character" w:customStyle="1" w:styleId="513">
    <w:name w:val="文档结构图 字符"/>
    <w:link w:val="16"/>
    <w:qFormat/>
    <w:uiPriority w:val="0"/>
    <w:rPr>
      <w:kern w:val="2"/>
      <w:sz w:val="21"/>
      <w:shd w:val="clear" w:color="auto" w:fill="000080"/>
    </w:rPr>
  </w:style>
  <w:style w:type="character" w:customStyle="1" w:styleId="514">
    <w:name w:val="霍尼韦尔 Char Char"/>
    <w:link w:val="474"/>
    <w:qFormat/>
    <w:uiPriority w:val="0"/>
    <w:rPr>
      <w:rFonts w:cs="宋体"/>
      <w:sz w:val="24"/>
    </w:rPr>
  </w:style>
  <w:style w:type="character" w:customStyle="1" w:styleId="515">
    <w:name w:val="font21"/>
    <w:qFormat/>
    <w:uiPriority w:val="0"/>
    <w:rPr>
      <w:rFonts w:hint="eastAsia" w:ascii="宋体" w:hAnsi="宋体" w:eastAsia="宋体" w:cs="宋体"/>
      <w:color w:val="000000"/>
      <w:sz w:val="21"/>
      <w:szCs w:val="21"/>
      <w:u w:val="none"/>
    </w:rPr>
  </w:style>
  <w:style w:type="character" w:customStyle="1" w:styleId="516">
    <w:name w:val="_Style 508"/>
    <w:qFormat/>
    <w:uiPriority w:val="0"/>
    <w:rPr>
      <w:b/>
      <w:bCs/>
      <w:smallCaps/>
      <w:color w:val="DA1F28"/>
      <w:spacing w:val="5"/>
      <w:u w:val="single"/>
    </w:rPr>
  </w:style>
  <w:style w:type="character" w:customStyle="1" w:styleId="517">
    <w:name w:val="content"/>
    <w:basedOn w:val="63"/>
    <w:qFormat/>
    <w:uiPriority w:val="0"/>
  </w:style>
  <w:style w:type="character" w:customStyle="1" w:styleId="518">
    <w:name w:val="标题 7 字符"/>
    <w:link w:val="9"/>
    <w:qFormat/>
    <w:uiPriority w:val="0"/>
    <w:rPr>
      <w:rFonts w:eastAsia="宋体"/>
      <w:b/>
      <w:kern w:val="2"/>
      <w:sz w:val="24"/>
      <w:lang w:val="en-US" w:eastAsia="zh-CN" w:bidi="ar-SA"/>
    </w:rPr>
  </w:style>
  <w:style w:type="character" w:customStyle="1" w:styleId="519">
    <w:name w:val="标准文本 首行缩进:2 字符 行距1倍 Char Char Char Char Char Char"/>
    <w:qFormat/>
    <w:uiPriority w:val="0"/>
    <w:rPr>
      <w:rFonts w:eastAsia="宋体" w:cs="宋体"/>
      <w:kern w:val="2"/>
      <w:sz w:val="24"/>
      <w:szCs w:val="24"/>
      <w:lang w:val="en-US" w:eastAsia="zh-CN" w:bidi="ar-SA"/>
    </w:rPr>
  </w:style>
  <w:style w:type="character" w:customStyle="1" w:styleId="520">
    <w:name w:val="aa正文 Char Char"/>
    <w:link w:val="370"/>
    <w:qFormat/>
    <w:uiPriority w:val="0"/>
    <w:rPr>
      <w:rFonts w:ascii="Calibri" w:hAnsi="Calibri" w:eastAsia="宋体"/>
      <w:sz w:val="24"/>
      <w:szCs w:val="22"/>
      <w:lang w:val="en-US" w:eastAsia="zh-CN" w:bidi="ar-SA"/>
    </w:rPr>
  </w:style>
  <w:style w:type="character" w:customStyle="1" w:styleId="521">
    <w:name w:val="报告书正文 Char Char"/>
    <w:qFormat/>
    <w:uiPriority w:val="0"/>
    <w:rPr>
      <w:rFonts w:eastAsia="宋体"/>
      <w:sz w:val="24"/>
      <w:lang w:val="en-US" w:eastAsia="zh-CN" w:bidi="ar-SA"/>
    </w:rPr>
  </w:style>
  <w:style w:type="character" w:customStyle="1" w:styleId="522">
    <w:name w:val="Char1 Char"/>
    <w:link w:val="388"/>
    <w:qFormat/>
    <w:uiPriority w:val="0"/>
    <w:rPr>
      <w:rFonts w:eastAsia="仿宋_GB2312"/>
      <w:kern w:val="2"/>
      <w:sz w:val="24"/>
      <w:szCs w:val="24"/>
      <w:lang w:val="en-US" w:eastAsia="zh-CN" w:bidi="ar-SA"/>
    </w:rPr>
  </w:style>
  <w:style w:type="character" w:customStyle="1" w:styleId="523">
    <w:name w:val="标准文本 首行缩进:2 字符 行距1.5倍 Char"/>
    <w:qFormat/>
    <w:uiPriority w:val="0"/>
    <w:rPr>
      <w:rFonts w:eastAsia="宋体" w:cs="宋体"/>
      <w:kern w:val="2"/>
      <w:sz w:val="24"/>
      <w:szCs w:val="24"/>
      <w:lang w:val="en-US" w:eastAsia="zh-CN" w:bidi="ar-SA"/>
    </w:rPr>
  </w:style>
  <w:style w:type="character" w:customStyle="1" w:styleId="524">
    <w:name w:val="样式 标准文本 首行缩进:2 字符 行距1.5倍 + 首行缩进:  2 字符1 Char"/>
    <w:basedOn w:val="523"/>
    <w:qFormat/>
    <w:uiPriority w:val="0"/>
    <w:rPr>
      <w:rFonts w:eastAsia="宋体" w:cs="宋体"/>
      <w:kern w:val="2"/>
      <w:sz w:val="24"/>
      <w:szCs w:val="24"/>
      <w:lang w:val="en-US" w:eastAsia="zh-CN" w:bidi="ar-SA"/>
    </w:rPr>
  </w:style>
  <w:style w:type="character" w:customStyle="1" w:styleId="525">
    <w:name w:val="批注文字 字符"/>
    <w:qFormat/>
    <w:uiPriority w:val="0"/>
    <w:rPr>
      <w:kern w:val="2"/>
      <w:sz w:val="21"/>
      <w:szCs w:val="22"/>
    </w:rPr>
  </w:style>
  <w:style w:type="character" w:customStyle="1" w:styleId="526">
    <w:name w:val="专用字体 Char"/>
    <w:link w:val="400"/>
    <w:qFormat/>
    <w:uiPriority w:val="0"/>
    <w:rPr>
      <w:rFonts w:eastAsia="宋体"/>
      <w:bCs/>
      <w:kern w:val="2"/>
      <w:sz w:val="24"/>
      <w:szCs w:val="24"/>
      <w:lang w:bidi="ar-SA"/>
    </w:rPr>
  </w:style>
  <w:style w:type="character" w:customStyle="1" w:styleId="527">
    <w:name w:val="Char Char Char Char11"/>
    <w:link w:val="423"/>
    <w:qFormat/>
    <w:uiPriority w:val="0"/>
    <w:rPr>
      <w:rFonts w:eastAsia="宋体"/>
      <w:kern w:val="2"/>
      <w:sz w:val="24"/>
      <w:szCs w:val="24"/>
      <w:lang w:val="en-US" w:eastAsia="zh-CN" w:bidi="ar-SA"/>
    </w:rPr>
  </w:style>
  <w:style w:type="character" w:customStyle="1" w:styleId="528">
    <w:name w:val="标题 5 字符"/>
    <w:link w:val="7"/>
    <w:qFormat/>
    <w:uiPriority w:val="0"/>
    <w:rPr>
      <w:rFonts w:eastAsia="宋体"/>
      <w:b/>
      <w:kern w:val="2"/>
      <w:sz w:val="28"/>
      <w:lang w:val="en-US" w:eastAsia="zh-CN" w:bidi="ar-SA"/>
    </w:rPr>
  </w:style>
  <w:style w:type="character" w:customStyle="1" w:styleId="529">
    <w:name w:val="特点标题 Char"/>
    <w:qFormat/>
    <w:uiPriority w:val="0"/>
    <w:rPr>
      <w:rFonts w:ascii="Calibri" w:hAnsi="Calibri" w:eastAsia="宋体"/>
      <w:sz w:val="22"/>
      <w:szCs w:val="22"/>
      <w:lang w:val="en-US" w:eastAsia="zh-CN" w:bidi="ar-SA"/>
    </w:rPr>
  </w:style>
  <w:style w:type="character" w:customStyle="1" w:styleId="530">
    <w:name w:val="textbig1"/>
    <w:qFormat/>
    <w:uiPriority w:val="0"/>
    <w:rPr>
      <w:sz w:val="18"/>
    </w:rPr>
  </w:style>
  <w:style w:type="character" w:customStyle="1" w:styleId="531">
    <w:name w:val="正文文本 字符"/>
    <w:link w:val="21"/>
    <w:qFormat/>
    <w:uiPriority w:val="0"/>
    <w:rPr>
      <w:rFonts w:eastAsia="宋体"/>
      <w:kern w:val="2"/>
      <w:sz w:val="21"/>
      <w:lang w:val="en-US" w:eastAsia="zh-CN" w:bidi="ar-SA"/>
    </w:rPr>
  </w:style>
  <w:style w:type="character" w:customStyle="1" w:styleId="532">
    <w:name w:val="不明显强调1"/>
    <w:qFormat/>
    <w:uiPriority w:val="19"/>
    <w:rPr>
      <w:i/>
      <w:iCs/>
      <w:color w:val="7F7F7F"/>
    </w:rPr>
  </w:style>
  <w:style w:type="character" w:customStyle="1" w:styleId="533">
    <w:name w:val="表头 Char Char"/>
    <w:link w:val="296"/>
    <w:qFormat/>
    <w:uiPriority w:val="0"/>
    <w:rPr>
      <w:rFonts w:ascii="宋体" w:hAnsi="宋体" w:eastAsia="宋体"/>
      <w:bCs/>
      <w:spacing w:val="4"/>
      <w:sz w:val="24"/>
      <w:szCs w:val="22"/>
      <w:lang w:val="en-US" w:eastAsia="zh-CN" w:bidi="ar-SA"/>
    </w:rPr>
  </w:style>
  <w:style w:type="character" w:customStyle="1" w:styleId="534">
    <w:name w:val="节 Char1"/>
    <w:qFormat/>
    <w:uiPriority w:val="0"/>
    <w:rPr>
      <w:rFonts w:ascii="Cambria" w:hAnsi="Cambria" w:eastAsia="宋体"/>
      <w:b/>
      <w:bCs/>
      <w:color w:val="2DA2BF"/>
      <w:sz w:val="26"/>
      <w:szCs w:val="26"/>
      <w:lang w:val="en-US" w:eastAsia="zh-CN" w:bidi="ar-SA"/>
    </w:rPr>
  </w:style>
  <w:style w:type="character" w:customStyle="1" w:styleId="535">
    <w:name w:val="表格中文字 Char Char"/>
    <w:link w:val="123"/>
    <w:qFormat/>
    <w:uiPriority w:val="0"/>
    <w:rPr>
      <w:kern w:val="18"/>
      <w:sz w:val="21"/>
      <w:szCs w:val="21"/>
      <w:lang w:bidi="ar-SA"/>
    </w:rPr>
  </w:style>
  <w:style w:type="character" w:customStyle="1" w:styleId="536">
    <w:name w:val="Char Char2"/>
    <w:qFormat/>
    <w:uiPriority w:val="0"/>
    <w:rPr>
      <w:rFonts w:ascii="宋体" w:hAnsi="Courier New" w:eastAsia="宋体" w:cs="Century"/>
      <w:kern w:val="2"/>
      <w:sz w:val="21"/>
      <w:szCs w:val="21"/>
      <w:lang w:val="en-US" w:eastAsia="zh-CN" w:bidi="ar-SA"/>
    </w:rPr>
  </w:style>
  <w:style w:type="character" w:customStyle="1" w:styleId="537">
    <w:name w:val="12pix1"/>
    <w:qFormat/>
    <w:uiPriority w:val="0"/>
    <w:rPr>
      <w:sz w:val="18"/>
      <w:szCs w:val="18"/>
      <w:u w:val="none"/>
    </w:rPr>
  </w:style>
  <w:style w:type="character" w:customStyle="1" w:styleId="538">
    <w:name w:val="样式 标题 2二处标题 2节标题 1.11.1标题2b2ParagrafoH22nd levelh2Heade... Char"/>
    <w:link w:val="437"/>
    <w:qFormat/>
    <w:uiPriority w:val="0"/>
    <w:rPr>
      <w:rFonts w:ascii="宋体" w:hAnsi="宋体" w:eastAsia="宋体"/>
      <w:b/>
      <w:bCs/>
      <w:color w:val="000000"/>
      <w:kern w:val="2"/>
      <w:sz w:val="30"/>
      <w:szCs w:val="30"/>
      <w:lang w:val="en-US" w:eastAsia="zh-CN" w:bidi="ar-SA"/>
    </w:rPr>
  </w:style>
  <w:style w:type="character" w:customStyle="1" w:styleId="539">
    <w:name w:val="表格中文字 Char"/>
    <w:qFormat/>
    <w:uiPriority w:val="0"/>
    <w:rPr>
      <w:rFonts w:eastAsia="宋体"/>
      <w:kern w:val="18"/>
      <w:sz w:val="21"/>
      <w:szCs w:val="21"/>
      <w:lang w:val="en-US" w:eastAsia="zh-CN" w:bidi="ar-SA"/>
    </w:rPr>
  </w:style>
  <w:style w:type="character" w:customStyle="1" w:styleId="540">
    <w:name w:val="样式1 Char"/>
    <w:link w:val="390"/>
    <w:qFormat/>
    <w:uiPriority w:val="0"/>
    <w:rPr>
      <w:rFonts w:ascii="Calibri" w:hAnsi="Calibri" w:eastAsia="宋体"/>
      <w:sz w:val="22"/>
      <w:szCs w:val="22"/>
      <w:lang w:val="en-US" w:eastAsia="zh-CN" w:bidi="ar-SA"/>
    </w:rPr>
  </w:style>
  <w:style w:type="character" w:customStyle="1" w:styleId="541">
    <w:name w:val="Char Char16"/>
    <w:qFormat/>
    <w:uiPriority w:val="0"/>
    <w:rPr>
      <w:rFonts w:ascii="Cambria" w:hAnsi="Cambria" w:eastAsia="宋体"/>
      <w:b/>
      <w:bCs/>
      <w:color w:val="2DA2BF"/>
      <w:sz w:val="22"/>
      <w:szCs w:val="22"/>
      <w:lang w:val="en-US" w:eastAsia="zh-CN" w:bidi="ar-SA"/>
    </w:rPr>
  </w:style>
  <w:style w:type="character" w:customStyle="1" w:styleId="542">
    <w:name w:val="正文文本缩进 字符"/>
    <w:qFormat/>
    <w:uiPriority w:val="99"/>
    <w:rPr>
      <w:kern w:val="2"/>
      <w:sz w:val="24"/>
      <w:szCs w:val="24"/>
    </w:rPr>
  </w:style>
  <w:style w:type="character" w:customStyle="1" w:styleId="543">
    <w:name w:val="报告书正文 Char1"/>
    <w:link w:val="472"/>
    <w:qFormat/>
    <w:uiPriority w:val="0"/>
    <w:rPr>
      <w:rFonts w:ascii="Calibri" w:hAnsi="Calibri" w:eastAsia="宋体"/>
      <w:sz w:val="24"/>
      <w:lang w:val="en-US" w:eastAsia="zh-CN" w:bidi="ar-SA"/>
    </w:rPr>
  </w:style>
  <w:style w:type="character" w:customStyle="1" w:styleId="544">
    <w:name w:val="页眉1 Char1"/>
    <w:semiHidden/>
    <w:qFormat/>
    <w:uiPriority w:val="0"/>
    <w:rPr>
      <w:rFonts w:eastAsia="宋体"/>
      <w:kern w:val="2"/>
      <w:sz w:val="18"/>
      <w:szCs w:val="18"/>
      <w:lang w:val="en-US" w:eastAsia="zh-CN" w:bidi="ar-SA"/>
    </w:rPr>
  </w:style>
  <w:style w:type="character" w:customStyle="1" w:styleId="545">
    <w:name w:val="表格文字1 Char"/>
    <w:link w:val="166"/>
    <w:qFormat/>
    <w:uiPriority w:val="0"/>
    <w:rPr>
      <w:snapToGrid/>
      <w:kern w:val="18"/>
      <w:sz w:val="21"/>
      <w:szCs w:val="21"/>
    </w:rPr>
  </w:style>
  <w:style w:type="character" w:customStyle="1" w:styleId="546">
    <w:name w:val="Char Char15"/>
    <w:qFormat/>
    <w:uiPriority w:val="0"/>
    <w:rPr>
      <w:rFonts w:ascii="Cambria" w:hAnsi="Cambria" w:eastAsia="宋体"/>
      <w:color w:val="16505E"/>
      <w:sz w:val="22"/>
      <w:szCs w:val="22"/>
      <w:lang w:val="en-US" w:eastAsia="zh-CN" w:bidi="ar-SA"/>
    </w:rPr>
  </w:style>
  <w:style w:type="character" w:customStyle="1" w:styleId="547">
    <w:name w:val="标准文本 首行缩进:2 字符 行距1.5倍 Char Char"/>
    <w:qFormat/>
    <w:uiPriority w:val="0"/>
    <w:rPr>
      <w:rFonts w:eastAsia="宋体" w:cs="宋体"/>
      <w:kern w:val="2"/>
      <w:sz w:val="24"/>
      <w:szCs w:val="24"/>
      <w:lang w:val="en-US" w:eastAsia="zh-CN" w:bidi="ar-SA"/>
    </w:rPr>
  </w:style>
  <w:style w:type="character" w:customStyle="1" w:styleId="548">
    <w:name w:val="纯文本2 Char"/>
    <w:qFormat/>
    <w:uiPriority w:val="0"/>
    <w:rPr>
      <w:rFonts w:ascii="宋体" w:hAnsi="Courier New" w:eastAsia="宋体" w:cs="Courier New"/>
      <w:kern w:val="2"/>
      <w:sz w:val="21"/>
      <w:szCs w:val="21"/>
      <w:lang w:val="en-US" w:eastAsia="zh-CN" w:bidi="ar-SA"/>
    </w:rPr>
  </w:style>
  <w:style w:type="character" w:customStyle="1" w:styleId="549">
    <w:name w:val="Char Char8"/>
    <w:qFormat/>
    <w:uiPriority w:val="0"/>
    <w:rPr>
      <w:rFonts w:ascii="Calibri" w:hAnsi="Calibri" w:eastAsia="宋体"/>
      <w:sz w:val="18"/>
      <w:szCs w:val="18"/>
      <w:lang w:val="en-US" w:eastAsia="zh-CN" w:bidi="ar-SA"/>
    </w:rPr>
  </w:style>
  <w:style w:type="character" w:customStyle="1" w:styleId="550">
    <w:name w:val="H8 Char"/>
    <w:qFormat/>
    <w:uiPriority w:val="0"/>
    <w:rPr>
      <w:rFonts w:ascii="Arial" w:hAnsi="Arial" w:eastAsia="黑体"/>
      <w:kern w:val="2"/>
      <w:sz w:val="24"/>
      <w:szCs w:val="24"/>
      <w:lang w:val="en-US" w:eastAsia="zh-CN" w:bidi="ar-SA"/>
    </w:rPr>
  </w:style>
  <w:style w:type="character" w:customStyle="1" w:styleId="551">
    <w:name w:val="bold1"/>
    <w:qFormat/>
    <w:uiPriority w:val="0"/>
    <w:rPr>
      <w:b/>
      <w:bCs/>
    </w:rPr>
  </w:style>
  <w:style w:type="character" w:customStyle="1" w:styleId="552">
    <w:name w:val="Char Char13"/>
    <w:qFormat/>
    <w:uiPriority w:val="0"/>
    <w:rPr>
      <w:rFonts w:ascii="Cambria" w:hAnsi="Cambria" w:eastAsia="宋体"/>
      <w:i/>
      <w:iCs/>
      <w:color w:val="404040"/>
      <w:sz w:val="22"/>
      <w:szCs w:val="22"/>
      <w:lang w:val="en-US" w:eastAsia="zh-CN" w:bidi="ar-SA"/>
    </w:rPr>
  </w:style>
  <w:style w:type="character" w:customStyle="1" w:styleId="553">
    <w:name w:val="正文文本 2 Char"/>
    <w:qFormat/>
    <w:uiPriority w:val="0"/>
    <w:rPr>
      <w:rFonts w:eastAsia="宋体"/>
      <w:kern w:val="2"/>
      <w:sz w:val="21"/>
      <w:szCs w:val="24"/>
      <w:lang w:val="en-US" w:eastAsia="zh-CN" w:bidi="ar-SA"/>
    </w:rPr>
  </w:style>
  <w:style w:type="character" w:customStyle="1" w:styleId="554">
    <w:name w:val="小标题 Char"/>
    <w:qFormat/>
    <w:uiPriority w:val="0"/>
    <w:rPr>
      <w:rFonts w:eastAsia="宋体"/>
      <w:b/>
      <w:bCs/>
      <w:kern w:val="2"/>
      <w:sz w:val="32"/>
      <w:szCs w:val="32"/>
      <w:lang w:val="en-US" w:eastAsia="zh-CN" w:bidi="ar-SA"/>
    </w:rPr>
  </w:style>
  <w:style w:type="character" w:customStyle="1" w:styleId="555">
    <w:name w:val="表格文本 五号 居中 单倍行距 Char Char Char Char"/>
    <w:qFormat/>
    <w:uiPriority w:val="0"/>
    <w:rPr>
      <w:rFonts w:eastAsia="宋体" w:cs="宋体"/>
      <w:kern w:val="2"/>
      <w:sz w:val="21"/>
      <w:szCs w:val="21"/>
      <w:lang w:val="en-US" w:eastAsia="zh-CN" w:bidi="ar-SA"/>
    </w:rPr>
  </w:style>
  <w:style w:type="character" w:customStyle="1" w:styleId="556">
    <w:name w:val="标题 12"/>
    <w:qFormat/>
    <w:uiPriority w:val="0"/>
    <w:rPr>
      <w:rFonts w:ascii="黑体" w:eastAsia="黑体"/>
      <w:kern w:val="44"/>
      <w:sz w:val="44"/>
      <w:lang w:val="en-US" w:eastAsia="zh-CN" w:bidi="ar-SA"/>
    </w:rPr>
  </w:style>
  <w:style w:type="character" w:customStyle="1" w:styleId="557">
    <w:name w:val="111正文 Char"/>
    <w:link w:val="288"/>
    <w:qFormat/>
    <w:uiPriority w:val="0"/>
    <w:rPr>
      <w:sz w:val="24"/>
      <w:szCs w:val="22"/>
    </w:rPr>
  </w:style>
  <w:style w:type="character" w:customStyle="1" w:styleId="558">
    <w:name w:val="Char Char9"/>
    <w:qFormat/>
    <w:uiPriority w:val="0"/>
    <w:rPr>
      <w:rFonts w:ascii="Calibri" w:hAnsi="Calibri" w:eastAsia="宋体"/>
      <w:sz w:val="22"/>
      <w:szCs w:val="22"/>
      <w:lang w:val="en-US" w:eastAsia="zh-CN" w:bidi="ar-SA"/>
    </w:rPr>
  </w:style>
  <w:style w:type="character" w:customStyle="1" w:styleId="559">
    <w:name w:val="普通文字 Char3"/>
    <w:qFormat/>
    <w:uiPriority w:val="0"/>
    <w:rPr>
      <w:rFonts w:ascii="宋体" w:hAnsi="Courier New" w:eastAsia="宋体" w:cs="Century"/>
      <w:sz w:val="22"/>
      <w:szCs w:val="21"/>
      <w:lang w:val="en-US" w:eastAsia="zh-CN" w:bidi="ar-SA"/>
    </w:rPr>
  </w:style>
  <w:style w:type="character" w:customStyle="1" w:styleId="560">
    <w:name w:val="正文缩进 字符1"/>
    <w:link w:val="5"/>
    <w:qFormat/>
    <w:uiPriority w:val="0"/>
    <w:rPr>
      <w:rFonts w:eastAsia="宋体"/>
      <w:kern w:val="2"/>
      <w:sz w:val="21"/>
      <w:lang w:val="en-US" w:eastAsia="zh-CN" w:bidi="ar-SA"/>
    </w:rPr>
  </w:style>
  <w:style w:type="character" w:customStyle="1" w:styleId="561">
    <w:name w:val="称呼 字符"/>
    <w:qFormat/>
    <w:uiPriority w:val="0"/>
    <w:rPr>
      <w:kern w:val="2"/>
      <w:sz w:val="21"/>
    </w:rPr>
  </w:style>
  <w:style w:type="character" w:customStyle="1" w:styleId="562">
    <w:name w:val="表格内容 Char"/>
    <w:link w:val="463"/>
    <w:qFormat/>
    <w:uiPriority w:val="0"/>
    <w:rPr>
      <w:rFonts w:ascii="Arial" w:hAnsi="Arial" w:eastAsia="仿宋_GB2312"/>
      <w:sz w:val="24"/>
      <w:lang w:bidi="ar-SA"/>
    </w:rPr>
  </w:style>
  <w:style w:type="character" w:customStyle="1" w:styleId="563">
    <w:name w:val="apple-style-span"/>
    <w:qFormat/>
    <w:uiPriority w:val="0"/>
  </w:style>
  <w:style w:type="character" w:customStyle="1" w:styleId="564">
    <w:name w:val="图表 Char"/>
    <w:link w:val="210"/>
    <w:qFormat/>
    <w:uiPriority w:val="0"/>
    <w:rPr>
      <w:color w:val="000000"/>
      <w:kern w:val="2"/>
      <w:sz w:val="21"/>
      <w:szCs w:val="22"/>
      <w:lang w:val="zh-CN"/>
    </w:rPr>
  </w:style>
  <w:style w:type="character" w:customStyle="1" w:styleId="565">
    <w:name w:val="批注主题 字符"/>
    <w:link w:val="53"/>
    <w:qFormat/>
    <w:uiPriority w:val="0"/>
    <w:rPr>
      <w:rFonts w:ascii="Calibri" w:hAnsi="Calibri"/>
      <w:b/>
      <w:bCs/>
      <w:kern w:val="2"/>
      <w:sz w:val="22"/>
      <w:szCs w:val="22"/>
    </w:rPr>
  </w:style>
  <w:style w:type="character" w:customStyle="1" w:styleId="566">
    <w:name w:val="Char Char18"/>
    <w:qFormat/>
    <w:uiPriority w:val="0"/>
    <w:rPr>
      <w:rFonts w:ascii="Cambria" w:hAnsi="Cambria" w:eastAsia="宋体"/>
      <w:b/>
      <w:bCs/>
      <w:color w:val="21798E"/>
      <w:sz w:val="28"/>
      <w:szCs w:val="28"/>
      <w:lang w:val="en-US" w:eastAsia="zh-CN" w:bidi="ar-SA"/>
    </w:rPr>
  </w:style>
  <w:style w:type="character" w:customStyle="1" w:styleId="567">
    <w:name w:val="批注文字 Char"/>
    <w:qFormat/>
    <w:uiPriority w:val="99"/>
    <w:rPr>
      <w:kern w:val="2"/>
      <w:sz w:val="21"/>
    </w:rPr>
  </w:style>
  <w:style w:type="character" w:customStyle="1" w:styleId="568">
    <w:name w:val="页眉 Char1"/>
    <w:qFormat/>
    <w:uiPriority w:val="0"/>
    <w:rPr>
      <w:kern w:val="2"/>
      <w:sz w:val="18"/>
      <w:szCs w:val="18"/>
    </w:rPr>
  </w:style>
  <w:style w:type="character" w:customStyle="1" w:styleId="569">
    <w:name w:val="reponseyes"/>
    <w:qFormat/>
    <w:uiPriority w:val="0"/>
    <w:rPr>
      <w:color w:val="88C440"/>
    </w:rPr>
  </w:style>
  <w:style w:type="character" w:customStyle="1" w:styleId="570">
    <w:name w:val="正文（海红） Char"/>
    <w:link w:val="374"/>
    <w:qFormat/>
    <w:uiPriority w:val="0"/>
    <w:rPr>
      <w:kern w:val="2"/>
      <w:sz w:val="24"/>
      <w:szCs w:val="24"/>
    </w:rPr>
  </w:style>
  <w:style w:type="character" w:customStyle="1" w:styleId="571">
    <w:name w:val="s1"/>
    <w:qFormat/>
    <w:uiPriority w:val="0"/>
    <w:rPr>
      <w:sz w:val="18"/>
      <w:szCs w:val="18"/>
    </w:rPr>
  </w:style>
  <w:style w:type="character" w:customStyle="1" w:styleId="572">
    <w:name w:val="_Style 564"/>
    <w:qFormat/>
    <w:uiPriority w:val="0"/>
    <w:rPr>
      <w:smallCaps/>
      <w:color w:val="DA1F28"/>
      <w:u w:val="single"/>
    </w:rPr>
  </w:style>
  <w:style w:type="character" w:customStyle="1" w:styleId="573">
    <w:name w:val="页眉1 Char3"/>
    <w:qFormat/>
    <w:uiPriority w:val="0"/>
    <w:rPr>
      <w:rFonts w:ascii="Calibri" w:hAnsi="Calibri" w:eastAsia="宋体"/>
      <w:sz w:val="18"/>
      <w:szCs w:val="18"/>
      <w:lang w:val="en-US" w:eastAsia="zh-CN" w:bidi="ar-SA"/>
    </w:rPr>
  </w:style>
  <w:style w:type="character" w:customStyle="1" w:styleId="574">
    <w:name w:val="表格文本 五号 居中 单倍行距 Char Char Char"/>
    <w:qFormat/>
    <w:uiPriority w:val="0"/>
    <w:rPr>
      <w:rFonts w:eastAsia="宋体" w:cs="宋体"/>
      <w:kern w:val="2"/>
      <w:sz w:val="21"/>
      <w:szCs w:val="21"/>
      <w:lang w:val="en-US" w:eastAsia="zh-CN" w:bidi="ar-SA"/>
    </w:rPr>
  </w:style>
  <w:style w:type="character" w:customStyle="1" w:styleId="575">
    <w:name w:val="正本文字 Char"/>
    <w:qFormat/>
    <w:uiPriority w:val="0"/>
    <w:rPr>
      <w:rFonts w:eastAsia="宋体" w:cs="宋体"/>
      <w:kern w:val="18"/>
      <w:sz w:val="24"/>
      <w:lang w:val="en-US" w:eastAsia="zh-CN" w:bidi="ar-SA"/>
    </w:rPr>
  </w:style>
  <w:style w:type="character" w:customStyle="1" w:styleId="576">
    <w:name w:val="G（正文） Char"/>
    <w:link w:val="305"/>
    <w:qFormat/>
    <w:uiPriority w:val="0"/>
    <w:rPr>
      <w:rFonts w:eastAsia="宋体"/>
      <w:kern w:val="2"/>
      <w:sz w:val="28"/>
      <w:szCs w:val="28"/>
      <w:lang w:val="en-US" w:eastAsia="zh-CN" w:bidi="ar-SA"/>
    </w:rPr>
  </w:style>
  <w:style w:type="character" w:customStyle="1" w:styleId="577">
    <w:name w:val="样式 标准文本 首行缩进:2 字符 行距1.5倍 + 首行缩进:  2 字符1 Char Char"/>
    <w:qFormat/>
    <w:uiPriority w:val="0"/>
    <w:rPr>
      <w:rFonts w:eastAsia="宋体" w:cs="宋体"/>
      <w:kern w:val="2"/>
      <w:sz w:val="24"/>
      <w:szCs w:val="24"/>
      <w:lang w:val="en-US" w:eastAsia="zh-CN" w:bidi="ar-SA"/>
    </w:rPr>
  </w:style>
  <w:style w:type="character" w:customStyle="1" w:styleId="578">
    <w:name w:val="批注框文本 字符"/>
    <w:link w:val="36"/>
    <w:qFormat/>
    <w:uiPriority w:val="0"/>
    <w:rPr>
      <w:rFonts w:ascii="Calibri" w:hAnsi="Calibri"/>
      <w:sz w:val="18"/>
      <w:szCs w:val="18"/>
    </w:rPr>
  </w:style>
  <w:style w:type="character" w:customStyle="1" w:styleId="579">
    <w:name w:val="新正文 Char Char"/>
    <w:link w:val="371"/>
    <w:qFormat/>
    <w:uiPriority w:val="0"/>
    <w:rPr>
      <w:rFonts w:ascii="仿宋_GB2312" w:hAnsi="Calibri" w:eastAsia="仿宋_GB2312"/>
      <w:bCs/>
      <w:sz w:val="28"/>
    </w:rPr>
  </w:style>
  <w:style w:type="character" w:customStyle="1" w:styleId="580">
    <w:name w:val="表格文字 Char Char"/>
    <w:link w:val="214"/>
    <w:qFormat/>
    <w:uiPriority w:val="0"/>
    <w:rPr>
      <w:rFonts w:ascii="仿宋_GB2312" w:hAnsi="Arial Black" w:eastAsia="仿宋_GB2312"/>
      <w:kern w:val="44"/>
      <w:sz w:val="24"/>
      <w:lang w:val="en-US" w:eastAsia="zh-CN" w:bidi="ar-SA"/>
    </w:rPr>
  </w:style>
  <w:style w:type="character" w:customStyle="1" w:styleId="581">
    <w:name w:val="Char Char51"/>
    <w:qFormat/>
    <w:uiPriority w:val="0"/>
    <w:rPr>
      <w:rFonts w:ascii="Arial" w:hAnsi="Arial" w:eastAsia="黑体"/>
      <w:b/>
      <w:bCs/>
      <w:kern w:val="2"/>
      <w:sz w:val="32"/>
      <w:szCs w:val="32"/>
      <w:lang w:val="en-US" w:eastAsia="zh-CN" w:bidi="ar-SA"/>
    </w:rPr>
  </w:style>
  <w:style w:type="character" w:customStyle="1" w:styleId="582">
    <w:name w:val="title6"/>
    <w:basedOn w:val="63"/>
    <w:qFormat/>
    <w:uiPriority w:val="0"/>
  </w:style>
  <w:style w:type="character" w:customStyle="1" w:styleId="583">
    <w:name w:val="正文样式 Char Char Char Char Char Char"/>
    <w:link w:val="350"/>
    <w:qFormat/>
    <w:uiPriority w:val="0"/>
    <w:rPr>
      <w:rFonts w:ascii="宋体" w:hAnsi="宋体" w:eastAsia="宋体"/>
      <w:color w:val="000000"/>
      <w:kern w:val="2"/>
      <w:sz w:val="24"/>
      <w:szCs w:val="24"/>
      <w:lang w:val="en-US" w:eastAsia="zh-CN" w:bidi="ar-SA"/>
    </w:rPr>
  </w:style>
  <w:style w:type="character" w:customStyle="1" w:styleId="584">
    <w:name w:val="一、 Char2"/>
    <w:qFormat/>
    <w:uiPriority w:val="0"/>
    <w:rPr>
      <w:rFonts w:ascii="Calibri" w:hAnsi="Calibri" w:eastAsia="宋体"/>
      <w:b/>
      <w:bCs/>
      <w:kern w:val="44"/>
      <w:sz w:val="44"/>
      <w:szCs w:val="44"/>
      <w:lang w:val="en-US" w:eastAsia="zh-CN" w:bidi="ar-SA"/>
    </w:rPr>
  </w:style>
  <w:style w:type="character" w:customStyle="1" w:styleId="585">
    <w:name w:val="Char Char111"/>
    <w:qFormat/>
    <w:uiPriority w:val="0"/>
    <w:rPr>
      <w:rFonts w:eastAsia="宋体"/>
      <w:kern w:val="2"/>
      <w:sz w:val="18"/>
      <w:szCs w:val="18"/>
      <w:lang w:val="en-US" w:eastAsia="zh-CN" w:bidi="ar-SA"/>
    </w:rPr>
  </w:style>
  <w:style w:type="character" w:customStyle="1" w:styleId="586">
    <w:name w:val="title41"/>
    <w:qFormat/>
    <w:uiPriority w:val="0"/>
    <w:rPr>
      <w:rFonts w:hint="eastAsia" w:ascii="宋体" w:hAnsi="宋体" w:eastAsia="宋体"/>
      <w:color w:val="194F95"/>
      <w:sz w:val="25"/>
      <w:szCs w:val="25"/>
    </w:rPr>
  </w:style>
  <w:style w:type="character" w:customStyle="1" w:styleId="587">
    <w:name w:val="apple-converted-space"/>
    <w:basedOn w:val="63"/>
    <w:qFormat/>
    <w:uiPriority w:val="0"/>
  </w:style>
  <w:style w:type="character" w:customStyle="1" w:styleId="588">
    <w:name w:val="Char Char7"/>
    <w:qFormat/>
    <w:uiPriority w:val="0"/>
    <w:rPr>
      <w:rFonts w:eastAsia="宋体"/>
      <w:kern w:val="2"/>
      <w:sz w:val="24"/>
      <w:lang w:val="en-US" w:eastAsia="zh-CN" w:bidi="ar-SA"/>
    </w:rPr>
  </w:style>
  <w:style w:type="character" w:customStyle="1" w:styleId="589">
    <w:name w:val="Char Char6"/>
    <w:qFormat/>
    <w:uiPriority w:val="0"/>
    <w:rPr>
      <w:rFonts w:eastAsia="宋体"/>
      <w:b/>
      <w:bCs/>
      <w:kern w:val="44"/>
      <w:sz w:val="44"/>
      <w:szCs w:val="44"/>
      <w:lang w:val="en-US" w:eastAsia="zh-CN" w:bidi="ar-SA"/>
    </w:rPr>
  </w:style>
  <w:style w:type="character" w:customStyle="1" w:styleId="590">
    <w:name w:val="正本文字 Char Char"/>
    <w:link w:val="101"/>
    <w:qFormat/>
    <w:uiPriority w:val="0"/>
    <w:rPr>
      <w:kern w:val="18"/>
      <w:sz w:val="24"/>
      <w:lang w:bidi="ar-SA"/>
    </w:rPr>
  </w:style>
  <w:style w:type="character" w:customStyle="1" w:styleId="591">
    <w:name w:val="日期 字符"/>
    <w:link w:val="33"/>
    <w:qFormat/>
    <w:uiPriority w:val="0"/>
    <w:rPr>
      <w:rFonts w:eastAsia="宋体"/>
      <w:sz w:val="21"/>
      <w:lang w:val="en-US" w:eastAsia="zh-CN" w:bidi="ar-SA"/>
    </w:rPr>
  </w:style>
  <w:style w:type="character" w:customStyle="1" w:styleId="592">
    <w:name w:val="grame"/>
    <w:basedOn w:val="63"/>
    <w:qFormat/>
    <w:uiPriority w:val="0"/>
  </w:style>
  <w:style w:type="character" w:customStyle="1" w:styleId="593">
    <w:name w:val="标题 6 字符"/>
    <w:link w:val="8"/>
    <w:qFormat/>
    <w:uiPriority w:val="0"/>
    <w:rPr>
      <w:rFonts w:ascii="Arial" w:hAnsi="Arial" w:eastAsia="黑体"/>
      <w:b/>
      <w:kern w:val="2"/>
      <w:sz w:val="24"/>
      <w:lang w:val="en-US" w:eastAsia="zh-CN" w:bidi="ar-SA"/>
    </w:rPr>
  </w:style>
  <w:style w:type="character" w:customStyle="1" w:styleId="594">
    <w:name w:val="表头zy Char"/>
    <w:link w:val="137"/>
    <w:qFormat/>
    <w:locked/>
    <w:uiPriority w:val="0"/>
    <w:rPr>
      <w:b/>
      <w:sz w:val="21"/>
    </w:rPr>
  </w:style>
  <w:style w:type="character" w:customStyle="1" w:styleId="595">
    <w:name w:val="页脚 Char1"/>
    <w:qFormat/>
    <w:uiPriority w:val="0"/>
    <w:rPr>
      <w:kern w:val="2"/>
      <w:sz w:val="18"/>
      <w:szCs w:val="18"/>
    </w:rPr>
  </w:style>
  <w:style w:type="character" w:customStyle="1" w:styleId="596">
    <w:name w:val="图表标题 Char1"/>
    <w:qFormat/>
    <w:uiPriority w:val="0"/>
    <w:rPr>
      <w:rFonts w:eastAsia="宋体"/>
      <w:kern w:val="2"/>
      <w:sz w:val="24"/>
      <w:lang w:val="en-US" w:eastAsia="zh-CN" w:bidi="ar-SA"/>
    </w:rPr>
  </w:style>
  <w:style w:type="character" w:customStyle="1" w:styleId="597">
    <w:name w:val="_Style 589"/>
    <w:qFormat/>
    <w:uiPriority w:val="0"/>
    <w:rPr>
      <w:i/>
      <w:iCs/>
      <w:color w:val="808080"/>
    </w:rPr>
  </w:style>
  <w:style w:type="character" w:customStyle="1" w:styleId="598">
    <w:name w:val="普通文字 Char2"/>
    <w:qFormat/>
    <w:uiPriority w:val="0"/>
    <w:rPr>
      <w:rFonts w:ascii="宋体" w:hAnsi="Courier New" w:eastAsia="宋体" w:cs="Century"/>
      <w:kern w:val="2"/>
      <w:sz w:val="21"/>
      <w:szCs w:val="21"/>
      <w:lang w:val="en-US" w:eastAsia="zh-CN" w:bidi="ar-SA"/>
    </w:rPr>
  </w:style>
  <w:style w:type="character" w:customStyle="1" w:styleId="599">
    <w:name w:val="谏壁正文chen Char"/>
    <w:link w:val="136"/>
    <w:qFormat/>
    <w:uiPriority w:val="0"/>
    <w:rPr>
      <w:kern w:val="2"/>
      <w:sz w:val="24"/>
      <w:szCs w:val="24"/>
    </w:rPr>
  </w:style>
  <w:style w:type="character" w:customStyle="1" w:styleId="600">
    <w:name w:val="正文1 Char"/>
    <w:link w:val="282"/>
    <w:qFormat/>
    <w:uiPriority w:val="0"/>
    <w:rPr>
      <w:rFonts w:ascii="宋体" w:hAnsi="宋体" w:eastAsia="宋体"/>
      <w:sz w:val="24"/>
      <w:lang w:val="en-US" w:eastAsia="zh-CN" w:bidi="ar-SA"/>
    </w:rPr>
  </w:style>
  <w:style w:type="character" w:customStyle="1" w:styleId="601">
    <w:name w:val="Char Char10"/>
    <w:qFormat/>
    <w:uiPriority w:val="0"/>
    <w:rPr>
      <w:rFonts w:ascii="Calibri" w:hAnsi="Calibri" w:eastAsia="宋体"/>
      <w:sz w:val="22"/>
      <w:szCs w:val="22"/>
      <w:lang w:val="en-US" w:eastAsia="zh-CN" w:bidi="ar-SA"/>
    </w:rPr>
  </w:style>
  <w:style w:type="character" w:customStyle="1" w:styleId="602">
    <w:name w:val="正文文本首行缩进 2 字符1"/>
    <w:link w:val="55"/>
    <w:qFormat/>
    <w:uiPriority w:val="0"/>
    <w:rPr>
      <w:kern w:val="2"/>
      <w:sz w:val="21"/>
      <w:szCs w:val="24"/>
    </w:rPr>
  </w:style>
  <w:style w:type="character" w:customStyle="1" w:styleId="603">
    <w:name w:val="tajicy Char"/>
    <w:link w:val="342"/>
    <w:qFormat/>
    <w:uiPriority w:val="0"/>
    <w:rPr>
      <w:color w:val="008000"/>
      <w:sz w:val="24"/>
      <w:lang w:val="en-GB"/>
    </w:rPr>
  </w:style>
  <w:style w:type="character" w:customStyle="1" w:styleId="604">
    <w:name w:val="style2_title1"/>
    <w:qFormat/>
    <w:uiPriority w:val="0"/>
    <w:rPr>
      <w:b/>
      <w:bCs/>
      <w:sz w:val="30"/>
      <w:szCs w:val="30"/>
    </w:rPr>
  </w:style>
  <w:style w:type="character" w:customStyle="1" w:styleId="605">
    <w:name w:val="标准文本 首行缩进:2 字符 行距1倍 Char Char Char Char"/>
    <w:qFormat/>
    <w:uiPriority w:val="0"/>
    <w:rPr>
      <w:rFonts w:eastAsia="宋体" w:cs="宋体"/>
      <w:kern w:val="2"/>
      <w:sz w:val="24"/>
      <w:szCs w:val="24"/>
      <w:lang w:val="en-US" w:eastAsia="zh-CN" w:bidi="ar-SA"/>
    </w:rPr>
  </w:style>
  <w:style w:type="character" w:customStyle="1" w:styleId="606">
    <w:name w:val="表格标题标题 Char Char"/>
    <w:qFormat/>
    <w:uiPriority w:val="0"/>
    <w:rPr>
      <w:rFonts w:ascii="Times New Roman" w:hAnsi="Times New Roman"/>
      <w:spacing w:val="4"/>
      <w:kern w:val="18"/>
      <w:szCs w:val="21"/>
    </w:rPr>
  </w:style>
  <w:style w:type="character" w:customStyle="1" w:styleId="607">
    <w:name w:val="fontstyle01"/>
    <w:qFormat/>
    <w:uiPriority w:val="0"/>
    <w:rPr>
      <w:rFonts w:ascii="新宋体" w:hAnsi="新宋体" w:eastAsia="新宋体" w:cs="新宋体"/>
      <w:color w:val="000000"/>
      <w:sz w:val="24"/>
      <w:szCs w:val="24"/>
    </w:rPr>
  </w:style>
  <w:style w:type="character" w:customStyle="1" w:styleId="608">
    <w:name w:val="contents"/>
    <w:basedOn w:val="63"/>
    <w:qFormat/>
    <w:uiPriority w:val="0"/>
  </w:style>
  <w:style w:type="character" w:customStyle="1" w:styleId="609">
    <w:name w:val="标准文本 居中 单倍行距 Char Char Char"/>
    <w:qFormat/>
    <w:uiPriority w:val="0"/>
    <w:rPr>
      <w:rFonts w:eastAsia="宋体" w:cs="宋体"/>
      <w:kern w:val="2"/>
      <w:sz w:val="24"/>
      <w:szCs w:val="24"/>
      <w:lang w:val="en-US" w:eastAsia="zh-CN" w:bidi="ar-SA"/>
    </w:rPr>
  </w:style>
  <w:style w:type="character" w:customStyle="1" w:styleId="610">
    <w:name w:val="font"/>
    <w:qFormat/>
    <w:uiPriority w:val="0"/>
  </w:style>
  <w:style w:type="character" w:customStyle="1" w:styleId="611">
    <w:name w:val="普通文字 Char4"/>
    <w:qFormat/>
    <w:uiPriority w:val="0"/>
    <w:rPr>
      <w:rFonts w:ascii="宋体" w:hAnsi="Courier New" w:eastAsia="宋体" w:cs="Century"/>
      <w:sz w:val="22"/>
      <w:szCs w:val="21"/>
      <w:lang w:val="en-US" w:eastAsia="zh-CN" w:bidi="ar-SA"/>
    </w:rPr>
  </w:style>
  <w:style w:type="character" w:customStyle="1" w:styleId="612">
    <w:name w:val="style1"/>
    <w:basedOn w:val="63"/>
    <w:qFormat/>
    <w:uiPriority w:val="0"/>
  </w:style>
  <w:style w:type="character" w:customStyle="1" w:styleId="613">
    <w:name w:val="正文 首行缩进:  2 字符 Char"/>
    <w:link w:val="302"/>
    <w:qFormat/>
    <w:uiPriority w:val="0"/>
    <w:rPr>
      <w:rFonts w:eastAsia="宋体" w:cs="宋体"/>
      <w:kern w:val="2"/>
      <w:sz w:val="24"/>
      <w:lang w:val="en-US" w:eastAsia="zh-CN" w:bidi="ar-SA"/>
    </w:rPr>
  </w:style>
  <w:style w:type="character" w:customStyle="1" w:styleId="614">
    <w:name w:val="兴武正文 Char"/>
    <w:link w:val="391"/>
    <w:qFormat/>
    <w:uiPriority w:val="0"/>
    <w:rPr>
      <w:rFonts w:eastAsia="宋体" w:cs="宋体"/>
      <w:kern w:val="2"/>
      <w:sz w:val="24"/>
      <w:lang w:val="en-US" w:eastAsia="zh-CN" w:bidi="ar-SA"/>
    </w:rPr>
  </w:style>
  <w:style w:type="character" w:customStyle="1" w:styleId="615">
    <w:name w:val="批注主题 Char1"/>
    <w:qFormat/>
    <w:uiPriority w:val="0"/>
    <w:rPr>
      <w:b/>
      <w:kern w:val="2"/>
      <w:sz w:val="21"/>
      <w:szCs w:val="22"/>
    </w:rPr>
  </w:style>
  <w:style w:type="character" w:customStyle="1" w:styleId="616">
    <w:name w:val="表头1 Char Char"/>
    <w:link w:val="94"/>
    <w:qFormat/>
    <w:uiPriority w:val="0"/>
    <w:rPr>
      <w:rFonts w:ascii="黑体" w:eastAsia="黑体"/>
      <w:spacing w:val="-20"/>
      <w:kern w:val="16"/>
      <w:sz w:val="24"/>
      <w:lang w:val="en-US" w:eastAsia="zh-CN" w:bidi="ar-SA"/>
    </w:rPr>
  </w:style>
  <w:style w:type="character" w:customStyle="1" w:styleId="617">
    <w:name w:val="表头样式1 Char1"/>
    <w:link w:val="144"/>
    <w:qFormat/>
    <w:uiPriority w:val="0"/>
    <w:rPr>
      <w:rFonts w:eastAsia="黑体"/>
      <w:b/>
      <w:kern w:val="2"/>
      <w:sz w:val="24"/>
      <w:lang w:val="en-US" w:eastAsia="zh-CN" w:bidi="ar-SA"/>
    </w:rPr>
  </w:style>
  <w:style w:type="character" w:customStyle="1" w:styleId="618">
    <w:name w:val="f915"/>
    <w:basedOn w:val="63"/>
    <w:qFormat/>
    <w:uiPriority w:val="0"/>
  </w:style>
  <w:style w:type="character" w:customStyle="1" w:styleId="619">
    <w:name w:val="标题5"/>
    <w:basedOn w:val="63"/>
    <w:qFormat/>
    <w:uiPriority w:val="0"/>
  </w:style>
  <w:style w:type="character" w:customStyle="1" w:styleId="620">
    <w:name w:val="H9 Char1"/>
    <w:qFormat/>
    <w:uiPriority w:val="0"/>
    <w:rPr>
      <w:rFonts w:ascii="Cambria" w:hAnsi="Cambria" w:eastAsia="宋体"/>
      <w:i/>
      <w:iCs/>
      <w:color w:val="404040"/>
      <w:sz w:val="22"/>
      <w:szCs w:val="22"/>
      <w:lang w:val="en-US" w:eastAsia="zh-CN" w:bidi="ar-SA"/>
    </w:rPr>
  </w:style>
  <w:style w:type="character" w:customStyle="1" w:styleId="621">
    <w:name w:val="search_content1"/>
    <w:qFormat/>
    <w:uiPriority w:val="0"/>
    <w:rPr>
      <w:sz w:val="20"/>
    </w:rPr>
  </w:style>
  <w:style w:type="character" w:customStyle="1" w:styleId="622">
    <w:name w:val="f14b1"/>
    <w:qFormat/>
    <w:uiPriority w:val="0"/>
    <w:rPr>
      <w:b/>
      <w:bCs/>
      <w:sz w:val="21"/>
      <w:szCs w:val="21"/>
    </w:rPr>
  </w:style>
  <w:style w:type="character" w:customStyle="1" w:styleId="623">
    <w:name w:val="样式 自动设置 Char"/>
    <w:link w:val="272"/>
    <w:qFormat/>
    <w:uiPriority w:val="0"/>
    <w:rPr>
      <w:rFonts w:ascii="Calibri" w:hAnsi="Calibri" w:cs="宋体"/>
      <w:kern w:val="2"/>
      <w:sz w:val="24"/>
      <w:szCs w:val="24"/>
    </w:rPr>
  </w:style>
  <w:style w:type="character" w:customStyle="1" w:styleId="624">
    <w:name w:val="君邦正文 Char2"/>
    <w:link w:val="453"/>
    <w:qFormat/>
    <w:uiPriority w:val="0"/>
    <w:rPr>
      <w:bCs/>
      <w:snapToGrid w:val="0"/>
      <w:sz w:val="24"/>
      <w:lang w:val="en-US" w:eastAsia="zh-CN" w:bidi="ar-SA"/>
    </w:rPr>
  </w:style>
  <w:style w:type="character" w:customStyle="1" w:styleId="625">
    <w:name w:val="unnamed11"/>
    <w:qFormat/>
    <w:uiPriority w:val="0"/>
    <w:rPr>
      <w:sz w:val="23"/>
    </w:rPr>
  </w:style>
  <w:style w:type="character" w:customStyle="1" w:styleId="626">
    <w:name w:val="样式 报告正文 + 首行缩进:  2 字符 Char Char"/>
    <w:link w:val="213"/>
    <w:qFormat/>
    <w:uiPriority w:val="0"/>
    <w:rPr>
      <w:rFonts w:eastAsia="宋体" w:cs="宋体"/>
      <w:kern w:val="2"/>
      <w:sz w:val="24"/>
      <w:lang w:val="en-US" w:eastAsia="zh-CN" w:bidi="ar-SA"/>
    </w:rPr>
  </w:style>
  <w:style w:type="character" w:customStyle="1" w:styleId="627">
    <w:name w:val="f182"/>
    <w:qFormat/>
    <w:uiPriority w:val="0"/>
    <w:rPr>
      <w:sz w:val="27"/>
      <w:szCs w:val="27"/>
    </w:rPr>
  </w:style>
  <w:style w:type="character" w:customStyle="1" w:styleId="628">
    <w:name w:val="题注 Char"/>
    <w:qFormat/>
    <w:uiPriority w:val="35"/>
    <w:rPr>
      <w:rFonts w:ascii="Arial" w:hAnsi="Arial" w:eastAsia="黑体" w:cs="Arial"/>
      <w:kern w:val="2"/>
    </w:rPr>
  </w:style>
  <w:style w:type="character" w:customStyle="1" w:styleId="629">
    <w:name w:val="普通文字 Char Char Char Char Char"/>
    <w:qFormat/>
    <w:uiPriority w:val="0"/>
    <w:rPr>
      <w:rFonts w:ascii="宋体" w:hAnsi="Courier New" w:eastAsia="宋体"/>
      <w:kern w:val="2"/>
      <w:sz w:val="21"/>
      <w:lang w:val="en-US" w:eastAsia="zh-CN" w:bidi="ar-SA"/>
    </w:rPr>
  </w:style>
  <w:style w:type="character" w:customStyle="1" w:styleId="630">
    <w:name w:val="font01"/>
    <w:qFormat/>
    <w:uiPriority w:val="0"/>
    <w:rPr>
      <w:rFonts w:hint="eastAsia" w:ascii="宋体" w:hAnsi="宋体" w:eastAsia="宋体" w:cs="宋体"/>
      <w:b/>
      <w:color w:val="FF0000"/>
      <w:sz w:val="21"/>
      <w:szCs w:val="21"/>
    </w:rPr>
  </w:style>
  <w:style w:type="character" w:customStyle="1" w:styleId="631">
    <w:name w:val="公式 首行缩进:  2 字符 Char"/>
    <w:qFormat/>
    <w:uiPriority w:val="0"/>
    <w:rPr>
      <w:rFonts w:eastAsia="宋体" w:cs="宋体"/>
      <w:kern w:val="2"/>
      <w:sz w:val="24"/>
      <w:szCs w:val="24"/>
      <w:lang w:val="en-US" w:eastAsia="zh-CN" w:bidi="ar-SA"/>
    </w:rPr>
  </w:style>
  <w:style w:type="character" w:customStyle="1" w:styleId="632">
    <w:name w:val="font71"/>
    <w:qFormat/>
    <w:uiPriority w:val="0"/>
    <w:rPr>
      <w:rFonts w:hint="default" w:ascii="Times New Roman" w:hAnsi="Times New Roman" w:cs="Times New Roman"/>
      <w:b/>
      <w:color w:val="FF0000"/>
      <w:sz w:val="21"/>
      <w:szCs w:val="21"/>
    </w:rPr>
  </w:style>
  <w:style w:type="character" w:customStyle="1" w:styleId="633">
    <w:name w:val="表题 Char"/>
    <w:link w:val="493"/>
    <w:qFormat/>
    <w:uiPriority w:val="0"/>
    <w:rPr>
      <w:rFonts w:ascii="Calibri" w:hAnsi="Calibri" w:eastAsia="黑体"/>
      <w:sz w:val="28"/>
      <w:szCs w:val="22"/>
      <w:lang w:val="en-US" w:eastAsia="zh-CN" w:bidi="ar-SA"/>
    </w:rPr>
  </w:style>
  <w:style w:type="character" w:customStyle="1" w:styleId="634">
    <w:name w:val="标题 1 Char Char Char Char"/>
    <w:qFormat/>
    <w:uiPriority w:val="0"/>
    <w:rPr>
      <w:rFonts w:eastAsia="宋体"/>
      <w:b/>
      <w:bCs/>
      <w:kern w:val="44"/>
      <w:sz w:val="44"/>
      <w:szCs w:val="44"/>
      <w:lang w:val="en-US" w:eastAsia="zh-CN" w:bidi="ar-SA"/>
    </w:rPr>
  </w:style>
  <w:style w:type="character" w:customStyle="1" w:styleId="635">
    <w:name w:val="0正文 字符"/>
    <w:link w:val="438"/>
    <w:qFormat/>
    <w:uiPriority w:val="0"/>
    <w:rPr>
      <w:kern w:val="2"/>
      <w:sz w:val="24"/>
      <w:szCs w:val="24"/>
    </w:rPr>
  </w:style>
  <w:style w:type="character" w:customStyle="1" w:styleId="636">
    <w:name w:val="Gabriel（正文） Char"/>
    <w:link w:val="369"/>
    <w:qFormat/>
    <w:uiPriority w:val="0"/>
    <w:rPr>
      <w:rFonts w:eastAsia="宋体"/>
      <w:kern w:val="2"/>
      <w:sz w:val="28"/>
      <w:szCs w:val="28"/>
      <w:lang w:val="en-US" w:eastAsia="zh-CN" w:bidi="ar-SA"/>
    </w:rPr>
  </w:style>
  <w:style w:type="character" w:customStyle="1" w:styleId="637">
    <w:name w:val="表标题 Char"/>
    <w:link w:val="185"/>
    <w:qFormat/>
    <w:uiPriority w:val="0"/>
    <w:rPr>
      <w:rFonts w:ascii="仿宋_GB2312" w:eastAsia="仿宋_GB2312"/>
      <w:b/>
      <w:bCs/>
      <w:kern w:val="2"/>
      <w:sz w:val="24"/>
      <w:szCs w:val="24"/>
    </w:rPr>
  </w:style>
  <w:style w:type="character" w:customStyle="1" w:styleId="638">
    <w:name w:val="标题1"/>
    <w:basedOn w:val="63"/>
    <w:qFormat/>
    <w:uiPriority w:val="0"/>
  </w:style>
  <w:style w:type="character" w:customStyle="1" w:styleId="639">
    <w:name w:val="表格。。 Char"/>
    <w:link w:val="449"/>
    <w:qFormat/>
    <w:uiPriority w:val="0"/>
    <w:rPr>
      <w:kern w:val="2"/>
      <w:sz w:val="21"/>
    </w:rPr>
  </w:style>
  <w:style w:type="character" w:customStyle="1" w:styleId="640">
    <w:name w:val="批注文字 字符1"/>
    <w:link w:val="17"/>
    <w:qFormat/>
    <w:uiPriority w:val="0"/>
    <w:rPr>
      <w:kern w:val="2"/>
      <w:sz w:val="21"/>
    </w:rPr>
  </w:style>
  <w:style w:type="character" w:customStyle="1" w:styleId="641">
    <w:name w:val="Char Char61"/>
    <w:qFormat/>
    <w:uiPriority w:val="0"/>
    <w:rPr>
      <w:rFonts w:eastAsia="宋体"/>
      <w:b/>
      <w:bCs/>
      <w:kern w:val="44"/>
      <w:sz w:val="44"/>
      <w:szCs w:val="44"/>
      <w:lang w:val="en-US" w:eastAsia="zh-CN" w:bidi="ar-SA"/>
    </w:rPr>
  </w:style>
  <w:style w:type="character" w:customStyle="1" w:styleId="642">
    <w:name w:val="普通(网站) 字符"/>
    <w:link w:val="50"/>
    <w:qFormat/>
    <w:locked/>
    <w:uiPriority w:val="99"/>
    <w:rPr>
      <w:rFonts w:ascii="_x000B__x000C_" w:hAnsi="_x000B__x000C_"/>
      <w:color w:val="000000"/>
      <w:spacing w:val="15"/>
      <w:sz w:val="18"/>
    </w:rPr>
  </w:style>
  <w:style w:type="character" w:customStyle="1" w:styleId="643">
    <w:name w:val="正文文本缩进 字符1"/>
    <w:link w:val="22"/>
    <w:qFormat/>
    <w:uiPriority w:val="0"/>
    <w:rPr>
      <w:rFonts w:eastAsia="宋体"/>
      <w:kern w:val="2"/>
      <w:sz w:val="24"/>
      <w:lang w:val="en-US" w:eastAsia="zh-CN" w:bidi="ar-SA"/>
    </w:rPr>
  </w:style>
  <w:style w:type="character" w:customStyle="1" w:styleId="644">
    <w:name w:val="表格正文 Char"/>
    <w:link w:val="465"/>
    <w:qFormat/>
    <w:uiPriority w:val="0"/>
    <w:rPr>
      <w:rFonts w:ascii="宋体" w:hAnsi="宋体"/>
      <w:kern w:val="2"/>
      <w:sz w:val="21"/>
      <w:szCs w:val="22"/>
      <w:lang w:bidi="ar-SA"/>
    </w:rPr>
  </w:style>
  <w:style w:type="character" w:customStyle="1" w:styleId="645">
    <w:name w:val="Sottoparagrafo Char1"/>
    <w:qFormat/>
    <w:uiPriority w:val="0"/>
    <w:rPr>
      <w:rFonts w:ascii="Calibri" w:hAnsi="Calibri" w:eastAsia="宋体"/>
      <w:b/>
      <w:bCs/>
      <w:sz w:val="32"/>
      <w:szCs w:val="32"/>
      <w:lang w:val="en-US" w:eastAsia="zh-CN" w:bidi="ar-SA"/>
    </w:rPr>
  </w:style>
  <w:style w:type="character" w:customStyle="1" w:styleId="646">
    <w:name w:val="正文文本 Char"/>
    <w:qFormat/>
    <w:uiPriority w:val="0"/>
    <w:rPr>
      <w:rFonts w:eastAsia="宋体"/>
      <w:sz w:val="28"/>
      <w:szCs w:val="28"/>
      <w:lang w:val="en-US" w:eastAsia="zh-CN" w:bidi="ar-SA"/>
    </w:rPr>
  </w:style>
  <w:style w:type="character" w:customStyle="1" w:styleId="647">
    <w:name w:val="参数解释 Char"/>
    <w:basedOn w:val="508"/>
    <w:link w:val="446"/>
    <w:qFormat/>
    <w:uiPriority w:val="0"/>
    <w:rPr>
      <w:rFonts w:eastAsia="宋体" w:cs="宋体"/>
      <w:kern w:val="2"/>
      <w:sz w:val="24"/>
      <w:lang w:val="en-US" w:eastAsia="zh-CN" w:bidi="ar-SA"/>
    </w:rPr>
  </w:style>
  <w:style w:type="character" w:customStyle="1" w:styleId="648">
    <w:name w:val="批注框文本 Char1"/>
    <w:qFormat/>
    <w:uiPriority w:val="0"/>
    <w:rPr>
      <w:kern w:val="2"/>
      <w:sz w:val="18"/>
      <w:szCs w:val="18"/>
    </w:rPr>
  </w:style>
  <w:style w:type="character" w:customStyle="1" w:styleId="649">
    <w:name w:val="标题 4-王鹏 Char Char"/>
    <w:qFormat/>
    <w:uiPriority w:val="0"/>
    <w:rPr>
      <w:rFonts w:ascii="Arial" w:hAnsi="Arial" w:eastAsia="黑体"/>
      <w:b/>
      <w:bCs/>
      <w:kern w:val="2"/>
      <w:sz w:val="28"/>
      <w:szCs w:val="28"/>
      <w:lang w:val="en-US" w:eastAsia="zh-CN" w:bidi="ar-SA"/>
    </w:rPr>
  </w:style>
  <w:style w:type="character" w:customStyle="1" w:styleId="650">
    <w:name w:val="表格 Char"/>
    <w:link w:val="208"/>
    <w:qFormat/>
    <w:locked/>
    <w:uiPriority w:val="0"/>
    <w:rPr>
      <w:rFonts w:ascii="Calibri" w:hAnsi="Calibri" w:eastAsia="宋体"/>
      <w:sz w:val="24"/>
      <w:lang w:val="en-US" w:eastAsia="zh-CN" w:bidi="ar-SA"/>
    </w:rPr>
  </w:style>
  <w:style w:type="character" w:customStyle="1" w:styleId="651">
    <w:name w:val="正文文本首行缩进 2 字符"/>
    <w:qFormat/>
    <w:uiPriority w:val="0"/>
    <w:rPr>
      <w:kern w:val="2"/>
      <w:sz w:val="21"/>
      <w:szCs w:val="24"/>
    </w:rPr>
  </w:style>
  <w:style w:type="character" w:customStyle="1" w:styleId="652">
    <w:name w:val="G样式1 Char"/>
    <w:link w:val="364"/>
    <w:qFormat/>
    <w:uiPriority w:val="0"/>
    <w:rPr>
      <w:rFonts w:eastAsia="宋体"/>
      <w:kern w:val="2"/>
      <w:sz w:val="28"/>
      <w:szCs w:val="28"/>
      <w:lang w:val="en-US" w:eastAsia="zh-CN" w:bidi="ar-SA"/>
    </w:rPr>
  </w:style>
  <w:style w:type="character" w:customStyle="1" w:styleId="653">
    <w:name w:val="_Style 645"/>
    <w:qFormat/>
    <w:uiPriority w:val="0"/>
    <w:rPr>
      <w:b/>
      <w:bCs/>
      <w:i/>
      <w:iCs/>
      <w:color w:val="2DA2BF"/>
    </w:rPr>
  </w:style>
  <w:style w:type="character" w:customStyle="1" w:styleId="654">
    <w:name w:val="f121"/>
    <w:qFormat/>
    <w:uiPriority w:val="0"/>
    <w:rPr>
      <w:sz w:val="18"/>
      <w:szCs w:val="18"/>
      <w:u w:val="none"/>
    </w:rPr>
  </w:style>
  <w:style w:type="character" w:customStyle="1" w:styleId="655">
    <w:name w:val="表格标题标题 Char Char Char"/>
    <w:link w:val="100"/>
    <w:qFormat/>
    <w:uiPriority w:val="0"/>
    <w:rPr>
      <w:b/>
      <w:kern w:val="18"/>
      <w:sz w:val="24"/>
      <w:lang w:bidi="ar-SA"/>
    </w:rPr>
  </w:style>
  <w:style w:type="character" w:customStyle="1" w:styleId="656">
    <w:name w:val="Char Char3"/>
    <w:qFormat/>
    <w:uiPriority w:val="0"/>
    <w:rPr>
      <w:rFonts w:eastAsia="宋体"/>
      <w:kern w:val="2"/>
      <w:sz w:val="21"/>
      <w:szCs w:val="24"/>
      <w:lang w:bidi="ar-SA"/>
    </w:rPr>
  </w:style>
  <w:style w:type="character" w:customStyle="1" w:styleId="657">
    <w:name w:val="节 Char"/>
    <w:qFormat/>
    <w:uiPriority w:val="0"/>
    <w:rPr>
      <w:rFonts w:ascii="仿宋_GB2312" w:hAnsi="Arial" w:eastAsia="仿宋_GB2312"/>
      <w:b/>
      <w:bCs/>
      <w:kern w:val="2"/>
      <w:sz w:val="30"/>
      <w:szCs w:val="32"/>
      <w:lang w:val="en-US" w:eastAsia="zh-CN" w:bidi="ar-SA"/>
    </w:rPr>
  </w:style>
  <w:style w:type="character" w:customStyle="1" w:styleId="658">
    <w:name w:val="称呼 字符1"/>
    <w:link w:val="18"/>
    <w:qFormat/>
    <w:uiPriority w:val="0"/>
    <w:rPr>
      <w:rFonts w:ascii="宋体" w:hAnsi="华文宋体"/>
      <w:kern w:val="2"/>
      <w:sz w:val="28"/>
      <w:szCs w:val="24"/>
    </w:rPr>
  </w:style>
  <w:style w:type="character" w:customStyle="1" w:styleId="659">
    <w:name w:val="aa正文 Char"/>
    <w:qFormat/>
    <w:uiPriority w:val="0"/>
    <w:rPr>
      <w:rFonts w:ascii="Calibri" w:hAnsi="Calibri" w:eastAsia="宋体"/>
      <w:sz w:val="24"/>
      <w:szCs w:val="22"/>
      <w:lang w:val="en-US" w:eastAsia="zh-CN" w:bidi="ar-SA"/>
    </w:rPr>
  </w:style>
  <w:style w:type="character" w:customStyle="1" w:styleId="660">
    <w:name w:val="表内格式 Char1"/>
    <w:link w:val="338"/>
    <w:qFormat/>
    <w:uiPriority w:val="0"/>
    <w:rPr>
      <w:rFonts w:eastAsia="宋体"/>
      <w:kern w:val="2"/>
      <w:sz w:val="18"/>
      <w:lang w:val="en-US" w:eastAsia="zh-CN" w:bidi="ar-SA"/>
    </w:rPr>
  </w:style>
  <w:style w:type="character" w:customStyle="1" w:styleId="661">
    <w:name w:val="引用 字符"/>
    <w:link w:val="444"/>
    <w:qFormat/>
    <w:uiPriority w:val="0"/>
    <w:rPr>
      <w:rFonts w:ascii="Calibri" w:hAnsi="Calibri" w:eastAsia="宋体"/>
      <w:i/>
      <w:iCs/>
      <w:color w:val="000000"/>
      <w:sz w:val="22"/>
      <w:szCs w:val="22"/>
      <w:lang w:val="en-US" w:eastAsia="zh-CN" w:bidi="ar-SA"/>
    </w:rPr>
  </w:style>
  <w:style w:type="character" w:customStyle="1" w:styleId="662">
    <w:name w:val="明显引用 字符"/>
    <w:link w:val="384"/>
    <w:qFormat/>
    <w:uiPriority w:val="0"/>
    <w:rPr>
      <w:rFonts w:ascii="Calibri" w:hAnsi="Calibri" w:eastAsia="宋体"/>
      <w:b/>
      <w:bCs/>
      <w:i/>
      <w:iCs/>
      <w:color w:val="2DA2BF"/>
      <w:sz w:val="22"/>
      <w:szCs w:val="22"/>
      <w:lang w:val="en-US" w:eastAsia="zh-CN" w:bidi="ar-SA"/>
    </w:rPr>
  </w:style>
  <w:style w:type="character" w:customStyle="1" w:styleId="663">
    <w:name w:val="标题 2 字符"/>
    <w:link w:val="4"/>
    <w:qFormat/>
    <w:uiPriority w:val="0"/>
    <w:rPr>
      <w:rFonts w:ascii="Arial" w:hAnsi="Arial" w:eastAsia="黑体"/>
      <w:b/>
      <w:kern w:val="2"/>
      <w:sz w:val="28"/>
      <w:lang w:val="en-US" w:eastAsia="zh-CN" w:bidi="ar-SA"/>
    </w:rPr>
  </w:style>
  <w:style w:type="character" w:customStyle="1" w:styleId="664">
    <w:name w:val="postbody1"/>
    <w:qFormat/>
    <w:uiPriority w:val="0"/>
    <w:rPr>
      <w:sz w:val="21"/>
      <w:szCs w:val="21"/>
    </w:rPr>
  </w:style>
  <w:style w:type="character" w:customStyle="1" w:styleId="665">
    <w:name w:val="font41"/>
    <w:qFormat/>
    <w:uiPriority w:val="0"/>
    <w:rPr>
      <w:rFonts w:hint="default" w:ascii="Times New Roman" w:hAnsi="Times New Roman" w:cs="Times New Roman"/>
      <w:color w:val="FF0000"/>
      <w:sz w:val="21"/>
      <w:szCs w:val="21"/>
      <w:u w:val="none"/>
    </w:rPr>
  </w:style>
  <w:style w:type="character" w:customStyle="1" w:styleId="666">
    <w:name w:val="题注1 Char Char"/>
    <w:qFormat/>
    <w:uiPriority w:val="0"/>
    <w:rPr>
      <w:rFonts w:ascii="Calibri" w:hAnsi="Calibri" w:eastAsia="宋体"/>
      <w:sz w:val="24"/>
      <w:szCs w:val="22"/>
      <w:lang w:val="en-US" w:eastAsia="zh-CN" w:bidi="ar-SA"/>
    </w:rPr>
  </w:style>
  <w:style w:type="character" w:customStyle="1" w:styleId="667">
    <w:name w:val="报告正文 Char"/>
    <w:link w:val="355"/>
    <w:qFormat/>
    <w:uiPriority w:val="0"/>
    <w:rPr>
      <w:rFonts w:eastAsia="仿宋_GB2312"/>
      <w:kern w:val="2"/>
      <w:sz w:val="24"/>
      <w:szCs w:val="24"/>
    </w:rPr>
  </w:style>
  <w:style w:type="character" w:customStyle="1" w:styleId="668">
    <w:name w:val="标准文本 居中 行距1.5倍 Char"/>
    <w:qFormat/>
    <w:uiPriority w:val="0"/>
    <w:rPr>
      <w:rFonts w:eastAsia="宋体" w:cs="宋体"/>
      <w:kern w:val="2"/>
      <w:sz w:val="24"/>
      <w:lang w:val="en-US" w:eastAsia="zh-CN" w:bidi="ar-SA"/>
    </w:rPr>
  </w:style>
  <w:style w:type="character" w:customStyle="1" w:styleId="669">
    <w:name w:val="正本文字 Char Char Char"/>
    <w:qFormat/>
    <w:uiPriority w:val="0"/>
    <w:rPr>
      <w:rFonts w:cs="宋体"/>
      <w:kern w:val="18"/>
      <w:sz w:val="24"/>
    </w:rPr>
  </w:style>
  <w:style w:type="character" w:customStyle="1" w:styleId="670">
    <w:name w:val="unnamed2"/>
    <w:basedOn w:val="63"/>
    <w:qFormat/>
    <w:uiPriority w:val="0"/>
  </w:style>
  <w:style w:type="character" w:customStyle="1" w:styleId="671">
    <w:name w:val="纯文本 字符"/>
    <w:link w:val="29"/>
    <w:qFormat/>
    <w:uiPriority w:val="0"/>
    <w:rPr>
      <w:rFonts w:ascii="宋体" w:hAnsi="Courier New"/>
      <w:spacing w:val="-2"/>
      <w:kern w:val="28"/>
      <w:sz w:val="21"/>
    </w:rPr>
  </w:style>
  <w:style w:type="character" w:customStyle="1" w:styleId="672">
    <w:name w:val="副标题 字符"/>
    <w:link w:val="41"/>
    <w:qFormat/>
    <w:uiPriority w:val="0"/>
    <w:rPr>
      <w:rFonts w:eastAsia="宋体"/>
      <w:kern w:val="2"/>
      <w:sz w:val="24"/>
      <w:lang w:val="en-US" w:eastAsia="zh-CN" w:bidi="ar-SA"/>
    </w:rPr>
  </w:style>
  <w:style w:type="character" w:customStyle="1" w:styleId="673">
    <w:name w:val="标题 1-王鹏 Char"/>
    <w:qFormat/>
    <w:uiPriority w:val="0"/>
    <w:rPr>
      <w:rFonts w:eastAsia="宋体"/>
      <w:b/>
      <w:bCs/>
      <w:spacing w:val="6"/>
      <w:kern w:val="44"/>
      <w:sz w:val="24"/>
      <w:szCs w:val="44"/>
      <w:lang w:val="en-US" w:eastAsia="zh-CN" w:bidi="ar-SA"/>
    </w:rPr>
  </w:style>
  <w:style w:type="character" w:customStyle="1" w:styleId="674">
    <w:name w:val="图 Char1"/>
    <w:qFormat/>
    <w:uiPriority w:val="0"/>
    <w:rPr>
      <w:rFonts w:ascii="Cambria" w:hAnsi="Cambria" w:eastAsia="宋体"/>
      <w:i/>
      <w:iCs/>
      <w:color w:val="16505E"/>
      <w:sz w:val="22"/>
      <w:szCs w:val="22"/>
      <w:lang w:val="en-US" w:eastAsia="zh-CN" w:bidi="ar-SA"/>
    </w:rPr>
  </w:style>
  <w:style w:type="character" w:customStyle="1" w:styleId="675">
    <w:name w:val="样式 (符号) 宋体 加粗 红色"/>
    <w:qFormat/>
    <w:uiPriority w:val="0"/>
    <w:rPr>
      <w:b/>
      <w:bCs/>
      <w:color w:val="FF0000"/>
    </w:rPr>
  </w:style>
  <w:style w:type="character" w:customStyle="1" w:styleId="676">
    <w:name w:val="纯文本 Char2"/>
    <w:qFormat/>
    <w:uiPriority w:val="0"/>
    <w:rPr>
      <w:rFonts w:ascii="宋体" w:hAnsi="宋体" w:eastAsia="宋体"/>
      <w:sz w:val="24"/>
      <w:lang w:val="en-US" w:eastAsia="zh-CN" w:bidi="ar-SA"/>
    </w:rPr>
  </w:style>
  <w:style w:type="character" w:customStyle="1" w:styleId="677">
    <w:name w:val="style71"/>
    <w:qFormat/>
    <w:uiPriority w:val="0"/>
    <w:rPr>
      <w:sz w:val="27"/>
      <w:szCs w:val="27"/>
    </w:rPr>
  </w:style>
  <w:style w:type="character" w:customStyle="1" w:styleId="678">
    <w:name w:val="Char Char Char Char Char Char Char Char Char1"/>
    <w:qFormat/>
    <w:uiPriority w:val="0"/>
    <w:rPr>
      <w:rFonts w:eastAsia="宋体"/>
      <w:kern w:val="2"/>
      <w:sz w:val="24"/>
      <w:lang w:val="en-US" w:eastAsia="zh-CN" w:bidi="ar-SA"/>
    </w:rPr>
  </w:style>
  <w:style w:type="character" w:customStyle="1" w:styleId="679">
    <w:name w:val="font11"/>
    <w:qFormat/>
    <w:uiPriority w:val="0"/>
    <w:rPr>
      <w:rFonts w:ascii="Calibri" w:hAnsi="Calibri" w:cs="Calibri"/>
      <w:color w:val="000000"/>
      <w:sz w:val="21"/>
      <w:szCs w:val="21"/>
      <w:u w:val="none"/>
    </w:rPr>
  </w:style>
  <w:style w:type="character" w:customStyle="1" w:styleId="680">
    <w:name w:val="标题 1 字符"/>
    <w:link w:val="3"/>
    <w:qFormat/>
    <w:uiPriority w:val="0"/>
    <w:rPr>
      <w:rFonts w:eastAsia="黑体"/>
      <w:kern w:val="44"/>
      <w:sz w:val="28"/>
      <w:lang w:val="en-US" w:eastAsia="zh-CN" w:bidi="ar-SA"/>
    </w:rPr>
  </w:style>
  <w:style w:type="character" w:customStyle="1" w:styleId="681">
    <w:name w:val="图 Char"/>
    <w:qFormat/>
    <w:uiPriority w:val="0"/>
    <w:rPr>
      <w:rFonts w:ascii="Arial" w:hAnsi="Arial" w:eastAsia="黑体"/>
      <w:b/>
      <w:bCs/>
      <w:kern w:val="2"/>
      <w:sz w:val="24"/>
      <w:szCs w:val="24"/>
      <w:lang w:val="en-US" w:eastAsia="zh-CN" w:bidi="ar-SA"/>
    </w:rPr>
  </w:style>
  <w:style w:type="character" w:customStyle="1" w:styleId="682">
    <w:name w:val="zi2"/>
    <w:basedOn w:val="63"/>
    <w:qFormat/>
    <w:uiPriority w:val="0"/>
  </w:style>
  <w:style w:type="character" w:customStyle="1" w:styleId="683">
    <w:name w:val="标准文本 居中 行距1.5倍 Char Char"/>
    <w:qFormat/>
    <w:uiPriority w:val="0"/>
    <w:rPr>
      <w:rFonts w:eastAsia="宋体" w:cs="宋体"/>
      <w:kern w:val="2"/>
      <w:sz w:val="24"/>
      <w:lang w:val="en-US" w:eastAsia="zh-CN" w:bidi="ar-SA"/>
    </w:rPr>
  </w:style>
  <w:style w:type="character" w:customStyle="1" w:styleId="684">
    <w:name w:val="ourfont11"/>
    <w:qFormat/>
    <w:uiPriority w:val="0"/>
    <w:rPr>
      <w:sz w:val="20"/>
    </w:rPr>
  </w:style>
  <w:style w:type="character" w:customStyle="1" w:styleId="685">
    <w:name w:val="正文一 Char"/>
    <w:link w:val="190"/>
    <w:unhideWhenUsed/>
    <w:qFormat/>
    <w:uiPriority w:val="0"/>
    <w:rPr>
      <w:rFonts w:ascii="宋体"/>
      <w:lang w:val="zh-CN"/>
    </w:rPr>
  </w:style>
  <w:style w:type="character" w:customStyle="1" w:styleId="686">
    <w:name w:val="1表格 Char"/>
    <w:link w:val="386"/>
    <w:qFormat/>
    <w:uiPriority w:val="0"/>
    <w:rPr>
      <w:rFonts w:eastAsia="仿宋_GB2312"/>
      <w:kern w:val="2"/>
      <w:sz w:val="21"/>
    </w:rPr>
  </w:style>
  <w:style w:type="character" w:customStyle="1" w:styleId="687">
    <w:name w:val="公式 首行缩进:  2 字符 Char Char"/>
    <w:qFormat/>
    <w:uiPriority w:val="0"/>
    <w:rPr>
      <w:rFonts w:eastAsia="宋体" w:cs="宋体"/>
      <w:kern w:val="2"/>
      <w:sz w:val="24"/>
      <w:szCs w:val="24"/>
      <w:lang w:val="en-US" w:eastAsia="zh-CN" w:bidi="ar-SA"/>
    </w:rPr>
  </w:style>
  <w:style w:type="character" w:customStyle="1" w:styleId="688">
    <w:name w:val="表格文字 Char"/>
    <w:qFormat/>
    <w:uiPriority w:val="0"/>
    <w:rPr>
      <w:rFonts w:ascii="仿宋_GB2312" w:hAnsi="Arial Black" w:eastAsia="仿宋_GB2312"/>
      <w:kern w:val="44"/>
      <w:sz w:val="24"/>
    </w:rPr>
  </w:style>
  <w:style w:type="character" w:customStyle="1" w:styleId="689">
    <w:name w:val="表蕊 Char1"/>
    <w:link w:val="174"/>
    <w:qFormat/>
    <w:uiPriority w:val="0"/>
    <w:rPr>
      <w:rFonts w:eastAsia="楷体_GB2312"/>
      <w:spacing w:val="-10"/>
      <w:sz w:val="21"/>
    </w:rPr>
  </w:style>
  <w:style w:type="character" w:customStyle="1" w:styleId="690">
    <w:name w:val="项标题(1) Char1"/>
    <w:qFormat/>
    <w:uiPriority w:val="0"/>
    <w:rPr>
      <w:rFonts w:ascii="Cambria" w:hAnsi="Cambria" w:eastAsia="宋体"/>
      <w:i/>
      <w:iCs/>
      <w:color w:val="404040"/>
      <w:sz w:val="22"/>
      <w:szCs w:val="22"/>
      <w:lang w:val="en-US" w:eastAsia="zh-CN" w:bidi="ar-SA"/>
    </w:rPr>
  </w:style>
  <w:style w:type="character" w:customStyle="1" w:styleId="691">
    <w:name w:val="表头1 Char"/>
    <w:qFormat/>
    <w:uiPriority w:val="0"/>
    <w:rPr>
      <w:rFonts w:ascii="仿宋_GB2312" w:hAnsi="Courier New" w:eastAsia="仿宋_GB2312"/>
      <w:bCs/>
      <w:sz w:val="28"/>
      <w:lang w:val="en-US" w:eastAsia="zh-CN" w:bidi="ar-SA"/>
    </w:rPr>
  </w:style>
  <w:style w:type="character" w:customStyle="1" w:styleId="692">
    <w:name w:val="标准文本 首行缩进:2 字符 行距1倍 Char Char Char Char Char"/>
    <w:link w:val="139"/>
    <w:qFormat/>
    <w:uiPriority w:val="0"/>
    <w:rPr>
      <w:rFonts w:eastAsia="宋体" w:cs="宋体"/>
      <w:kern w:val="2"/>
      <w:sz w:val="24"/>
      <w:szCs w:val="24"/>
      <w:lang w:val="en-US" w:eastAsia="zh-CN" w:bidi="ar-SA"/>
    </w:rPr>
  </w:style>
  <w:style w:type="character" w:customStyle="1" w:styleId="693">
    <w:name w:val="Gabriel 正文文本 Char Char"/>
    <w:qFormat/>
    <w:uiPriority w:val="0"/>
    <w:rPr>
      <w:rFonts w:eastAsia="宋体"/>
      <w:color w:val="000000"/>
      <w:kern w:val="2"/>
      <w:sz w:val="28"/>
      <w:szCs w:val="24"/>
      <w:lang w:val="en-US" w:eastAsia="zh-CN" w:bidi="ar-SA"/>
    </w:rPr>
  </w:style>
  <w:style w:type="character" w:customStyle="1" w:styleId="694">
    <w:name w:val="正文lcc2 Char"/>
    <w:link w:val="271"/>
    <w:qFormat/>
    <w:uiPriority w:val="0"/>
    <w:rPr>
      <w:rFonts w:ascii="Calibri" w:hAnsi="Calibri"/>
      <w:sz w:val="24"/>
      <w:szCs w:val="22"/>
    </w:rPr>
  </w:style>
  <w:style w:type="character" w:customStyle="1" w:styleId="695">
    <w:name w:val="datetime"/>
    <w:qFormat/>
    <w:uiPriority w:val="0"/>
    <w:rPr>
      <w:rFonts w:ascii="Arial" w:hAnsi="Arial" w:cs="Arial"/>
      <w:color w:val="999999"/>
      <w:sz w:val="21"/>
      <w:szCs w:val="21"/>
    </w:rPr>
  </w:style>
  <w:style w:type="character" w:customStyle="1" w:styleId="696">
    <w:name w:val="表格标题博泵 Char"/>
    <w:link w:val="172"/>
    <w:qFormat/>
    <w:uiPriority w:val="0"/>
    <w:rPr>
      <w:rFonts w:cs="宋体"/>
      <w:b/>
      <w:color w:val="000000"/>
      <w:kern w:val="2"/>
      <w:sz w:val="21"/>
    </w:rPr>
  </w:style>
  <w:style w:type="character" w:customStyle="1" w:styleId="697">
    <w:name w:val="正文文本缩进 2 字符"/>
    <w:link w:val="34"/>
    <w:qFormat/>
    <w:uiPriority w:val="0"/>
    <w:rPr>
      <w:rFonts w:ascii="宋体" w:hAnsi="宋体" w:eastAsia="宋体"/>
      <w:spacing w:val="4"/>
      <w:kern w:val="2"/>
      <w:sz w:val="24"/>
      <w:lang w:val="en-US" w:eastAsia="zh-CN" w:bidi="ar-SA"/>
    </w:rPr>
  </w:style>
  <w:style w:type="character" w:customStyle="1" w:styleId="698">
    <w:name w:val="articletitle1"/>
    <w:qFormat/>
    <w:uiPriority w:val="0"/>
    <w:rPr>
      <w:b/>
      <w:bCs/>
      <w:color w:val="013F88"/>
      <w:sz w:val="27"/>
      <w:szCs w:val="27"/>
    </w:rPr>
  </w:style>
  <w:style w:type="character" w:customStyle="1" w:styleId="699">
    <w:name w:val="正文zy Char"/>
    <w:link w:val="98"/>
    <w:qFormat/>
    <w:uiPriority w:val="0"/>
    <w:rPr>
      <w:color w:val="000000"/>
      <w:kern w:val="2"/>
      <w:sz w:val="24"/>
    </w:rPr>
  </w:style>
  <w:style w:type="character" w:customStyle="1" w:styleId="700">
    <w:name w:val="样式 报告正文 + 首行缩进:  2 字符 Char Char Char"/>
    <w:qFormat/>
    <w:uiPriority w:val="0"/>
    <w:rPr>
      <w:rFonts w:eastAsia="宋体" w:cs="宋体"/>
      <w:kern w:val="2"/>
      <w:sz w:val="24"/>
      <w:lang w:val="en-US" w:eastAsia="zh-CN" w:bidi="ar-SA"/>
    </w:rPr>
  </w:style>
  <w:style w:type="character" w:customStyle="1" w:styleId="701">
    <w:name w:val="标题 8 字符"/>
    <w:link w:val="10"/>
    <w:qFormat/>
    <w:uiPriority w:val="0"/>
    <w:rPr>
      <w:rFonts w:ascii="Arial" w:hAnsi="Arial" w:eastAsia="黑体"/>
      <w:kern w:val="2"/>
      <w:sz w:val="24"/>
      <w:lang w:val="en-US" w:eastAsia="zh-CN" w:bidi="ar-SA"/>
    </w:rPr>
  </w:style>
  <w:style w:type="character" w:customStyle="1" w:styleId="702">
    <w:name w:val="样式 标题 3 + (西文) Times New Roman (中文) 宋体 小四 加粗 Char"/>
    <w:link w:val="168"/>
    <w:qFormat/>
    <w:uiPriority w:val="0"/>
    <w:rPr>
      <w:rFonts w:hAnsi="宋体" w:eastAsia="宋体"/>
      <w:b/>
      <w:bCs/>
      <w:snapToGrid w:val="0"/>
      <w:kern w:val="2"/>
      <w:sz w:val="28"/>
      <w:szCs w:val="28"/>
      <w:lang w:val="en-US" w:eastAsia="zh-CN" w:bidi="ar-SA"/>
    </w:rPr>
  </w:style>
  <w:style w:type="character" w:customStyle="1" w:styleId="703">
    <w:name w:val="正文缩进 字符"/>
    <w:qFormat/>
    <w:uiPriority w:val="0"/>
    <w:rPr>
      <w:rFonts w:ascii="宋体" w:hAnsi="宋体"/>
      <w:b/>
      <w:kern w:val="2"/>
      <w:sz w:val="28"/>
      <w:szCs w:val="24"/>
    </w:rPr>
  </w:style>
  <w:style w:type="character" w:customStyle="1" w:styleId="704">
    <w:name w:val="表格内文字 Char Char"/>
    <w:qFormat/>
    <w:uiPriority w:val="0"/>
    <w:rPr>
      <w:rFonts w:eastAsia="仿宋_GB2312"/>
      <w:kern w:val="2"/>
      <w:sz w:val="24"/>
      <w:szCs w:val="24"/>
      <w:lang w:val="en-US" w:eastAsia="zh-CN" w:bidi="ar-SA"/>
    </w:rPr>
  </w:style>
  <w:style w:type="character" w:customStyle="1" w:styleId="705">
    <w:name w:val="t_tag"/>
    <w:basedOn w:val="63"/>
    <w:qFormat/>
    <w:uiPriority w:val="0"/>
  </w:style>
  <w:style w:type="character" w:customStyle="1" w:styleId="706">
    <w:name w:val="标题 字符"/>
    <w:link w:val="52"/>
    <w:qFormat/>
    <w:uiPriority w:val="0"/>
    <w:rPr>
      <w:rFonts w:ascii="仿宋_GB2312" w:hAnsi="Arial" w:eastAsia="仿宋_GB2312"/>
      <w:b/>
      <w:kern w:val="2"/>
      <w:sz w:val="32"/>
      <w:lang w:val="en-US" w:eastAsia="zh-CN" w:bidi="ar-SA"/>
    </w:rPr>
  </w:style>
  <w:style w:type="character" w:customStyle="1" w:styleId="707">
    <w:name w:val="表格内文字 Char"/>
    <w:link w:val="476"/>
    <w:qFormat/>
    <w:uiPriority w:val="0"/>
    <w:rPr>
      <w:rFonts w:eastAsia="仿宋_GB2312"/>
      <w:kern w:val="2"/>
      <w:sz w:val="24"/>
      <w:lang w:val="en-US" w:eastAsia="zh-CN"/>
    </w:rPr>
  </w:style>
  <w:style w:type="character" w:customStyle="1" w:styleId="708">
    <w:name w:val="Char Char12"/>
    <w:qFormat/>
    <w:uiPriority w:val="0"/>
    <w:rPr>
      <w:rFonts w:ascii="Cambria" w:hAnsi="Cambria" w:eastAsia="宋体"/>
      <w:color w:val="2DA2BF"/>
      <w:sz w:val="22"/>
      <w:szCs w:val="22"/>
      <w:lang w:val="en-US" w:eastAsia="zh-CN" w:bidi="ar-SA"/>
    </w:rPr>
  </w:style>
  <w:style w:type="character" w:customStyle="1" w:styleId="709">
    <w:name w:val="样式 标题 2二处标题 2节标题 1.11.1标题2b2ParagrafoH22nd levelh2Heade...1 Char"/>
    <w:link w:val="91"/>
    <w:qFormat/>
    <w:uiPriority w:val="0"/>
    <w:rPr>
      <w:rFonts w:eastAsia="宋体"/>
      <w:b/>
      <w:bCs/>
      <w:color w:val="000000"/>
      <w:kern w:val="2"/>
      <w:sz w:val="30"/>
      <w:szCs w:val="30"/>
      <w:lang w:val="en-US" w:eastAsia="zh-CN" w:bidi="ar-SA"/>
    </w:rPr>
  </w:style>
  <w:style w:type="character" w:customStyle="1" w:styleId="710">
    <w:name w:val="_Style 702"/>
    <w:qFormat/>
    <w:uiPriority w:val="0"/>
    <w:rPr>
      <w:b/>
      <w:bCs/>
      <w:smallCaps/>
      <w:spacing w:val="5"/>
    </w:rPr>
  </w:style>
  <w:style w:type="character" w:customStyle="1" w:styleId="711">
    <w:name w:val="标题 9 字符"/>
    <w:link w:val="11"/>
    <w:qFormat/>
    <w:uiPriority w:val="0"/>
    <w:rPr>
      <w:rFonts w:ascii="Arial" w:hAnsi="Arial" w:eastAsia="黑体"/>
      <w:kern w:val="2"/>
      <w:sz w:val="21"/>
      <w:lang w:val="en-US" w:eastAsia="zh-CN" w:bidi="ar-SA"/>
    </w:rPr>
  </w:style>
  <w:style w:type="character" w:customStyle="1" w:styleId="712">
    <w:name w:val="样式 样式 标题 3 + (西文) Times New Roman (中文) 宋体 小四 加粗 + (符号) 宋体 Char"/>
    <w:basedOn w:val="702"/>
    <w:link w:val="167"/>
    <w:qFormat/>
    <w:uiPriority w:val="0"/>
    <w:rPr>
      <w:rFonts w:hAnsi="宋体" w:eastAsia="宋体"/>
      <w:snapToGrid w:val="0"/>
      <w:kern w:val="2"/>
      <w:sz w:val="28"/>
      <w:szCs w:val="28"/>
      <w:lang w:val="en-US" w:eastAsia="zh-CN" w:bidi="ar-SA"/>
    </w:rPr>
  </w:style>
  <w:style w:type="character" w:customStyle="1" w:styleId="713">
    <w:name w:val="项标题(1) Char"/>
    <w:qFormat/>
    <w:uiPriority w:val="0"/>
    <w:rPr>
      <w:rFonts w:eastAsia="宋体"/>
      <w:b/>
      <w:bCs/>
      <w:kern w:val="2"/>
      <w:sz w:val="24"/>
      <w:szCs w:val="24"/>
      <w:lang w:val="en-US" w:eastAsia="zh-CN" w:bidi="ar-SA"/>
    </w:rPr>
  </w:style>
  <w:style w:type="character" w:customStyle="1" w:styleId="714">
    <w:name w:val="Char Char11"/>
    <w:qFormat/>
    <w:uiPriority w:val="0"/>
    <w:rPr>
      <w:rFonts w:ascii="Cambria" w:hAnsi="Cambria" w:eastAsia="宋体"/>
      <w:i/>
      <w:iCs/>
      <w:color w:val="404040"/>
      <w:sz w:val="22"/>
      <w:szCs w:val="22"/>
      <w:lang w:val="en-US" w:eastAsia="zh-CN" w:bidi="ar-SA"/>
    </w:rPr>
  </w:style>
  <w:style w:type="character" w:customStyle="1" w:styleId="715">
    <w:name w:val="小四+首行缩进 Char2"/>
    <w:link w:val="142"/>
    <w:qFormat/>
    <w:uiPriority w:val="0"/>
    <w:rPr>
      <w:rFonts w:ascii="宋体" w:hAnsi="宋体" w:eastAsia="宋体"/>
      <w:kern w:val="2"/>
      <w:sz w:val="24"/>
      <w:lang w:val="en-US" w:eastAsia="zh-CN" w:bidi="ar-SA"/>
    </w:rPr>
  </w:style>
  <w:style w:type="character" w:customStyle="1" w:styleId="716">
    <w:name w:val="标题 4-王鹏 Char"/>
    <w:qFormat/>
    <w:uiPriority w:val="0"/>
    <w:rPr>
      <w:rFonts w:ascii="宋体" w:hAnsi="宋体" w:eastAsia="宋体"/>
      <w:b/>
      <w:bCs/>
      <w:snapToGrid w:val="0"/>
      <w:spacing w:val="6"/>
      <w:kern w:val="44"/>
      <w:sz w:val="24"/>
      <w:szCs w:val="24"/>
      <w:lang w:val="en-US" w:eastAsia="zh-CN" w:bidi="ar-SA"/>
    </w:rPr>
  </w:style>
  <w:style w:type="character" w:customStyle="1" w:styleId="717">
    <w:name w:val="排版正文 Char"/>
    <w:qFormat/>
    <w:uiPriority w:val="0"/>
    <w:rPr>
      <w:rFonts w:eastAsia="黑体"/>
      <w:kern w:val="2"/>
      <w:sz w:val="26"/>
      <w:szCs w:val="22"/>
      <w:lang w:val="en-US" w:eastAsia="zh-CN" w:bidi="ar-SA"/>
    </w:rPr>
  </w:style>
  <w:style w:type="character" w:customStyle="1" w:styleId="718">
    <w:name w:val="页眉1 Char2"/>
    <w:semiHidden/>
    <w:qFormat/>
    <w:uiPriority w:val="0"/>
    <w:rPr>
      <w:rFonts w:eastAsia="宋体"/>
      <w:kern w:val="2"/>
      <w:sz w:val="18"/>
      <w:szCs w:val="18"/>
      <w:lang w:val="en-US" w:eastAsia="zh-CN" w:bidi="ar-SA"/>
    </w:rPr>
  </w:style>
  <w:style w:type="character" w:customStyle="1" w:styleId="719">
    <w:name w:val="正文文本缩进 3 字符"/>
    <w:link w:val="44"/>
    <w:qFormat/>
    <w:uiPriority w:val="0"/>
    <w:rPr>
      <w:rFonts w:eastAsia="宋体"/>
      <w:kern w:val="2"/>
      <w:sz w:val="24"/>
      <w:lang w:val="en-US" w:eastAsia="zh-CN" w:bidi="ar-SA"/>
    </w:rPr>
  </w:style>
  <w:style w:type="character" w:customStyle="1" w:styleId="720">
    <w:name w:val="标题 5 Char Char Char1"/>
    <w:qFormat/>
    <w:uiPriority w:val="0"/>
    <w:rPr>
      <w:rFonts w:ascii="Cambria" w:hAnsi="Cambria" w:eastAsia="宋体"/>
      <w:color w:val="16505E"/>
      <w:sz w:val="22"/>
      <w:szCs w:val="22"/>
      <w:lang w:val="en-US" w:eastAsia="zh-CN" w:bidi="ar-SA"/>
    </w:rPr>
  </w:style>
  <w:style w:type="character" w:customStyle="1" w:styleId="721">
    <w:name w:val="页脚 字符"/>
    <w:link w:val="37"/>
    <w:qFormat/>
    <w:uiPriority w:val="0"/>
    <w:rPr>
      <w:kern w:val="2"/>
      <w:sz w:val="18"/>
    </w:rPr>
  </w:style>
  <w:style w:type="character" w:customStyle="1" w:styleId="722">
    <w:name w:val="Char Char31"/>
    <w:qFormat/>
    <w:uiPriority w:val="0"/>
    <w:rPr>
      <w:rFonts w:eastAsia="宋体"/>
      <w:kern w:val="2"/>
      <w:sz w:val="21"/>
      <w:szCs w:val="24"/>
      <w:lang w:bidi="ar-SA"/>
    </w:rPr>
  </w:style>
  <w:style w:type="character" w:customStyle="1" w:styleId="723">
    <w:name w:val="h31"/>
    <w:qFormat/>
    <w:uiPriority w:val="0"/>
    <w:rPr>
      <w:sz w:val="21"/>
      <w:szCs w:val="21"/>
    </w:rPr>
  </w:style>
  <w:style w:type="character" w:customStyle="1" w:styleId="724">
    <w:name w:val="页眉1 Char"/>
    <w:qFormat/>
    <w:uiPriority w:val="0"/>
    <w:rPr>
      <w:sz w:val="18"/>
      <w:szCs w:val="18"/>
    </w:rPr>
  </w:style>
  <w:style w:type="character" w:customStyle="1" w:styleId="725">
    <w:name w:val="text1"/>
    <w:qFormat/>
    <w:uiPriority w:val="0"/>
    <w:rPr>
      <w:rFonts w:hint="eastAsia" w:ascii="宋体" w:hAnsi="宋体" w:eastAsia="宋体"/>
      <w:color w:val="000000"/>
      <w:sz w:val="18"/>
      <w:szCs w:val="18"/>
    </w:rPr>
  </w:style>
  <w:style w:type="character" w:customStyle="1" w:styleId="726">
    <w:name w:val="一、 Char"/>
    <w:qFormat/>
    <w:uiPriority w:val="0"/>
    <w:rPr>
      <w:rFonts w:eastAsia="宋体"/>
      <w:b/>
      <w:bCs/>
      <w:kern w:val="44"/>
      <w:sz w:val="44"/>
      <w:szCs w:val="44"/>
      <w:lang w:val="en-US" w:eastAsia="zh-CN" w:bidi="ar-SA"/>
    </w:rPr>
  </w:style>
  <w:style w:type="character" w:customStyle="1" w:styleId="727">
    <w:name w:val="样式 报告正文 + 首行缩进:  2 字符 Char"/>
    <w:qFormat/>
    <w:uiPriority w:val="0"/>
    <w:rPr>
      <w:rFonts w:eastAsia="宋体" w:cs="宋体"/>
      <w:kern w:val="2"/>
      <w:sz w:val="24"/>
      <w:lang w:val="en-US" w:eastAsia="zh-CN" w:bidi="ar-SA"/>
    </w:rPr>
  </w:style>
  <w:style w:type="character" w:customStyle="1" w:styleId="728">
    <w:name w:val="表头 Char"/>
    <w:qFormat/>
    <w:uiPriority w:val="0"/>
    <w:rPr>
      <w:rFonts w:ascii="楷体_GB2312" w:eastAsia="楷体_GB2312"/>
      <w:spacing w:val="4"/>
      <w:kern w:val="2"/>
      <w:sz w:val="18"/>
      <w:szCs w:val="18"/>
      <w:lang w:val="en-US" w:eastAsia="zh-CN" w:bidi="ar-SA"/>
    </w:rPr>
  </w:style>
  <w:style w:type="character" w:customStyle="1" w:styleId="729">
    <w:name w:val="标题 1 Char Char Char Char Char"/>
    <w:qFormat/>
    <w:uiPriority w:val="0"/>
    <w:rPr>
      <w:rFonts w:eastAsia="宋体"/>
      <w:b/>
      <w:bCs/>
      <w:kern w:val="44"/>
      <w:sz w:val="44"/>
      <w:szCs w:val="44"/>
      <w:lang w:val="en-US" w:eastAsia="zh-CN" w:bidi="ar-SA"/>
    </w:rPr>
  </w:style>
  <w:style w:type="character" w:customStyle="1" w:styleId="730">
    <w:name w:val="公式 Char"/>
    <w:link w:val="411"/>
    <w:qFormat/>
    <w:uiPriority w:val="0"/>
    <w:rPr>
      <w:rFonts w:eastAsia="宋体" w:cs="宋体"/>
      <w:kern w:val="2"/>
      <w:sz w:val="24"/>
      <w:lang w:val="en-US" w:eastAsia="zh-CN" w:bidi="ar-SA"/>
    </w:rPr>
  </w:style>
  <w:style w:type="character" w:customStyle="1" w:styleId="731">
    <w:name w:val="Char Char14"/>
    <w:qFormat/>
    <w:uiPriority w:val="0"/>
    <w:rPr>
      <w:rFonts w:ascii="Cambria" w:hAnsi="Cambria" w:eastAsia="宋体"/>
      <w:i/>
      <w:iCs/>
      <w:color w:val="16505E"/>
      <w:sz w:val="22"/>
      <w:szCs w:val="22"/>
      <w:lang w:val="en-US" w:eastAsia="zh-CN" w:bidi="ar-SA"/>
    </w:rPr>
  </w:style>
  <w:style w:type="character" w:customStyle="1" w:styleId="732">
    <w:name w:val="f141"/>
    <w:qFormat/>
    <w:uiPriority w:val="0"/>
    <w:rPr>
      <w:sz w:val="21"/>
      <w:szCs w:val="21"/>
    </w:rPr>
  </w:style>
  <w:style w:type="character" w:customStyle="1" w:styleId="733">
    <w:name w:val="标题 3 字符"/>
    <w:link w:val="6"/>
    <w:qFormat/>
    <w:uiPriority w:val="0"/>
    <w:rPr>
      <w:rFonts w:eastAsia="宋体"/>
      <w:b/>
      <w:kern w:val="2"/>
      <w:sz w:val="32"/>
      <w:lang w:val="en-US" w:eastAsia="zh-CN" w:bidi="ar-SA"/>
    </w:rPr>
  </w:style>
  <w:style w:type="character" w:customStyle="1" w:styleId="734">
    <w:name w:val="注释 Char"/>
    <w:link w:val="160"/>
    <w:qFormat/>
    <w:uiPriority w:val="0"/>
    <w:rPr>
      <w:rFonts w:eastAsia="宋体" w:cs="宋体"/>
      <w:kern w:val="2"/>
      <w:sz w:val="21"/>
      <w:lang w:val="en-US" w:eastAsia="zh-CN" w:bidi="ar-SA"/>
    </w:rPr>
  </w:style>
  <w:style w:type="character" w:customStyle="1" w:styleId="735">
    <w:name w:val="H8 Char1"/>
    <w:qFormat/>
    <w:uiPriority w:val="0"/>
    <w:rPr>
      <w:rFonts w:ascii="Cambria" w:hAnsi="Cambria" w:eastAsia="宋体"/>
      <w:color w:val="2DA2BF"/>
      <w:sz w:val="22"/>
      <w:szCs w:val="22"/>
      <w:lang w:val="en-US" w:eastAsia="zh-CN" w:bidi="ar-SA"/>
    </w:rPr>
  </w:style>
  <w:style w:type="character" w:customStyle="1" w:styleId="736">
    <w:name w:val="文本 Char"/>
    <w:link w:val="95"/>
    <w:qFormat/>
    <w:uiPriority w:val="0"/>
    <w:rPr>
      <w:rFonts w:ascii="宋体" w:hAnsi="宋体" w:eastAsia="宋体" w:cs="宋体"/>
      <w:sz w:val="24"/>
      <w:lang w:val="en-US" w:eastAsia="zh-CN" w:bidi="ar-SA"/>
    </w:rPr>
  </w:style>
  <w:style w:type="character" w:customStyle="1" w:styleId="737">
    <w:name w:val="A正文 Char"/>
    <w:link w:val="235"/>
    <w:qFormat/>
    <w:uiPriority w:val="0"/>
    <w:rPr>
      <w:sz w:val="24"/>
      <w:szCs w:val="24"/>
    </w:rPr>
  </w:style>
  <w:style w:type="character" w:customStyle="1" w:styleId="738">
    <w:name w:val="页眉 字符"/>
    <w:link w:val="38"/>
    <w:qFormat/>
    <w:uiPriority w:val="0"/>
    <w:rPr>
      <w:rFonts w:eastAsia="宋体"/>
      <w:kern w:val="2"/>
      <w:sz w:val="18"/>
      <w:lang w:val="en-US" w:eastAsia="zh-CN" w:bidi="ar-SA"/>
    </w:rPr>
  </w:style>
  <w:style w:type="character" w:customStyle="1" w:styleId="739">
    <w:name w:val="排版正文 Char Char"/>
    <w:link w:val="138"/>
    <w:qFormat/>
    <w:uiPriority w:val="0"/>
    <w:rPr>
      <w:rFonts w:eastAsia="黑体"/>
      <w:kern w:val="2"/>
      <w:sz w:val="26"/>
      <w:szCs w:val="22"/>
      <w:lang w:val="en-US" w:eastAsia="zh-CN" w:bidi="ar-SA"/>
    </w:rPr>
  </w:style>
  <w:style w:type="character" w:customStyle="1" w:styleId="740">
    <w:name w:val="H9 Char"/>
    <w:qFormat/>
    <w:uiPriority w:val="0"/>
    <w:rPr>
      <w:rFonts w:ascii="Arial" w:hAnsi="Arial" w:eastAsia="黑体"/>
      <w:kern w:val="2"/>
      <w:sz w:val="21"/>
      <w:szCs w:val="21"/>
      <w:lang w:val="en-US" w:eastAsia="zh-CN" w:bidi="ar-SA"/>
    </w:rPr>
  </w:style>
  <w:style w:type="character" w:customStyle="1" w:styleId="741">
    <w:name w:val="图表标题 Char"/>
    <w:qFormat/>
    <w:uiPriority w:val="0"/>
    <w:rPr>
      <w:rFonts w:eastAsia="宋体"/>
      <w:kern w:val="2"/>
      <w:sz w:val="24"/>
      <w:lang w:val="en-US" w:eastAsia="zh-CN" w:bidi="ar-SA"/>
    </w:rPr>
  </w:style>
  <w:style w:type="character" w:customStyle="1" w:styleId="742">
    <w:name w:val="文字 Char"/>
    <w:link w:val="199"/>
    <w:qFormat/>
    <w:uiPriority w:val="0"/>
    <w:rPr>
      <w:kern w:val="2"/>
      <w:sz w:val="24"/>
      <w:szCs w:val="24"/>
    </w:rPr>
  </w:style>
  <w:style w:type="table" w:customStyle="1" w:styleId="743">
    <w:name w:val="YETI"/>
    <w:basedOn w:val="58"/>
    <w:qFormat/>
    <w:uiPriority w:val="0"/>
    <w:pPr>
      <w:jc w:val="center"/>
    </w:pPr>
    <w:rPr>
      <w:sz w:val="21"/>
    </w:rPr>
    <w:tcPr>
      <w:vAlign w:val="center"/>
    </w:tcPr>
  </w:style>
  <w:style w:type="table" w:customStyle="1" w:styleId="744">
    <w:name w:val="表格样式2"/>
    <w:basedOn w:val="57"/>
    <w:qFormat/>
    <w:uiPriority w:val="0"/>
    <w:pPr>
      <w:jc w:val="center"/>
    </w:pPr>
    <w:tcPr>
      <w:vAlign w:val="center"/>
    </w:tcPr>
  </w:style>
  <w:style w:type="table" w:customStyle="1" w:styleId="745">
    <w:name w:val="表格样式1"/>
    <w:basedOn w:val="57"/>
    <w:qFormat/>
    <w:uiPriority w:val="0"/>
    <w:pPr>
      <w:jc w:val="center"/>
    </w:pPr>
    <w:tcPr>
      <w:vAlign w:val="center"/>
    </w:tcPr>
  </w:style>
  <w:style w:type="table" w:customStyle="1" w:styleId="746">
    <w:name w:val="MFS表格"/>
    <w:basedOn w:val="56"/>
    <w:qFormat/>
    <w:uiPriority w:val="0"/>
    <w:pPr>
      <w:widowControl w:val="0"/>
      <w:snapToGrid w:val="0"/>
      <w:jc w:val="center"/>
    </w:pPr>
    <w:rPr>
      <w:sz w:val="18"/>
    </w:rPr>
    <w:tblPr>
      <w:tblBorders>
        <w:top w:val="single" w:color="000000" w:sz="12" w:space="0"/>
        <w:bottom w:val="single" w:color="000000" w:sz="12" w:space="0"/>
        <w:insideH w:val="single" w:color="000000" w:sz="6" w:space="0"/>
        <w:insideV w:val="single" w:color="000000" w:sz="6" w:space="0"/>
      </w:tblBorders>
    </w:tblPr>
    <w:tcPr>
      <w:shd w:val="clear" w:color="auto" w:fill="auto"/>
      <w:vAlign w:val="center"/>
    </w:tcPr>
    <w:tblStylePr w:type="firstRow">
      <w:tcPr>
        <w:tcBorders>
          <w:top w:val="nil"/>
          <w:left w:val="single" w:color="008000" w:sz="6" w:space="0"/>
          <w:bottom w:val="nil"/>
          <w:right w:val="nil"/>
          <w:insideH w:val="nil"/>
          <w:insideV w:val="nil"/>
          <w:tl2br w:val="nil"/>
          <w:tr2bl w:val="nil"/>
        </w:tcBorders>
      </w:tcPr>
    </w:tblStylePr>
    <w:tblStylePr w:type="lastRow">
      <w:tcPr>
        <w:tcBorders>
          <w:top w:val="single" w:color="008000" w:sz="6" w:space="0"/>
          <w:left w:val="nil"/>
          <w:bottom w:val="nil"/>
          <w:right w:val="nil"/>
          <w:insideH w:val="nil"/>
          <w:insideV w:val="nil"/>
          <w:tl2br w:val="nil"/>
          <w:tr2bl w:val="nil"/>
        </w:tcBorders>
      </w:tcPr>
    </w:tblStylePr>
  </w:style>
  <w:style w:type="paragraph" w:customStyle="1" w:styleId="747">
    <w:name w:val="5级标题"/>
    <w:basedOn w:val="1"/>
    <w:qFormat/>
    <w:uiPriority w:val="0"/>
    <w:pPr>
      <w:spacing w:line="360" w:lineRule="auto"/>
      <w:jc w:val="left"/>
    </w:pPr>
    <w:rPr>
      <w:kern w:val="0"/>
      <w:sz w:val="24"/>
    </w:rPr>
  </w:style>
  <w:style w:type="character" w:customStyle="1" w:styleId="748">
    <w:name w:val="fontstrikethrough"/>
    <w:basedOn w:val="63"/>
    <w:qFormat/>
    <w:uiPriority w:val="0"/>
    <w:rPr>
      <w:strike/>
    </w:rPr>
  </w:style>
  <w:style w:type="character" w:customStyle="1" w:styleId="749">
    <w:name w:val="fontborder"/>
    <w:basedOn w:val="63"/>
    <w:qFormat/>
    <w:uiPriority w:val="0"/>
    <w:rPr>
      <w:bdr w:val="single" w:color="000000" w:sz="6" w:space="0"/>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header" Target="header3.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2" Type="http://schemas.openxmlformats.org/officeDocument/2006/relationships/fontTable" Target="fontTable.xml"/><Relationship Id="rId41" Type="http://schemas.openxmlformats.org/officeDocument/2006/relationships/customXml" Target="../customXml/item2.xml"/><Relationship Id="rId40" Type="http://schemas.openxmlformats.org/officeDocument/2006/relationships/numbering" Target="numbering.xml"/><Relationship Id="rId4" Type="http://schemas.openxmlformats.org/officeDocument/2006/relationships/header" Target="header2.xml"/><Relationship Id="rId39" Type="http://schemas.openxmlformats.org/officeDocument/2006/relationships/customXml" Target="../customXml/item1.xml"/><Relationship Id="rId38" Type="http://schemas.openxmlformats.org/officeDocument/2006/relationships/image" Target="media/image20.png"/><Relationship Id="rId37" Type="http://schemas.openxmlformats.org/officeDocument/2006/relationships/image" Target="media/image19.png"/><Relationship Id="rId36" Type="http://schemas.openxmlformats.org/officeDocument/2006/relationships/image" Target="media/image18.png"/><Relationship Id="rId35" Type="http://schemas.openxmlformats.org/officeDocument/2006/relationships/image" Target="media/image17.jpeg"/><Relationship Id="rId34" Type="http://schemas.openxmlformats.org/officeDocument/2006/relationships/image" Target="media/image16.jpeg"/><Relationship Id="rId33" Type="http://schemas.openxmlformats.org/officeDocument/2006/relationships/image" Target="media/image15.png"/><Relationship Id="rId32" Type="http://schemas.openxmlformats.org/officeDocument/2006/relationships/image" Target="media/image14.png"/><Relationship Id="rId31" Type="http://schemas.openxmlformats.org/officeDocument/2006/relationships/image" Target="media/image13.png"/><Relationship Id="rId30" Type="http://schemas.openxmlformats.org/officeDocument/2006/relationships/image" Target="media/image12.png"/><Relationship Id="rId3" Type="http://schemas.openxmlformats.org/officeDocument/2006/relationships/header" Target="header1.xml"/><Relationship Id="rId29" Type="http://schemas.openxmlformats.org/officeDocument/2006/relationships/image" Target="media/image11.png"/><Relationship Id="rId28" Type="http://schemas.openxmlformats.org/officeDocument/2006/relationships/image" Target="media/image10.wmf"/><Relationship Id="rId27" Type="http://schemas.openxmlformats.org/officeDocument/2006/relationships/oleObject" Target="embeddings/oleObject7.bin"/><Relationship Id="rId26" Type="http://schemas.openxmlformats.org/officeDocument/2006/relationships/image" Target="media/image9.wmf"/><Relationship Id="rId25" Type="http://schemas.openxmlformats.org/officeDocument/2006/relationships/oleObject" Target="embeddings/oleObject6.bin"/><Relationship Id="rId24" Type="http://schemas.openxmlformats.org/officeDocument/2006/relationships/image" Target="media/image8.wmf"/><Relationship Id="rId23" Type="http://schemas.openxmlformats.org/officeDocument/2006/relationships/oleObject" Target="embeddings/oleObject5.bin"/><Relationship Id="rId22" Type="http://schemas.openxmlformats.org/officeDocument/2006/relationships/image" Target="media/image7.wmf"/><Relationship Id="rId21" Type="http://schemas.openxmlformats.org/officeDocument/2006/relationships/oleObject" Target="embeddings/oleObject4.bin"/><Relationship Id="rId20" Type="http://schemas.openxmlformats.org/officeDocument/2006/relationships/image" Target="media/image6.wmf"/><Relationship Id="rId2" Type="http://schemas.openxmlformats.org/officeDocument/2006/relationships/settings" Target="settings.xml"/><Relationship Id="rId19" Type="http://schemas.openxmlformats.org/officeDocument/2006/relationships/oleObject" Target="embeddings/oleObject3.bin"/><Relationship Id="rId18" Type="http://schemas.openxmlformats.org/officeDocument/2006/relationships/image" Target="media/image5.wmf"/><Relationship Id="rId17" Type="http://schemas.openxmlformats.org/officeDocument/2006/relationships/oleObject" Target="embeddings/oleObject2.bin"/><Relationship Id="rId16" Type="http://schemas.openxmlformats.org/officeDocument/2006/relationships/image" Target="media/image4.png"/><Relationship Id="rId15" Type="http://schemas.openxmlformats.org/officeDocument/2006/relationships/image" Target="media/image3.emf"/><Relationship Id="rId14" Type="http://schemas.openxmlformats.org/officeDocument/2006/relationships/oleObject" Target="embeddings/oleObject1.bin"/><Relationship Id="rId13" Type="http://schemas.openxmlformats.org/officeDocument/2006/relationships/image" Target="media/image2.png"/><Relationship Id="rId12" Type="http://schemas.openxmlformats.org/officeDocument/2006/relationships/image" Target="media/image1.png"/><Relationship Id="rId11" Type="http://schemas.openxmlformats.org/officeDocument/2006/relationships/theme" Target="theme/theme1.xml"/><Relationship Id="rId10" Type="http://schemas.openxmlformats.org/officeDocument/2006/relationships/footer" Target="footer5.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ops>
  <extobjs>
    <extobj name="ECB019B1-382A-4266-B25C-5B523AA43C14-1">
      <extobjdata type="ECB019B1-382A-4266-B25C-5B523AA43C14" data="ewogICAiRmlsZUlkIiA6ICI5MjQwMzUzNzQxNyIsCiAgICJHcm91cElkIiA6ICIyMDc2Njk5NDUiLAogICAiSW1hZ2UiIDogImlWQk9SdzBLR2dvQUFBQU5TVWhFVWdBQUE0b0FBQUtCQ0FZQUFBQVJQVldQQUFBQUNYQklXWE1BQUFzVEFBQUxFd0VBbXB3WUFBQWdBRWxFUVZSNG5PemRkM2hiMWYwLzhQZVZiTzFsZWNueXR1VVZaMWxReW1naExYdTFGQWd6aEFZS3BTM1F3dThMQkVxQXRzeXlXMUtndE93WlNKbGhoQlZLQTZWZ0p5RjI0c1R5am9kaXk1Smw3WFYvZjFoeVpNZE9uT0U0Q2UvWDgvaEI5OTV6enozM3hsajY2Snp6T1FB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Z012dS93RTRCczRUbFEreEZBQUFBQUJKUlU1RXJrSmdnZz09IiwKICAgIlR5cGUiIDogImZsb3ciLAogICAiVmVyc2lvbiIgOiAiIgp9Cg=="/>
    </extobj>
    <extobj name="ECB019B1-382A-4266-B25C-5B523AA43C14-2">
      <extobjdata type="ECB019B1-382A-4266-B25C-5B523AA43C14" data="ewogICAiRmlsZUlkIiA6ICI5MjQ3OTE4MTI4NiIsCiAgICJHcm91cElkIiA6ICIyMDc2Njk5NDUiLAogICAiSW1hZ2UiIDogImlWQk9SdzBLR2dvQUFBQU5TVWhFVWdBQUF6b0FBQUdyQ0FZQUFBQUlGT0o3QUFBQUNYQklXWE1BQUFzVEFBQUxFd0VBbXB3WUFBQWdBRWxFUVZSNG5PemRlWGdVVmZyLy9VOVZkem9ra0JCQzJBS2lyR0lnUUxyQlhRRkZSL3loNkRpb0tEZ3VpRG82enVNR3lJaUFqb2dqZ2pvdUtMaDhVVWNGWElEUndRMVJ3WVVsQ0VoRURJanMreEtTa0tXN3p2TkgwajBKQ1pDRUpFMlM5K3U2Y3RGOTZsVFYzYzFONkx2UHFWTVN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SUJ6OGY4QmtId3FjZVAyUFZRQUFBQUFTVVZPUks1Q1lJST0iLAogICAiVHlwZSIgOiAiZmxvdyIsCiAgICJWZXJzaW9uIiA6ICIiCn0K"/>
    </extobj>
  </extobj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525B466-43C7-4EFB-B01C-C47331281399}">
  <ds:schemaRefs/>
</ds:datastoreItem>
</file>

<file path=docProps/app.xml><?xml version="1.0" encoding="utf-8"?>
<Properties xmlns="http://schemas.openxmlformats.org/officeDocument/2006/extended-properties" xmlns:vt="http://schemas.openxmlformats.org/officeDocument/2006/docPropsVTypes">
  <Template>Normal</Template>
  <Company>wangyh</Company>
  <Pages>109</Pages>
  <Words>11391</Words>
  <Characters>64931</Characters>
  <Lines>541</Lines>
  <Paragraphs>152</Paragraphs>
  <TotalTime>2</TotalTime>
  <ScaleCrop>false</ScaleCrop>
  <LinksUpToDate>false</LinksUpToDate>
  <CharactersWithSpaces>76170</CharactersWithSpaces>
  <Application>WPS Office_11.1.0.9999_F1E327BC-269C-435d-A152-05C5408002CA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2020-10-22T17:06:00Z</dcterms:created>
  <dc:creator>wangyh</dc:creator>
  <cp:lastModifiedBy>刃</cp:lastModifiedBy>
  <cp:lastPrinted>2019-04-10T07:41:00Z</cp:lastPrinted>
  <dcterms:modified xsi:type="dcterms:W3CDTF">2020-11-16T03:06:55Z</dcterms:modified>
  <dc:title>建设项目环境影响报告表</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2052-11.1.0.9999</vt:lpwstr>
  </property>
</Properties>
</file>